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.000000000000014" w:type="dxa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rPr>
          <w:trHeight w:hRule="exact" w:val="620"/>
        </w:trPr>
        <w:tc>
          <w:tcPr>
            <w:tcW w:type="dxa" w:w="1740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61720" cy="9334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933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92" w:after="0"/>
              <w:ind w:left="4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FFFFFF"/>
                <w:sz w:val="12"/>
              </w:rPr>
              <w:t>h1</w:t>
            </w:r>
          </w:p>
        </w:tc>
        <w:tc>
          <w:tcPr>
            <w:tcW w:type="dxa" w:w="2440"/>
            <w:gridSpan w:val="2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/>
                <w:i w:val="0"/>
                <w:color w:val="041E42"/>
                <w:sz w:val="13"/>
              </w:rPr>
              <w:t>marzo de 2024</w:t>
            </w:r>
          </w:p>
        </w:tc>
        <w:tc>
          <w:tcPr>
            <w:tcW w:type="dxa" w:w="240"/>
            <w:vMerge w:val="restart"/>
            <w:tcBorders>
              <w:bottom w:sz="4.0" w:val="single" w:color="#6E2C3E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4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43609" cy="5651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609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80"/>
        </w:trPr>
        <w:tc>
          <w:tcPr>
            <w:tcW w:type="dxa" w:w="898"/>
            <w:vMerge/>
            <w:tcBorders>
              <w:bottom w:sz="4.0" w:val="single" w:color="#6E2C3E"/>
            </w:tcBorders>
          </w:tcPr>
          <w:p/>
        </w:tc>
        <w:tc>
          <w:tcPr>
            <w:tcW w:type="dxa" w:w="5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41E42"/>
                <w:sz w:val="22"/>
              </w:rPr>
              <w:t>Informe de Riesgo</w:t>
            </w:r>
          </w:p>
        </w:tc>
        <w:tc>
          <w:tcPr>
            <w:tcW w:type="dxa" w:w="1796"/>
            <w:gridSpan w:val="2"/>
            <w:vMerge/>
            <w:tcBorders>
              <w:bottom w:sz="4.0" w:val="single" w:color="#6E2C3E"/>
            </w:tcBorders>
          </w:tcPr>
          <w:p/>
        </w:tc>
        <w:tc>
          <w:tcPr>
            <w:tcW w:type="dxa" w:w="898"/>
            <w:vMerge/>
            <w:tcBorders>
              <w:bottom w:sz="4.0" w:val="single" w:color="#6E2C3E"/>
            </w:tcBorders>
          </w:tcPr>
          <w:p/>
        </w:tc>
        <w:tc>
          <w:tcPr>
            <w:tcW w:type="dxa" w:w="1796"/>
            <w:gridSpan w:val="2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898"/>
            <w:vMerge/>
            <w:tcBorders>
              <w:bottom w:sz="4.0" w:val="single" w:color="#6E2C3E"/>
            </w:tcBorders>
          </w:tcPr>
          <w:p/>
        </w:tc>
        <w:tc>
          <w:tcPr>
            <w:tcW w:type="dxa" w:w="50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97.60000228881836"/>
                <w:rFonts w:ascii="Calibri" w:hAnsi="Calibri" w:eastAsia="Calibri"/>
                <w:b/>
                <w:i w:val="0"/>
                <w:color w:val="6E2C3E"/>
                <w:sz w:val="15"/>
              </w:rPr>
              <w:t>TIS PESOS H1</w:t>
            </w:r>
            <w:r>
              <w:rPr>
                <w:w w:val="103.38461215679462"/>
                <w:rFonts w:ascii="Calibri" w:hAnsi="Calibri" w:eastAsia="Calibri"/>
                <w:b w:val="0"/>
                <w:i w:val="0"/>
                <w:color w:val="993366"/>
                <w:sz w:val="13"/>
                <w:u w:val="single"/>
              </w:rPr>
              <w:t>____________________________________________________________</w:t>
            </w:r>
          </w:p>
        </w:tc>
        <w:tc>
          <w:tcPr>
            <w:tcW w:type="dxa" w:w="1796"/>
            <w:gridSpan w:val="2"/>
            <w:vMerge/>
            <w:tcBorders>
              <w:bottom w:sz="4.0" w:val="single" w:color="#6E2C3E"/>
            </w:tcBorders>
          </w:tcPr>
          <w:p/>
        </w:tc>
        <w:tc>
          <w:tcPr>
            <w:tcW w:type="dxa" w:w="898"/>
            <w:vMerge/>
            <w:tcBorders>
              <w:bottom w:sz="4.0" w:val="single" w:color="#6E2C3E"/>
            </w:tcBorders>
          </w:tcPr>
          <w:p/>
        </w:tc>
        <w:tc>
          <w:tcPr>
            <w:tcW w:type="dxa" w:w="1796"/>
            <w:gridSpan w:val="2"/>
            <w:vMerge/>
            <w:tcBorders/>
          </w:tcPr>
          <w:p/>
        </w:tc>
      </w:tr>
      <w:tr>
        <w:trPr>
          <w:trHeight w:hRule="exact" w:val="153"/>
        </w:trPr>
        <w:tc>
          <w:tcPr>
            <w:tcW w:type="dxa" w:w="1740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61720" cy="9334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20" cy="933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50" w:right="0" w:firstLine="0"/>
              <w:jc w:val="left"/>
            </w:pPr>
            <w:r>
              <w:rPr>
                <w:w w:val="97.60000228881836"/>
                <w:rFonts w:ascii="Calibri" w:hAnsi="Calibri" w:eastAsia="Calibri"/>
                <w:b w:val="0"/>
                <w:i w:val="0"/>
                <w:color w:val="041E42"/>
                <w:sz w:val="15"/>
              </w:rPr>
              <w:t>$millones de pesos</w:t>
            </w:r>
          </w:p>
        </w:tc>
        <w:tc>
          <w:tcPr>
            <w:tcW w:type="dxa" w:w="2440"/>
            <w:gridSpan w:val="2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Edad de la emisión: 87 meses</w:t>
            </w:r>
          </w:p>
        </w:tc>
        <w:tc>
          <w:tcPr>
            <w:tcW w:type="dxa" w:w="240"/>
            <w:vMerge w:val="restart"/>
            <w:tcBorders>
              <w:top w:sz="4.0" w:val="single" w:color="#6E2C3E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4" w:after="0"/>
              <w:ind w:left="0" w:right="0" w:firstLine="0"/>
              <w:jc w:val="center"/>
            </w:pP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12"/>
              </w:rPr>
              <w:t>-</w:t>
            </w:r>
          </w:p>
        </w:tc>
        <w:tc>
          <w:tcPr>
            <w:tcW w:type="dxa" w:w="1796"/>
            <w:gridSpan w:val="2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6286"/>
            <w:gridSpan w:val="7"/>
            <w:vMerge/>
            <w:tcBorders/>
          </w:tcPr>
          <w:p/>
        </w:tc>
        <w:tc>
          <w:tcPr>
            <w:tcW w:type="dxa" w:w="1796"/>
            <w:gridSpan w:val="2"/>
            <w:vMerge/>
            <w:tcBorders>
              <w:top w:sz="4.0" w:val="single" w:color="#6E2C3E"/>
            </w:tcBorders>
          </w:tcPr>
          <w:p/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20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64" w:after="0"/>
              <w:ind w:left="9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03366"/>
                <w:sz w:val="13"/>
                <w:u w:val="single"/>
              </w:rPr>
              <w:t>Cobeturas Externas</w:t>
            </w:r>
          </w:p>
        </w:tc>
      </w:tr>
      <w:tr>
        <w:trPr>
          <w:trHeight w:hRule="exact" w:val="196"/>
        </w:trPr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6286"/>
            <w:gridSpan w:val="7"/>
            <w:vMerge/>
            <w:tcBorders/>
          </w:tcPr>
          <w:p/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" w:after="0"/>
              <w:ind w:left="118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Saldo de capital cartera: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$8,793 millones </w:t>
            </w:r>
          </w:p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1796"/>
            <w:gridSpan w:val="2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8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Mora &gt;120 días: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" w:after="0"/>
              <w:ind w:left="58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 xml:space="preserve"> $416 millones </w:t>
            </w:r>
          </w:p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1796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818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28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Saldos y cobertura _______________________________________________________________ </w:t>
            </w:r>
            <w:r>
              <w:rPr>
                <w:w w:val="103.38461215679462"/>
                <w:rFonts w:ascii="Bookman Old Style" w:hAnsi="Bookman Old Style" w:eastAsia="Bookman Old Style"/>
                <w:b w:val="0"/>
                <w:i w:val="0"/>
                <w:color w:val="041E42"/>
                <w:sz w:val="13"/>
              </w:rPr>
              <w:t>Avalúo BRP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0" w:right="0" w:firstLine="0"/>
              <w:jc w:val="left"/>
            </w:pPr>
            <w:r>
              <w:rPr>
                <w:w w:val="101.99999809265137"/>
                <w:rFonts w:ascii="Bookman Old Style" w:hAnsi="Bookman Old Style" w:eastAsia="Bookman Old Style"/>
                <w:b w:val="0"/>
                <w:i w:val="0"/>
                <w:color w:val="041E42"/>
                <w:sz w:val="12"/>
              </w:rPr>
              <w:t xml:space="preserve">$ </w:t>
            </w:r>
          </w:p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1796"/>
            <w:gridSpan w:val="2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TIS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4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Tasa</w:t>
            </w:r>
          </w:p>
        </w:tc>
        <w:tc>
          <w:tcPr>
            <w:tcW w:type="dxa" w:w="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7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Saldo Inicial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Actual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0" w:right="11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Participación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15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Amortización</w:t>
            </w:r>
          </w:p>
        </w:tc>
        <w:tc>
          <w:tcPr>
            <w:tcW w:type="dxa" w:w="2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48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Cobertura Vigente*</w:t>
            </w:r>
          </w:p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1796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A-2026: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9.00%</w:t>
            </w:r>
          </w:p>
        </w:tc>
        <w:tc>
          <w:tcPr>
            <w:tcW w:type="dxa" w:w="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16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$37,381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108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$ </w:t>
            </w:r>
          </w:p>
        </w:tc>
        <w:tc>
          <w:tcPr>
            <w:tcW w:type="dxa" w:w="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9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316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100.0%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55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1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516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TC</w:t>
            </w:r>
          </w:p>
        </w:tc>
        <w:tc>
          <w:tcPr>
            <w:tcW w:type="dxa" w:w="1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4" w:after="0"/>
              <w:ind w:left="0" w:right="44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-</w:t>
            </w:r>
          </w:p>
        </w:tc>
      </w:tr>
      <w:tr>
        <w:trPr>
          <w:trHeight w:hRule="exact" w:val="180"/>
        </w:trPr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B-2030: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9.65%</w:t>
            </w:r>
          </w:p>
        </w:tc>
        <w:tc>
          <w:tcPr>
            <w:tcW w:type="dxa" w:w="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96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$6,923</w:t>
            </w:r>
          </w:p>
        </w:tc>
        <w:tc>
          <w:tcPr>
            <w:tcW w:type="dxa" w:w="9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$4,504</w:t>
            </w:r>
          </w:p>
        </w:tc>
        <w:tc>
          <w:tcPr>
            <w:tcW w:type="dxa" w:w="9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70.9%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66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34.9%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 + B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185.98%</w:t>
            </w:r>
          </w:p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898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B-2031:</w:t>
            </w:r>
          </w:p>
        </w:tc>
        <w:tc>
          <w:tcPr>
            <w:tcW w:type="dxa" w:w="9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10.50%</w:t>
            </w:r>
          </w:p>
        </w:tc>
        <w:tc>
          <w:tcPr>
            <w:tcW w:type="dxa" w:w="8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$1,846</w:t>
            </w:r>
          </w:p>
        </w:tc>
        <w:tc>
          <w:tcPr>
            <w:tcW w:type="dxa" w:w="95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 xml:space="preserve"> $1,846</w:t>
            </w:r>
          </w:p>
        </w:tc>
        <w:tc>
          <w:tcPr>
            <w:tcW w:type="dxa" w:w="9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29.1%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69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0.0%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A + B1 + B2</w:t>
            </w:r>
          </w:p>
        </w:tc>
        <w:tc>
          <w:tcPr>
            <w:tcW w:type="dxa" w:w="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92" w:right="0" w:firstLine="0"/>
              <w:jc w:val="lef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</w:rPr>
              <w:t>131.91%</w:t>
            </w:r>
          </w:p>
        </w:tc>
        <w:tc>
          <w:tcPr>
            <w:tcW w:type="dxa" w:w="898"/>
            <w:vMerge/>
            <w:tcBorders>
              <w:top w:sz="4.0" w:val="single" w:color="#6E2C3E"/>
            </w:tcBorders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89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66" w:after="48"/>
        <w:ind w:left="334" w:right="0" w:firstLine="0"/>
        <w:jc w:val="left"/>
      </w:pPr>
      <w:r>
        <w:rPr>
          <w:w w:val="102.31579228451378"/>
          <w:rFonts w:ascii="Calibri" w:hAnsi="Calibri" w:eastAsia="Calibri"/>
          <w:b w:val="0"/>
          <w:i w:val="0"/>
          <w:color w:val="041E42"/>
          <w:sz w:val="19"/>
        </w:rPr>
        <w:t>Prepago______________________________________________________________________________________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" w:type="dxa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>
        <w:trPr>
          <w:trHeight w:hRule="exact" w:val="2108"/>
        </w:trPr>
        <w:tc>
          <w:tcPr>
            <w:tcW w:type="dxa" w:w="51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6.0" w:type="dxa"/>
            </w:tblPr>
            <w:tblGrid>
              <w:gridCol w:w="1295"/>
              <w:gridCol w:w="1295"/>
              <w:gridCol w:w="1295"/>
              <w:gridCol w:w="1295"/>
            </w:tblGrid>
            <w:tr>
              <w:trPr>
                <w:trHeight w:hRule="exact" w:val="452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144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Observado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enero</w:t>
                  </w:r>
                </w:p>
              </w:tc>
              <w:tc>
                <w:tcPr>
                  <w:tcW w:type="dxa" w:w="9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Media </w:t>
                  </w:r>
                  <w:r>
                    <w:br/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móvil 12 meses</w:t>
                  </w:r>
                </w:p>
              </w:tc>
              <w:tc>
                <w:tcPr>
                  <w:tcW w:type="dxa" w:w="8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0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Prepago pp </w:t>
                  </w:r>
                  <w:r>
                    <w:br/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de la emisión</w:t>
                  </w:r>
                </w:p>
              </w:tc>
              <w:tc>
                <w:tcPr>
                  <w:tcW w:type="dxa" w:w="8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0" w:after="0"/>
                    <w:ind w:left="144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Escenario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 xml:space="preserve">valoración </w:t>
                  </w: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marzo</w:t>
                  </w:r>
                </w:p>
              </w:tc>
            </w:tr>
            <w:tr>
              <w:trPr>
                <w:trHeight w:hRule="exact" w:val="152"/>
              </w:trPr>
              <w:tc>
                <w:tcPr>
                  <w:tcW w:type="dxa" w:w="8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8.05%</w:t>
                  </w:r>
                </w:p>
              </w:tc>
              <w:tc>
                <w:tcPr>
                  <w:tcW w:type="dxa" w:w="9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9.30%</w:t>
                  </w:r>
                </w:p>
              </w:tc>
              <w:tc>
                <w:tcPr>
                  <w:tcW w:type="dxa" w:w="89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7.90%</w:t>
                  </w:r>
                </w:p>
              </w:tc>
              <w:tc>
                <w:tcPr>
                  <w:tcW w:type="dxa" w:w="83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8" w:after="0"/>
                    <w:ind w:left="0" w:right="0" w:firstLine="0"/>
                    <w:jc w:val="center"/>
                  </w:pPr>
                  <w:r>
                    <w:rPr>
                      <w:w w:val="101.99999809265137"/>
                      <w:rFonts w:ascii="Calibri" w:hAnsi="Calibri" w:eastAsia="Calibri"/>
                      <w:b/>
                      <w:i w:val="0"/>
                      <w:color w:val="041E42"/>
                      <w:sz w:val="12"/>
                    </w:rPr>
                    <w:t>9.30%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8.0" w:type="dxa"/>
            </w:tblPr>
            <w:tblGrid>
              <w:gridCol w:w="518"/>
              <w:gridCol w:w="518"/>
              <w:gridCol w:w="518"/>
              <w:gridCol w:w="518"/>
              <w:gridCol w:w="518"/>
              <w:gridCol w:w="518"/>
              <w:gridCol w:w="518"/>
              <w:gridCol w:w="518"/>
              <w:gridCol w:w="518"/>
              <w:gridCol w:w="518"/>
            </w:tblGrid>
            <w:tr>
              <w:trPr>
                <w:trHeight w:hRule="exact" w:val="557"/>
              </w:trPr>
              <w:tc>
                <w:tcPr>
                  <w:tcW w:type="dxa" w:w="372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4" w:lineRule="exact" w:before="422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80%</w:t>
                  </w:r>
                </w:p>
              </w:tc>
              <w:tc>
                <w:tcPr>
                  <w:tcW w:type="dxa" w:w="21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262" w:after="0"/>
                    <w:ind w:left="0" w:right="0" w:firstLine="0"/>
                    <w:jc w:val="right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21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Amo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cu</w:t>
                  </w:r>
                </w:p>
              </w:tc>
              <w:tc>
                <w:tcPr>
                  <w:tcW w:type="dxa" w:w="21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rtiz </w:t>
                  </w:r>
                  <w:r>
                    <w:br/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mula</w:t>
                  </w:r>
                </w:p>
              </w:tc>
              <w:tc>
                <w:tcPr>
                  <w:tcW w:type="dxa" w:w="616"/>
                  <w:tcBorders>
                    <w:top w:sz="2.240000009536743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ación de c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do de la c</w:t>
                  </w:r>
                </w:p>
              </w:tc>
              <w:tc>
                <w:tcPr>
                  <w:tcW w:type="dxa" w:w="21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apit </w:t>
                  </w:r>
                  <w:r>
                    <w:br/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arter</w:t>
                  </w:r>
                </w:p>
              </w:tc>
              <w:tc>
                <w:tcPr>
                  <w:tcW w:type="dxa" w:w="21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20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 xml:space="preserve">al </w:t>
                  </w:r>
                  <w:r>
                    <w:rPr>
                      <w:w w:val="101.20000044504802"/>
                      <w:rFonts w:ascii="Arial" w:hAnsi="Arial" w:eastAsia="Arial"/>
                      <w:b/>
                      <w:i w:val="0"/>
                      <w:color w:val="003366"/>
                      <w:sz w:val="12"/>
                    </w:rPr>
                    <w:t>a</w:t>
                  </w:r>
                </w:p>
              </w:tc>
              <w:tc>
                <w:tcPr>
                  <w:tcW w:type="dxa" w:w="614"/>
                  <w:tcBorders>
                    <w:top w:sz="2.240000009536743" w:val="single" w:color="#000000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5"/>
              </w:trPr>
              <w:tc>
                <w:tcPr>
                  <w:tcW w:type="dxa" w:w="372"/>
                  <w:tcBorders>
                    <w:start w:sz="2.240000009536743" w:val="single" w:color="#000000"/>
                    <w:end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start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6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start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4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8"/>
                  <w:tcBorders>
                    <w:start w:sz="9.760000228881836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56"/>
              </w:trPr>
              <w:tc>
                <w:tcPr>
                  <w:tcW w:type="dxa" w:w="372"/>
                  <w:tcBorders>
                    <w:start w:sz="2.240000009536743" w:val="single" w:color="#000000"/>
                    <w:end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0" w:lineRule="exact" w:before="0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60%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40% </w:t>
                  </w:r>
                  <w:r>
                    <w:rPr>
                      <w:w w:val="97.91999816894531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20%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16"/>
                  <w:tcBorders>
                    <w:start w:sz="1.2200000286102295" w:val="single" w:color="#000000"/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4"/>
                  <w:tcBorders>
                    <w:start w:sz="9.760000228881836" w:val="single" w:color="#000000"/>
                    <w:top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248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67.83%</w:t>
                  </w:r>
                </w:p>
              </w:tc>
              <w:tc>
                <w:tcPr>
                  <w:tcW w:type="dxa" w:w="214"/>
                  <w:tcBorders>
                    <w:start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6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206" w:after="0"/>
                    <w:ind w:left="0" w:right="0" w:firstLine="0"/>
                    <w:jc w:val="center"/>
                  </w:pPr>
                  <w:r>
                    <w:rPr>
                      <w:w w:val="97.91999816894531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79.02%</w:t>
                  </w:r>
                </w:p>
              </w:tc>
              <w:tc>
                <w:tcPr>
                  <w:tcW w:type="dxa" w:w="216"/>
                  <w:tcBorders>
                    <w:start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4"/>
                  <w:tcBorders>
                    <w:end w:sz="9.760000228881836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4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000000"/>
                  </w:tcBorders>
                  <w:shd w:fill="6e2c3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98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" w:hAnsi="Arial" w:eastAsia="Arial"/>
                      <w:b/>
                      <w:i w:val="0"/>
                      <w:color w:val="FFFFFF"/>
                      <w:sz w:val="10"/>
                    </w:rPr>
                    <w:t>80.44%</w:t>
                  </w:r>
                </w:p>
              </w:tc>
              <w:tc>
                <w:tcPr>
                  <w:tcW w:type="dxa" w:w="228"/>
                  <w:tcBorders>
                    <w:start w:sz="9.760000228881836" w:val="single" w:color="#000000"/>
                    <w:end w:sz="2.240000009536743" w:val="single" w:color="#000000"/>
                    <w:bottom w:sz="1.220000028610229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2"/>
              </w:trPr>
              <w:tc>
                <w:tcPr>
                  <w:tcW w:type="dxa" w:w="372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4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Teórico</w:t>
                  </w:r>
                </w:p>
              </w:tc>
              <w:tc>
                <w:tcPr>
                  <w:tcW w:type="dxa" w:w="214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16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Pre</w:t>
                  </w:r>
                </w:p>
              </w:tc>
              <w:tc>
                <w:tcPr>
                  <w:tcW w:type="dxa" w:w="616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pago CPR 1</w:t>
                  </w:r>
                </w:p>
              </w:tc>
              <w:tc>
                <w:tcPr>
                  <w:tcW w:type="dxa" w:w="216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10%</w:t>
                  </w:r>
                </w:p>
              </w:tc>
              <w:tc>
                <w:tcPr>
                  <w:tcW w:type="dxa" w:w="214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14"/>
                  <w:tcBorders>
                    <w:top w:sz="1.2200000286102295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6" w:lineRule="exact" w:before="52" w:after="0"/>
                    <w:ind w:left="0" w:right="0" w:firstLine="0"/>
                    <w:jc w:val="center"/>
                  </w:pPr>
                  <w:r>
                    <w:rPr>
                      <w:w w:val="101.20000044504802"/>
                      <w:rFonts w:ascii="ArialMT" w:hAnsi="ArialMT" w:eastAsia="ArialMT"/>
                      <w:b w:val="0"/>
                      <w:i w:val="0"/>
                      <w:color w:val="000000"/>
                      <w:sz w:val="12"/>
                    </w:rPr>
                    <w:t>Observado</w:t>
                  </w:r>
                </w:p>
              </w:tc>
              <w:tc>
                <w:tcPr>
                  <w:tcW w:type="dxa" w:w="228"/>
                  <w:tcBorders>
                    <w:top w:sz="1.2200000286102295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tabs>
                <w:tab w:pos="476" w:val="left"/>
                <w:tab w:pos="1762" w:val="left"/>
              </w:tabs>
              <w:autoSpaceDE w:val="0"/>
              <w:widowControl/>
              <w:spacing w:line="176" w:lineRule="exact" w:before="18" w:after="0"/>
              <w:ind w:left="168" w:right="864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Mora observada_____________________________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4"/>
              </w:rPr>
              <w:t xml:space="preserve">Mora 120 días/ saldo inicial </w:t>
            </w:r>
            <w:r>
              <w:br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3.50%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476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1.50%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1.00%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0.50%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0.00%</w:t>
            </w:r>
            <w:r>
              <w:drawing>
                <wp:inline xmlns:a="http://schemas.openxmlformats.org/drawingml/2006/main" xmlns:pic="http://schemas.openxmlformats.org/drawingml/2006/picture">
                  <wp:extent cx="2679700" cy="1181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0" cy="118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476" w:right="4428" w:firstLine="0"/>
              <w:jc w:val="both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3.00% </w:t>
            </w:r>
            <w:r>
              <w:br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2.50%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2.00%</w:t>
            </w:r>
          </w:p>
          <w:p>
            <w:pPr>
              <w:autoSpaceDN w:val="0"/>
              <w:autoSpaceDE w:val="0"/>
              <w:widowControl/>
              <w:spacing w:line="136" w:lineRule="exact" w:before="1016" w:after="0"/>
              <w:ind w:left="704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dic-16 jul-17 feb-18 sep-18 abr-19 nov-19 jun-20 ene-21 ago-21mar-22 oct-22 may-23 dic-23 jul-24</w:t>
            </w:r>
          </w:p>
        </w:tc>
        <w:tc>
          <w:tcPr>
            <w:tcW w:type="dxa" w:w="62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50" w:val="left"/>
              </w:tabs>
              <w:autoSpaceDE w:val="0"/>
              <w:widowControl/>
              <w:spacing w:line="180" w:lineRule="exact" w:before="0" w:after="0"/>
              <w:ind w:left="66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30.0% </w:t>
            </w:r>
            <w:r>
              <w:rPr>
                <w:w w:val="97.60000228881836"/>
                <w:rFonts w:ascii="Arial" w:hAnsi="Arial" w:eastAsia="Arial"/>
                <w:b/>
                <w:i w:val="0"/>
                <w:color w:val="003366"/>
                <w:sz w:val="15"/>
              </w:rPr>
              <w:t>Evolución del prepago</w:t>
            </w:r>
          </w:p>
          <w:p>
            <w:pPr>
              <w:autoSpaceDN w:val="0"/>
              <w:autoSpaceDE w:val="0"/>
              <w:widowControl/>
              <w:spacing w:line="136" w:lineRule="exact" w:before="648" w:after="0"/>
              <w:ind w:left="66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15.0%</w:t>
            </w:r>
          </w:p>
          <w:p>
            <w:pPr>
              <w:autoSpaceDN w:val="0"/>
              <w:autoSpaceDE w:val="0"/>
              <w:widowControl/>
              <w:spacing w:line="136" w:lineRule="exact" w:before="124" w:after="0"/>
              <w:ind w:left="66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10.0%</w:t>
            </w:r>
          </w:p>
          <w:p>
            <w:pPr>
              <w:autoSpaceDN w:val="0"/>
              <w:autoSpaceDE w:val="0"/>
              <w:widowControl/>
              <w:spacing w:line="136" w:lineRule="exact" w:before="126" w:after="0"/>
              <w:ind w:left="12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5.0%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0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0.0%</w:t>
            </w:r>
            <w:r>
              <w:drawing>
                <wp:inline xmlns:a="http://schemas.openxmlformats.org/drawingml/2006/main" xmlns:pic="http://schemas.openxmlformats.org/drawingml/2006/picture">
                  <wp:extent cx="3479800" cy="1028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66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25.0%</w:t>
            </w:r>
          </w:p>
          <w:p>
            <w:pPr>
              <w:autoSpaceDN w:val="0"/>
              <w:autoSpaceDE w:val="0"/>
              <w:widowControl/>
              <w:spacing w:line="134" w:lineRule="exact" w:before="126" w:after="0"/>
              <w:ind w:left="66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20.0%</w:t>
            </w:r>
          </w:p>
          <w:p>
            <w:pPr>
              <w:autoSpaceDN w:val="0"/>
              <w:tabs>
                <w:tab w:pos="694" w:val="left"/>
                <w:tab w:pos="1052" w:val="left"/>
                <w:tab w:pos="1408" w:val="left"/>
                <w:tab w:pos="1766" w:val="left"/>
                <w:tab w:pos="2120" w:val="left"/>
                <w:tab w:pos="2480" w:val="left"/>
                <w:tab w:pos="2834" w:val="left"/>
                <w:tab w:pos="3194" w:val="left"/>
                <w:tab w:pos="3548" w:val="left"/>
                <w:tab w:pos="3908" w:val="left"/>
                <w:tab w:pos="4262" w:val="left"/>
                <w:tab w:pos="4622" w:val="left"/>
                <w:tab w:pos="4976" w:val="left"/>
                <w:tab w:pos="5336" w:val="left"/>
                <w:tab w:pos="5690" w:val="left"/>
              </w:tabs>
              <w:autoSpaceDE w:val="0"/>
              <w:widowControl/>
              <w:spacing w:line="136" w:lineRule="exact" w:before="1024" w:after="0"/>
              <w:ind w:left="340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dic16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jun17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dic17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jun18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dic18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jun19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dic19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jun20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jun21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dic21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jun22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dic22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jun23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dic23 </w:t>
            </w:r>
            <w:r>
              <w:tab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jun24</w:t>
            </w:r>
          </w:p>
        </w:tc>
      </w:tr>
      <w:tr>
        <w:trPr>
          <w:trHeight w:hRule="exact" w:val="34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42" w:after="0"/>
              <w:ind w:left="2" w:right="0" w:firstLine="0"/>
              <w:jc w:val="left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42" w:after="0"/>
              <w:ind w:left="0" w:right="190" w:firstLine="0"/>
              <w:jc w:val="right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Media Móvil 12 meses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42" w:after="0"/>
              <w:ind w:left="0" w:right="100" w:firstLine="0"/>
              <w:jc w:val="right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6%</w:t>
            </w:r>
          </w:p>
        </w:tc>
        <w:tc>
          <w:tcPr>
            <w:tcW w:type="dxa" w:w="1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42" w:after="0"/>
              <w:ind w:left="0" w:right="0" w:firstLine="0"/>
              <w:jc w:val="center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10%</w:t>
            </w:r>
          </w:p>
        </w:tc>
        <w:tc>
          <w:tcPr>
            <w:tcW w:type="dxa" w:w="8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42" w:after="0"/>
              <w:ind w:left="146" w:right="0" w:firstLine="0"/>
              <w:jc w:val="left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14%</w:t>
            </w:r>
          </w:p>
        </w:tc>
        <w:tc>
          <w:tcPr>
            <w:tcW w:type="dxa" w:w="10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142" w:after="0"/>
              <w:ind w:left="0" w:right="406" w:firstLine="0"/>
              <w:jc w:val="right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Prepago 20%</w:t>
            </w:r>
          </w:p>
        </w:tc>
      </w:tr>
      <w:tr>
        <w:trPr>
          <w:trHeight w:hRule="exact" w:val="7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620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26" w:after="0"/>
              <w:ind w:left="154" w:right="0" w:firstLine="12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 xml:space="preserve">Escenarios de Estrés_________________________ </w:t>
            </w:r>
            <w:r>
              <w:br/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 xml:space="preserve">% de amortización de capital proyectado  para diferentes escenarios de estrés  de prepago -CPR 10 %, 20 % o la Media Movil (MM) de los últimos 12 </w:t>
            </w:r>
            <w:r>
              <w:rPr>
                <w:w w:val="98.4000015258789"/>
                <w:rFonts w:ascii="Calibri" w:hAnsi="Calibri" w:eastAsia="Calibri"/>
                <w:b w:val="0"/>
                <w:i w:val="0"/>
                <w:color w:val="041E42"/>
                <w:sz w:val="10"/>
              </w:rPr>
              <w:t>meses- y mora 1, 1,5 o 5 veces la curva proyectada</w:t>
            </w:r>
          </w:p>
        </w:tc>
      </w:tr>
      <w:tr>
        <w:trPr>
          <w:trHeight w:hRule="exact" w:val="22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vMerge w:val="restart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27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Prepago</w:t>
            </w:r>
          </w:p>
        </w:tc>
        <w:tc>
          <w:tcPr>
            <w:tcW w:type="dxa" w:w="1006"/>
            <w:vMerge w:val="restart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43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Mora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490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A</w:t>
            </w:r>
          </w:p>
        </w:tc>
        <w:tc>
          <w:tcPr>
            <w:tcW w:type="dxa" w:w="6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2030</w:t>
            </w:r>
          </w:p>
        </w:tc>
        <w:tc>
          <w:tcPr>
            <w:tcW w:type="dxa" w:w="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B 2031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0" w:after="0"/>
              <w:ind w:left="0" w:right="574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 xml:space="preserve">Residual </w:t>
            </w:r>
          </w:p>
        </w:tc>
      </w:tr>
      <w:tr>
        <w:trPr>
          <w:trHeight w:hRule="exact" w:val="18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2694"/>
            <w:gridSpan w:val="3"/>
            <w:vMerge/>
            <w:tcBorders>
              <w:end w:sz="7.320000171661377" w:val="single" w:color="#FF00FF"/>
            </w:tcBorders>
          </w:tcPr>
          <w:p/>
        </w:tc>
        <w:tc>
          <w:tcPr>
            <w:tcW w:type="dxa" w:w="898"/>
            <w:vMerge/>
            <w:tcBorders>
              <w:start w:sz="7.320000171661377" w:val="single" w:color="#FF00FF"/>
            </w:tcBorders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898"/>
            <w:vMerge/>
            <w:tcBorders/>
          </w:tcPr>
          <w:p/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692" w:firstLine="0"/>
              <w:jc w:val="right"/>
            </w:pPr>
            <w:r>
              <w:rPr>
                <w:w w:val="103.38461215679462"/>
                <w:rFonts w:ascii="Calibri" w:hAnsi="Calibri" w:eastAsia="Calibri"/>
                <w:b w:val="0"/>
                <w:i w:val="0"/>
                <w:color w:val="041E42"/>
                <w:sz w:val="13"/>
                <w:u w:val="single"/>
              </w:rPr>
              <w:t>$mm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38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1,938</w:t>
            </w:r>
          </w:p>
        </w:tc>
      </w:tr>
      <w:tr>
        <w:trPr>
          <w:trHeight w:hRule="exact" w:val="14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8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1,993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384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1,933</w:t>
            </w:r>
          </w:p>
        </w:tc>
      </w:tr>
      <w:tr>
        <w:trPr>
          <w:trHeight w:hRule="exact" w:val="14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8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1,893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8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1,952</w:t>
            </w:r>
          </w:p>
        </w:tc>
      </w:tr>
      <w:tr>
        <w:trPr>
          <w:trHeight w:hRule="exact" w:val="14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84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1.5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1,887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38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10%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0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1,599</w:t>
            </w:r>
          </w:p>
        </w:tc>
      </w:tr>
      <w:tr>
        <w:trPr>
          <w:trHeight w:hRule="exact" w:val="16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382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20%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4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1,696</w:t>
            </w:r>
          </w:p>
        </w:tc>
      </w:tr>
      <w:tr>
        <w:trPr>
          <w:trHeight w:hRule="exact" w:val="180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1114"/>
            <w:gridSpan w:val="3"/>
            <w:tcBorders>
              <w:end w:sz="7.320000171661377" w:val="single" w:color="#FF00FF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384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MM</w:t>
            </w:r>
          </w:p>
        </w:tc>
        <w:tc>
          <w:tcPr>
            <w:tcW w:type="dxa" w:w="1006"/>
            <w:tcBorders>
              <w:start w:sz="7.320000171661377" w:val="single" w:color="#FF00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49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5.0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20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100%</w:t>
            </w:r>
          </w:p>
        </w:tc>
        <w:tc>
          <w:tcPr>
            <w:tcW w:type="dxa" w:w="1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0" w:right="348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1,556</w:t>
            </w:r>
          </w:p>
        </w:tc>
      </w:tr>
      <w:tr>
        <w:trPr>
          <w:trHeight w:hRule="exact" w:val="88"/>
        </w:trPr>
        <w:tc>
          <w:tcPr>
            <w:tcW w:type="dxa" w:w="3592"/>
            <w:gridSpan w:val="4"/>
            <w:vMerge/>
            <w:tcBorders/>
          </w:tcPr>
          <w:p/>
        </w:tc>
        <w:tc>
          <w:tcPr>
            <w:tcW w:type="dxa" w:w="6200"/>
            <w:gridSpan w:val="9"/>
            <w:vMerge w:val="restart"/>
            <w:tcBorders>
              <w:bottom w:sz="7.320000171661377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58" w:right="0" w:firstLine="0"/>
              <w:jc w:val="left"/>
            </w:pPr>
            <w:r>
              <w:rPr>
                <w:w w:val="97.60000228881836"/>
                <w:rFonts w:ascii="Calibri" w:hAnsi="Calibri" w:eastAsia="Calibri"/>
                <w:b w:val="0"/>
                <w:i w:val="0"/>
                <w:color w:val="003366"/>
                <w:sz w:val="15"/>
              </w:rPr>
              <w:t>Notas:</w:t>
            </w:r>
          </w:p>
        </w:tc>
      </w:tr>
      <w:tr>
        <w:trPr>
          <w:trHeight w:hRule="exact" w:val="80"/>
        </w:trPr>
        <w:tc>
          <w:tcPr>
            <w:tcW w:type="dxa" w:w="2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50" w:after="0"/>
              <w:ind w:left="0" w:right="304" w:firstLine="0"/>
              <w:jc w:val="right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Observado</w:t>
            </w:r>
          </w:p>
        </w:tc>
        <w:tc>
          <w:tcPr>
            <w:tcW w:type="dxa" w:w="860"/>
            <w:tcBorders>
              <w:bottom w:sz="7.320000171661377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bottom w:sz="7.320000171661377" w:val="single" w:color="#041E42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50" w:after="0"/>
              <w:ind w:left="318" w:right="0" w:firstLine="0"/>
              <w:jc w:val="left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P 2,5%</w:t>
            </w:r>
          </w:p>
        </w:tc>
        <w:tc>
          <w:tcPr>
            <w:tcW w:type="dxa" w:w="8082"/>
            <w:gridSpan w:val="9"/>
            <w:vMerge/>
            <w:tcBorders>
              <w:bottom w:sz="7.320000171661377" w:val="single" w:color="#041E42"/>
            </w:tcBorders>
          </w:tcPr>
          <w:p/>
        </w:tc>
      </w:tr>
      <w:tr>
        <w:trPr>
          <w:trHeight w:hRule="exact" w:val="132"/>
        </w:trPr>
        <w:tc>
          <w:tcPr>
            <w:tcW w:type="dxa" w:w="898"/>
            <w:vMerge/>
            <w:tcBorders/>
          </w:tcPr>
          <w:p/>
        </w:tc>
        <w:tc>
          <w:tcPr>
            <w:tcW w:type="dxa" w:w="860"/>
            <w:tcBorders>
              <w:top w:sz="7.320000171661377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 w:firstLine="0"/>
              <w:jc w:val="center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P 97,5%</w:t>
            </w:r>
          </w:p>
        </w:tc>
        <w:tc>
          <w:tcPr>
            <w:tcW w:type="dxa" w:w="820"/>
            <w:tcBorders>
              <w:top w:sz="7.320000171661377" w:val="single" w:color="#041E4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2" w:lineRule="exact" w:before="0" w:after="0"/>
              <w:ind w:left="0" w:right="0" w:firstLine="0"/>
              <w:jc w:val="center"/>
            </w:pPr>
            <w:r>
              <w:rPr>
                <w:w w:val="94.62857246398926"/>
                <w:rFonts w:ascii="ArialMT" w:hAnsi="ArialMT" w:eastAsia="ArialMT"/>
                <w:b w:val="0"/>
                <w:i w:val="0"/>
                <w:color w:val="000000"/>
                <w:sz w:val="7"/>
              </w:rPr>
              <w:t>P 50%</w:t>
            </w:r>
          </w:p>
        </w:tc>
        <w:tc>
          <w:tcPr>
            <w:tcW w:type="dxa" w:w="898"/>
            <w:vMerge/>
            <w:tcBorders/>
          </w:tcPr>
          <w:p/>
        </w:tc>
        <w:tc>
          <w:tcPr>
            <w:tcW w:type="dxa" w:w="6200"/>
            <w:gridSpan w:val="9"/>
            <w:vMerge w:val="restart"/>
            <w:tcBorders>
              <w:top w:sz="7.320000171661377" w:val="single" w:color="#041E42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1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 Vigente : Saldo de capital de la cartera con mora inferior a 120 días dividido por el saldo de los TIS en la fecha de liquidación.</w:t>
            </w:r>
          </w:p>
          <w:p>
            <w:pPr>
              <w:autoSpaceDN w:val="0"/>
              <w:autoSpaceDE w:val="0"/>
              <w:widowControl/>
              <w:spacing w:line="96" w:lineRule="exact" w:before="134" w:after="0"/>
              <w:ind w:left="15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* % Coberturas Externas : Saldo del Mecanismo de Cobertura Parcial de los títulos A.</w:t>
            </w:r>
          </w:p>
        </w:tc>
      </w:tr>
      <w:tr>
        <w:trPr>
          <w:trHeight w:hRule="exact" w:val="298"/>
        </w:trPr>
        <w:tc>
          <w:tcPr>
            <w:tcW w:type="dxa" w:w="51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44.0" w:type="dxa"/>
            </w:tblPr>
            <w:tblGrid>
              <w:gridCol w:w="5180"/>
            </w:tblGrid>
            <w:tr>
              <w:trPr>
                <w:trHeight w:hRule="exact" w:val="130"/>
              </w:trPr>
              <w:tc>
                <w:tcPr>
                  <w:tcW w:type="dxa" w:w="2646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5.600000000000364" w:val="single" w:color="#000000"/>
                  </w:tcBorders>
                  <w:shd w:fill="e0e0e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0" w:after="0"/>
                    <w:ind w:left="0" w:right="0" w:firstLine="0"/>
                    <w:jc w:val="center"/>
                  </w:pPr>
                  <w:r>
                    <w:rPr>
                      <w:w w:val="97.60000228881836"/>
                      <w:rFonts w:ascii="Calibri" w:hAnsi="Calibri" w:eastAsia="Calibri"/>
                      <w:b/>
                      <w:i w:val="0"/>
                      <w:color w:val="234061"/>
                      <w:sz w:val="15"/>
                    </w:rPr>
                    <w:t>Mora observada ene: 0.89%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82"/>
            <w:gridSpan w:val="9"/>
            <w:vMerge/>
            <w:tcBorders>
              <w:top w:sz="7.320000171661377" w:val="single" w:color="#041E42"/>
            </w:tcBorders>
          </w:tcPr>
          <w:p/>
        </w:tc>
      </w:tr>
    </w:tbl>
    <w:p>
      <w:pPr>
        <w:autoSpaceDN w:val="0"/>
        <w:autoSpaceDE w:val="0"/>
        <w:widowControl/>
        <w:spacing w:line="98" w:lineRule="exact" w:before="24" w:after="0"/>
        <w:ind w:left="0" w:right="2772" w:firstLine="0"/>
        <w:jc w:val="right"/>
      </w:pPr>
      <w:r>
        <w:rPr>
          <w:w w:val="104.99999523162842"/>
          <w:rFonts w:ascii="ArialMT" w:hAnsi="ArialMT" w:eastAsia="ArialMT"/>
          <w:b w:val="0"/>
          <w:i w:val="0"/>
          <w:color w:val="000000"/>
          <w:sz w:val="8"/>
        </w:rPr>
        <w:t>►</w:t>
      </w: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 Escenario Teórico: Pago contractual de los créditos en un escanario de cero mora y cero prepago.</w:t>
      </w:r>
    </w:p>
    <w:p>
      <w:pPr>
        <w:autoSpaceDN w:val="0"/>
        <w:autoSpaceDE w:val="0"/>
        <w:widowControl/>
        <w:spacing w:line="98" w:lineRule="exact" w:before="132" w:after="14"/>
        <w:ind w:left="0" w:right="164" w:firstLine="0"/>
        <w:jc w:val="right"/>
      </w:pPr>
      <w:r>
        <w:rPr>
          <w:w w:val="104.99999523162842"/>
          <w:rFonts w:ascii="ArialMT" w:hAnsi="ArialMT" w:eastAsia="ArialMT"/>
          <w:b w:val="0"/>
          <w:i w:val="0"/>
          <w:color w:val="000000"/>
          <w:sz w:val="8"/>
        </w:rPr>
        <w:t>►</w:t>
      </w:r>
      <w:r>
        <w:rPr>
          <w:w w:val="104.99999523162842"/>
          <w:rFonts w:ascii="Calibri" w:hAnsi="Calibri" w:eastAsia="Calibri"/>
          <w:b w:val="0"/>
          <w:i w:val="0"/>
          <w:color w:val="000000"/>
          <w:sz w:val="8"/>
        </w:rPr>
        <w:t xml:space="preserve"> Prepago es el agregado de la suma de prepago parcial y total anualizado. Prepago promedio ponderado (pp) de la emisión: Corresponde al prepago ponderado por el saldo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6.0" w:type="dxa"/>
      </w:tblPr>
      <w:tblGrid>
        <w:gridCol w:w="1667"/>
        <w:gridCol w:w="1667"/>
        <w:gridCol w:w="1667"/>
        <w:gridCol w:w="1667"/>
        <w:gridCol w:w="1667"/>
        <w:gridCol w:w="1667"/>
        <w:gridCol w:w="1667"/>
      </w:tblGrid>
      <w:tr>
        <w:trPr>
          <w:trHeight w:hRule="exact" w:val="1376"/>
        </w:trPr>
        <w:tc>
          <w:tcPr>
            <w:tcW w:type="dxa" w:w="50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6" w:val="left"/>
                <w:tab w:pos="2302" w:val="left"/>
              </w:tabs>
              <w:autoSpaceDE w:val="0"/>
              <w:widowControl/>
              <w:spacing w:line="110" w:lineRule="exact" w:before="56" w:after="0"/>
              <w:ind w:left="334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3366"/>
                <w:sz w:val="11"/>
              </w:rPr>
              <w:t xml:space="preserve">Evolución de las Tasas Anualizadas Implícitas de los Créditos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3366"/>
                <w:sz w:val="11"/>
              </w:rPr>
              <w:t xml:space="preserve">Hipotecarios </w:t>
            </w:r>
            <w:r>
              <w:br/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18.0%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34" w:right="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12.0%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10.0%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8.0% </w:t>
            </w: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>6.0%</w:t>
            </w:r>
            <w:r>
              <w:drawing>
                <wp:inline xmlns:a="http://schemas.openxmlformats.org/drawingml/2006/main" xmlns:pic="http://schemas.openxmlformats.org/drawingml/2006/picture">
                  <wp:extent cx="2692400" cy="558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55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34" w:right="4320" w:firstLine="0"/>
              <w:jc w:val="left"/>
            </w:pPr>
            <w:r>
              <w:rPr>
                <w:w w:val="97.91999816894531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16.0%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14.0%</w:t>
            </w:r>
          </w:p>
          <w:p>
            <w:pPr>
              <w:autoSpaceDN w:val="0"/>
              <w:autoSpaceDE w:val="0"/>
              <w:widowControl/>
              <w:spacing w:line="134" w:lineRule="exact" w:before="540" w:after="0"/>
              <w:ind w:left="580" w:right="0" w:firstLine="0"/>
              <w:jc w:val="left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dic16 jun17 dic17 jun18 dic18 jun19 dic19 jun20 dic20 jun21 dic21 jun22 dic22 jun23 dic23 jun24</w:t>
            </w:r>
          </w:p>
        </w:tc>
        <w:tc>
          <w:tcPr>
            <w:tcW w:type="dxa" w:w="6280"/>
            <w:vMerge w:val="restart"/>
            <w:tcBorders>
              <w:bottom w:sz="7.320000171661377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38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cartera de cada mes de la emisión. </w:t>
            </w:r>
          </w:p>
          <w:p>
            <w:pPr>
              <w:autoSpaceDN w:val="0"/>
              <w:autoSpaceDE w:val="0"/>
              <w:widowControl/>
              <w:spacing w:line="98" w:lineRule="exact" w:before="134" w:after="0"/>
              <w:ind w:left="13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 de valoración: Escenario de prepago para valoración de los proveedores de precio.</w:t>
            </w:r>
          </w:p>
          <w:p>
            <w:pPr>
              <w:autoSpaceDN w:val="0"/>
              <w:autoSpaceDE w:val="0"/>
              <w:widowControl/>
              <w:spacing w:line="98" w:lineRule="exact" w:before="132" w:after="0"/>
              <w:ind w:left="138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Implícita: Flujo mensual de intereses dividido por el saldo de capital al inicio del mes.</w:t>
            </w:r>
          </w:p>
          <w:p>
            <w:pPr>
              <w:autoSpaceDN w:val="0"/>
              <w:autoSpaceDE w:val="0"/>
              <w:widowControl/>
              <w:spacing w:line="98" w:lineRule="exact" w:before="260" w:after="0"/>
              <w:ind w:left="0" w:right="0" w:firstLine="0"/>
              <w:jc w:val="center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Para efectos de monitorear el riesgo de crédito, el indicador de mora mayor a 120 días se ha proyectado teniendo en cuenta el comportamiento crediticio de una muestra de </w:t>
            </w:r>
          </w:p>
          <w:p>
            <w:pPr>
              <w:autoSpaceDN w:val="0"/>
              <w:autoSpaceDE w:val="0"/>
              <w:widowControl/>
              <w:spacing w:line="197" w:lineRule="auto" w:before="30" w:after="0"/>
              <w:ind w:left="1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desarrollo de 204,300 créditos hipotecarios. Se presenta la mora en percentiles  (P2,5%, P50% y P97,5%).  Para mayor información de la metodología de proyección ver Anexo 2 del </w:t>
            </w:r>
          </w:p>
          <w:p>
            <w:pPr>
              <w:autoSpaceDN w:val="0"/>
              <w:autoSpaceDE w:val="0"/>
              <w:widowControl/>
              <w:spacing w:line="197" w:lineRule="auto" w:before="32" w:after="0"/>
              <w:ind w:left="1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Prospecto de la emisión.</w:t>
            </w:r>
          </w:p>
          <w:p>
            <w:pPr>
              <w:autoSpaceDN w:val="0"/>
              <w:autoSpaceDE w:val="0"/>
              <w:widowControl/>
              <w:spacing w:line="98" w:lineRule="exact" w:before="132" w:after="0"/>
              <w:ind w:left="1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Escenarios: Muestra el porcentaje de amortización proyectado de cada título para diferentes escenarios de estrés de prepago y múltiplos de la mora esperada. El monto residual </w:t>
            </w:r>
          </w:p>
          <w:p>
            <w:pPr>
              <w:autoSpaceDN w:val="0"/>
              <w:autoSpaceDE w:val="0"/>
              <w:widowControl/>
              <w:spacing w:line="197" w:lineRule="auto" w:before="6" w:after="0"/>
              <w:ind w:left="1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una vez pagados los títulos es el valor presente descontado a la tir del pasivo correlativo. Para mayor información ver informe "Tablas de Amortización y Flujos Escenarios de </w:t>
            </w:r>
          </w:p>
        </w:tc>
      </w:tr>
      <w:tr>
        <w:trPr>
          <w:trHeight w:hRule="exact" w:val="104"/>
        </w:trPr>
        <w:tc>
          <w:tcPr>
            <w:tcW w:type="dxa" w:w="1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66" w:after="0"/>
              <w:ind w:left="28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8"/>
              </w:rPr>
              <w:t>Tasa Observada</w:t>
            </w:r>
          </w:p>
        </w:tc>
        <w:tc>
          <w:tcPr>
            <w:tcW w:type="dxa" w:w="7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66" w:after="0"/>
              <w:ind w:left="0" w:right="10" w:firstLine="0"/>
              <w:jc w:val="righ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8"/>
              </w:rPr>
              <w:t>Tasa Teórica</w:t>
            </w:r>
          </w:p>
        </w:tc>
        <w:tc>
          <w:tcPr>
            <w:tcW w:type="dxa" w:w="19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7800" cy="38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8"/>
              </w:rPr>
              <w:t>Tasa Esperada</w:t>
            </w:r>
          </w:p>
        </w:tc>
        <w:tc>
          <w:tcPr>
            <w:tcW w:type="dxa" w:w="1667"/>
            <w:vMerge/>
            <w:tcBorders>
              <w:bottom w:sz="7.320000171661377" w:val="single" w:color="#00FF00"/>
            </w:tcBorders>
          </w:tcPr>
          <w:p/>
        </w:tc>
      </w:tr>
      <w:tr>
        <w:trPr>
          <w:trHeight w:hRule="exact" w:val="76"/>
        </w:trPr>
        <w:tc>
          <w:tcPr>
            <w:tcW w:type="dxa" w:w="1667"/>
            <w:vMerge/>
            <w:tcBorders/>
          </w:tcPr>
          <w:p/>
        </w:tc>
        <w:tc>
          <w:tcPr>
            <w:tcW w:type="dxa" w:w="1667"/>
            <w:vMerge/>
            <w:tcBorders/>
          </w:tcPr>
          <w:p/>
        </w:tc>
        <w:tc>
          <w:tcPr>
            <w:tcW w:type="dxa" w:w="3334"/>
            <w:gridSpan w:val="2"/>
            <w:vMerge/>
            <w:tcBorders/>
          </w:tcPr>
          <w:p/>
        </w:tc>
        <w:tc>
          <w:tcPr>
            <w:tcW w:type="dxa" w:w="3334"/>
            <w:gridSpan w:val="2"/>
            <w:vMerge/>
            <w:tcBorders/>
          </w:tcPr>
          <w:p/>
        </w:tc>
        <w:tc>
          <w:tcPr>
            <w:tcW w:type="dxa" w:w="6280"/>
            <w:vMerge w:val="restart"/>
            <w:tcBorders>
              <w:top w:sz="7.320000171661377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Prepago y Mora" en www.titularizadora.com</w:t>
            </w:r>
          </w:p>
          <w:p>
            <w:pPr>
              <w:autoSpaceDN w:val="0"/>
              <w:autoSpaceDE w:val="0"/>
              <w:widowControl/>
              <w:spacing w:line="96" w:lineRule="exact" w:before="134" w:after="0"/>
              <w:ind w:left="1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Participación por Rango de Tasas: Muestra la composición de la cartera por los rangos de tasa, esto lo hace por monto y por cantidad. Por monto es respecto al saldo total de los </w:t>
            </w:r>
          </w:p>
        </w:tc>
      </w:tr>
      <w:tr>
        <w:trPr>
          <w:trHeight w:hRule="exact" w:val="160"/>
        </w:trPr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Tasa Implícita</w:t>
            </w:r>
          </w:p>
        </w:tc>
        <w:tc>
          <w:tcPr>
            <w:tcW w:type="dxa" w:w="1004"/>
            <w:gridSpan w:val="2"/>
            <w:tcBorders>
              <w:end w:sz="7.320000171661377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Teórica</w:t>
            </w:r>
          </w:p>
        </w:tc>
        <w:tc>
          <w:tcPr>
            <w:tcW w:type="dxa" w:w="830"/>
            <w:gridSpan w:val="2"/>
            <w:tcBorders>
              <w:start w:sz="7.320000171661377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Esperada</w:t>
            </w:r>
          </w:p>
        </w:tc>
        <w:tc>
          <w:tcPr>
            <w:tcW w:type="dxa" w:w="17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84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Observada</w:t>
            </w:r>
          </w:p>
        </w:tc>
        <w:tc>
          <w:tcPr>
            <w:tcW w:type="dxa" w:w="1667"/>
            <w:vMerge/>
            <w:tcBorders>
              <w:top w:sz="7.320000171661377" w:val="single" w:color="#00FF00"/>
            </w:tcBorders>
          </w:tcPr>
          <w:p/>
        </w:tc>
      </w:tr>
      <w:tr>
        <w:trPr>
          <w:trHeight w:hRule="exact" w:val="154"/>
        </w:trPr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Última:</w:t>
            </w:r>
          </w:p>
        </w:tc>
        <w:tc>
          <w:tcPr>
            <w:tcW w:type="dxa" w:w="1004"/>
            <w:gridSpan w:val="2"/>
            <w:tcBorders>
              <w:end w:sz="7.320000171661377" w:val="single" w:color="#00FF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12.16%</w:t>
            </w:r>
          </w:p>
        </w:tc>
        <w:tc>
          <w:tcPr>
            <w:tcW w:type="dxa" w:w="616"/>
            <w:tcBorders>
              <w:start w:sz="7.320000171661377" w:val="single" w:color="#00FF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44" w:firstLine="0"/>
              <w:jc w:val="righ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8.04%</w:t>
            </w:r>
          </w:p>
        </w:tc>
        <w:tc>
          <w:tcPr>
            <w:tcW w:type="dxa" w:w="1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482" w:right="0" w:firstLine="0"/>
              <w:jc w:val="left"/>
            </w:pPr>
            <w:r>
              <w:rPr>
                <w:w w:val="101.99999809265137"/>
                <w:rFonts w:ascii="Calibri" w:hAnsi="Calibri" w:eastAsia="Calibri"/>
                <w:b w:val="0"/>
                <w:i w:val="0"/>
                <w:color w:val="041E42"/>
                <w:sz w:val="12"/>
              </w:rPr>
              <w:t>11.77%</w:t>
            </w:r>
          </w:p>
        </w:tc>
        <w:tc>
          <w:tcPr>
            <w:tcW w:type="dxa" w:w="1667"/>
            <w:vMerge/>
            <w:tcBorders>
              <w:top w:sz="7.320000171661377" w:val="single" w:color="#00FF00"/>
            </w:tcBorders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.00000000000001" w:type="dxa"/>
      </w:tblPr>
      <w:tblGrid>
        <w:gridCol w:w="5835"/>
        <w:gridCol w:w="5835"/>
      </w:tblGrid>
      <w:tr>
        <w:trPr>
          <w:trHeight w:hRule="exact" w:val="458"/>
        </w:trPr>
        <w:tc>
          <w:tcPr>
            <w:tcW w:type="dxa" w:w="11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6" w:after="0"/>
              <w:ind w:left="0" w:right="3846" w:firstLine="0"/>
              <w:jc w:val="righ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créditos hipotecarios y por cantidad es respecto al total de créditos.</w:t>
            </w:r>
          </w:p>
        </w:tc>
      </w:tr>
      <w:tr>
        <w:trPr>
          <w:trHeight w:hRule="exact" w:val="2012"/>
        </w:trPr>
        <w:tc>
          <w:tcPr>
            <w:tcW w:type="dxa" w:w="5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8"/>
              <w:ind w:left="248" w:right="0" w:firstLine="0"/>
              <w:jc w:val="left"/>
            </w:pPr>
            <w:r>
              <w:rPr>
                <w:w w:val="102.31579228451378"/>
                <w:rFonts w:ascii="Calibri" w:hAnsi="Calibri" w:eastAsia="Calibri"/>
                <w:b w:val="0"/>
                <w:i w:val="0"/>
                <w:color w:val="041E42"/>
                <w:sz w:val="19"/>
              </w:rPr>
              <w:t>Participación por Rango de Tasas______________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7.99999999999997" w:type="dxa"/>
            </w:tblPr>
            <w:tblGrid>
              <w:gridCol w:w="489"/>
              <w:gridCol w:w="489"/>
              <w:gridCol w:w="489"/>
              <w:gridCol w:w="489"/>
              <w:gridCol w:w="489"/>
              <w:gridCol w:w="489"/>
              <w:gridCol w:w="489"/>
              <w:gridCol w:w="489"/>
              <w:gridCol w:w="489"/>
              <w:gridCol w:w="489"/>
              <w:gridCol w:w="489"/>
            </w:tblGrid>
            <w:tr>
              <w:trPr>
                <w:trHeight w:hRule="exact" w:val="220"/>
              </w:trPr>
              <w:tc>
                <w:tcPr>
                  <w:tcW w:type="dxa" w:w="402"/>
                  <w:tcBorders>
                    <w:start w:sz="2.240000009536743" w:val="single" w:color="#000000"/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74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105%</w:t>
                  </w:r>
                </w:p>
              </w:tc>
              <w:tc>
                <w:tcPr>
                  <w:tcW w:type="dxa" w:w="2816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top w:sz="2.240000009536743" w:val="single" w:color="#000000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50"/>
              </w:trPr>
              <w:tc>
                <w:tcPr>
                  <w:tcW w:type="dxa" w:w="402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8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90%</w:t>
                  </w:r>
                </w:p>
              </w:tc>
              <w:tc>
                <w:tcPr>
                  <w:tcW w:type="dxa" w:w="2816"/>
                  <w:tcBorders>
                    <w:start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0"/>
              </w:trPr>
              <w:tc>
                <w:tcPr>
                  <w:tcW w:type="dxa" w:w="402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16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62"/>
              </w:trPr>
              <w:tc>
                <w:tcPr>
                  <w:tcW w:type="dxa" w:w="402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75% </w:t>
                  </w: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60%</w:t>
                  </w:r>
                </w:p>
              </w:tc>
              <w:tc>
                <w:tcPr>
                  <w:tcW w:type="dxa" w:w="2816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8"/>
              </w:trPr>
              <w:tc>
                <w:tcPr>
                  <w:tcW w:type="dxa" w:w="402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6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45%</w:t>
                  </w:r>
                </w:p>
              </w:tc>
              <w:tc>
                <w:tcPr>
                  <w:tcW w:type="dxa" w:w="2816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8"/>
              </w:trPr>
              <w:tc>
                <w:tcPr>
                  <w:tcW w:type="dxa" w:w="402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4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30%</w:t>
                  </w:r>
                </w:p>
              </w:tc>
              <w:tc>
                <w:tcPr>
                  <w:tcW w:type="dxa" w:w="2816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3"/>
              </w:trPr>
              <w:tc>
                <w:tcPr>
                  <w:tcW w:type="dxa" w:w="402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16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  <w:bottom w:sz="1.2200000286102295" w:val="single" w:color="#CBCBCB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start w:sz="9.760000228881836" w:val="single" w:color="#000000"/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top w:sz="1.2200000286102295" w:val="single" w:color="#CBCBCB"/>
                    <w:end w:sz="2.240000009536743" w:val="single" w:color="#000000"/>
                    <w:bottom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37"/>
              </w:trPr>
              <w:tc>
                <w:tcPr>
                  <w:tcW w:type="dxa" w:w="402"/>
                  <w:tcBorders>
                    <w:start w:sz="2.240000009536743" w:val="single" w:color="#000000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0" w:firstLine="0"/>
                    <w:jc w:val="center"/>
                  </w:pPr>
                  <w:r>
                    <w:rPr>
                      <w:w w:val="104.1600036621093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15%</w:t>
                  </w:r>
                </w:p>
              </w:tc>
              <w:tc>
                <w:tcPr>
                  <w:tcW w:type="dxa" w:w="2816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</w:tcBorders>
                  <w:shd w:fill="919191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start w:sz="9.760000228881836" w:val="single" w:color="#000000"/>
                    <w:top w:sz="1.2200000286102295" w:val="single" w:color="#CBCBCB"/>
                    <w:end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end w:sz="9.760000228881836" w:val="single" w:color="#000000"/>
                  </w:tcBorders>
                  <w:shd w:fill="041e42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start w:sz="9.760000228881836" w:val="single" w:color="#000000"/>
                    <w:top w:sz="1.2200000286102295" w:val="single" w:color="#CBCBCB"/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1.2200000286102295" w:val="single" w:color="#CBCBCB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top w:sz="1.2200000286102295" w:val="single" w:color="#CBCBCB"/>
                    <w:end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"/>
              </w:trPr>
              <w:tc>
                <w:tcPr>
                  <w:tcW w:type="dxa" w:w="402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16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top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2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5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4"/>
                  <w:tcBorders>
                    <w:bottom w:sz="9.760000228881836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73"/>
              </w:trPr>
              <w:tc>
                <w:tcPr>
                  <w:tcW w:type="dxa" w:w="402"/>
                  <w:tcBorders>
                    <w:start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4" w:lineRule="exact" w:before="0" w:after="0"/>
                    <w:ind w:left="0" w:right="0" w:firstLine="0"/>
                    <w:jc w:val="center"/>
                  </w:pPr>
                  <w:r>
                    <w:rPr>
                      <w:w w:val="103.6800003051758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0%</w:t>
                  </w:r>
                </w:p>
              </w:tc>
              <w:tc>
                <w:tcPr>
                  <w:tcW w:type="dxa" w:w="2816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0.0" w:type="dxa"/>
                  </w:tblPr>
                  <w:tblGrid>
                    <w:gridCol w:w="469"/>
                    <w:gridCol w:w="469"/>
                    <w:gridCol w:w="469"/>
                    <w:gridCol w:w="469"/>
                    <w:gridCol w:w="469"/>
                    <w:gridCol w:w="469"/>
                  </w:tblGrid>
                  <w:tr>
                    <w:trPr>
                      <w:trHeight w:hRule="exact" w:val="210"/>
                    </w:trPr>
                    <w:tc>
                      <w:tcPr>
                        <w:tcW w:type="dxa" w:w="4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&lt;=8%</w:t>
                        </w:r>
                      </w:p>
                    </w:tc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8%-9%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9%-10%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10%-11%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36" w:lineRule="exact" w:before="28" w:after="0"/>
                          <w:ind w:left="0" w:right="0" w:firstLine="0"/>
                          <w:jc w:val="center"/>
                        </w:pPr>
                        <w:r>
                          <w:rPr>
                            <w:w w:val="98.4000015258789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>11%-12%</w:t>
                        </w:r>
                      </w:p>
                    </w:tc>
                    <w:tc>
                      <w:tcPr>
                        <w:tcW w:type="dxa" w:w="6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216"/>
                    </w:trPr>
                    <w:tc>
                      <w:tcPr>
                        <w:tcW w:type="dxa" w:w="469"/>
                        <w:vMerge/>
                        <w:tcBorders/>
                      </w:tcPr>
                      <w:p/>
                    </w:tc>
                    <w:tc>
                      <w:tcPr>
                        <w:tcW w:type="dxa" w:w="469"/>
                        <w:vMerge/>
                        <w:tcBorders/>
                      </w:tcPr>
                      <w:p/>
                    </w:tc>
                    <w:tc>
                      <w:tcPr>
                        <w:tcW w:type="dxa" w:w="110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68" w:after="0"/>
                          <w:ind w:left="0" w:right="0" w:firstLine="0"/>
                          <w:jc w:val="center"/>
                        </w:pPr>
                        <w:r>
                          <w:rPr>
                            <w:w w:val="101.9999980926513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Por Cantidad</w:t>
                        </w:r>
                      </w:p>
                    </w:tc>
                    <w:tc>
                      <w:tcPr>
                        <w:tcW w:type="dxa" w:w="5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12" w:lineRule="exact" w:before="68" w:after="0"/>
                          <w:ind w:left="0" w:right="18" w:firstLine="0"/>
                          <w:jc w:val="right"/>
                        </w:pPr>
                        <w:r>
                          <w:rPr>
                            <w:w w:val="101.99999809265137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8"/>
                          </w:rPr>
                          <w:t>Por Monto</w:t>
                        </w:r>
                      </w:p>
                    </w:tc>
                    <w:tc>
                      <w:tcPr>
                        <w:tcW w:type="dxa" w:w="469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36" w:lineRule="exact" w:before="0" w:after="0"/>
                    <w:ind w:left="0" w:right="2" w:firstLine="0"/>
                    <w:jc w:val="right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46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2%-</w:t>
                  </w:r>
                </w:p>
              </w:tc>
              <w:tc>
                <w:tcPr>
                  <w:tcW w:type="dxa" w:w="15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46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-13</w:t>
                  </w:r>
                </w:p>
              </w:tc>
              <w:tc>
                <w:tcPr>
                  <w:tcW w:type="dxa" w:w="232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4" w:val="left"/>
                    </w:tabs>
                    <w:autoSpaceDE w:val="0"/>
                    <w:widowControl/>
                    <w:spacing w:line="136" w:lineRule="exact" w:before="46" w:after="0"/>
                    <w:ind w:left="0" w:right="0" w:firstLine="0"/>
                    <w:jc w:val="left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46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3%-</w:t>
                  </w:r>
                </w:p>
              </w:tc>
              <w:tc>
                <w:tcPr>
                  <w:tcW w:type="dxa" w:w="154"/>
                  <w:tcBorders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58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-14</w:t>
                  </w:r>
                </w:p>
              </w:tc>
              <w:tc>
                <w:tcPr>
                  <w:tcW w:type="dxa" w:w="232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4" w:val="left"/>
                    </w:tabs>
                    <w:autoSpaceDE w:val="0"/>
                    <w:widowControl/>
                    <w:spacing w:line="136" w:lineRule="exact" w:before="46" w:after="0"/>
                    <w:ind w:left="0" w:right="0" w:firstLine="0"/>
                    <w:jc w:val="left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</w:t>
                  </w:r>
                </w:p>
              </w:tc>
              <w:tc>
                <w:tcPr>
                  <w:tcW w:type="dxa" w:w="15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46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4%-</w:t>
                  </w:r>
                </w:p>
              </w:tc>
              <w:tc>
                <w:tcPr>
                  <w:tcW w:type="dxa" w:w="154"/>
                  <w:tcBorders>
                    <w:top w:sz="9.760000228881836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6" w:lineRule="exact" w:before="46" w:after="0"/>
                    <w:ind w:left="0" w:right="0" w:firstLine="0"/>
                    <w:jc w:val="center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-15</w:t>
                  </w:r>
                </w:p>
              </w:tc>
              <w:tc>
                <w:tcPr>
                  <w:tcW w:type="dxa" w:w="654"/>
                  <w:tcBorders>
                    <w:top w:sz="9.760000228881836" w:val="single" w:color="#000000"/>
                    <w:end w:sz="2.240000009536743" w:val="single" w:color="#000000"/>
                    <w:bottom w:sz="2.24000000953674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0" w:val="left"/>
                    </w:tabs>
                    <w:autoSpaceDE w:val="0"/>
                    <w:widowControl/>
                    <w:spacing w:line="136" w:lineRule="exact" w:before="46" w:after="0"/>
                    <w:ind w:left="0" w:right="0" w:firstLine="0"/>
                    <w:jc w:val="left"/>
                  </w:pP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% </w:t>
                  </w:r>
                  <w:r>
                    <w:tab/>
                  </w:r>
                  <w:r>
                    <w:rPr>
                      <w:w w:val="98.4000015258789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&gt;=16%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16" w:after="0"/>
              <w:ind w:left="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 LTV PP: Relación del saldo de capital de la deuda respecto al avalúo actual del inmueble como promedio ponderado por el saldo de capital los créditos.</w:t>
            </w:r>
          </w:p>
          <w:p>
            <w:pPr>
              <w:autoSpaceDN w:val="0"/>
              <w:autoSpaceDE w:val="0"/>
              <w:widowControl/>
              <w:spacing w:line="98" w:lineRule="exact" w:before="134" w:after="0"/>
              <w:ind w:left="32" w:right="0" w:firstLine="0"/>
              <w:jc w:val="left"/>
            </w:pPr>
            <w:r>
              <w:rPr>
                <w:w w:val="104.99999523162842"/>
                <w:rFonts w:ascii="ArialMT" w:hAnsi="ArialMT" w:eastAsia="ArialMT"/>
                <w:b w:val="0"/>
                <w:i w:val="0"/>
                <w:color w:val="000000"/>
                <w:sz w:val="8"/>
              </w:rPr>
              <w:t>►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 Tasa PP: Tasa promedio ponderada por el saldo de capital de los créditos.</w:t>
            </w:r>
          </w:p>
          <w:p>
            <w:pPr>
              <w:autoSpaceDN w:val="0"/>
              <w:autoSpaceDE w:val="0"/>
              <w:widowControl/>
              <w:spacing w:line="259" w:lineRule="auto" w:before="504" w:after="0"/>
              <w:ind w:left="32" w:right="0" w:firstLine="0"/>
              <w:jc w:val="left"/>
            </w:pP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“Titularizadora Colombiana S.A publica el presente documento con un carácter estrictamente informativo para los inversionistas. Aunque la información aquí contenida ha sido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obtenida de fuentes que la compañía considera confiables, Titularizadora Colombiana S.A no garantiza su exactitud. En ningún caso su contenido se puede considerar como una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opinión financiera o legal ni como una recomendación de negocios o de inversión por parte de nuestra compañía. Tampoco puede ser considerado como una invitación a realizar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negocios ni como una oferta para comprar o vender ningún tipo de valor. En ningún caso Titularizadora Colombiana S.A asume responsabilidad por las decisiones de inversión que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se tomen, o el resultado de cualquier operación que se efectúe por parte de los destinatarios o de terceras personas, sobre la información aquí contenida. Tal responsabilidad es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 xml:space="preserve">exclusiva de los inversionistas que hagan uso de ella. Dicha información puede tener variaciones posteriores a la fecha de su publicación razón por la cual Titularizadora Colombiana </w:t>
            </w:r>
            <w:r>
              <w:rPr>
                <w:w w:val="104.99999523162842"/>
                <w:rFonts w:ascii="Calibri" w:hAnsi="Calibri" w:eastAsia="Calibri"/>
                <w:b w:val="0"/>
                <w:i w:val="0"/>
                <w:color w:val="000000"/>
                <w:sz w:val="8"/>
              </w:rPr>
              <w:t>S.A se reserva el derecho de modificarla o actualizarla en cualquier tiempo y sin previo aviso.”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1.9999999999999" w:type="dxa"/>
      </w:tblPr>
      <w:tblGrid>
        <w:gridCol w:w="5835"/>
        <w:gridCol w:w="5835"/>
      </w:tblGrid>
      <w:tr>
        <w:trPr>
          <w:trHeight w:hRule="exact" w:val="150"/>
        </w:trPr>
        <w:tc>
          <w:tcPr>
            <w:tcW w:type="dxa" w:w="1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Tasa PP en enero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12.60%</w:t>
            </w:r>
          </w:p>
        </w:tc>
      </w:tr>
      <w:tr>
        <w:trPr>
          <w:trHeight w:hRule="exact" w:val="131"/>
        </w:trPr>
        <w:tc>
          <w:tcPr>
            <w:tcW w:type="dxa" w:w="1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LTV PP en enero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6" w:after="0"/>
              <w:ind w:left="0" w:right="0" w:firstLine="0"/>
              <w:jc w:val="center"/>
            </w:pPr>
            <w:r>
              <w:rPr>
                <w:w w:val="101.99999809265137"/>
                <w:rFonts w:ascii="Calibri" w:hAnsi="Calibri" w:eastAsia="Calibri"/>
                <w:b/>
                <w:i w:val="0"/>
                <w:color w:val="041E42"/>
                <w:sz w:val="12"/>
              </w:rPr>
              <w:t>22.49%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20" w:right="256" w:bottom="870" w:left="31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