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>
        <w:trPr>
          <w:trHeight w:hRule="exact" w:val="62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95680" cy="9283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80" cy="928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2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FFFFFF"/>
                <w:sz w:val="12"/>
              </w:rPr>
              <w:t>h2</w:t>
            </w:r>
          </w:p>
        </w:tc>
        <w:tc>
          <w:tcPr>
            <w:tcW w:type="dxa" w:w="2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6" w:after="0"/>
              <w:ind w:left="0" w:right="924" w:firstLine="0"/>
              <w:jc w:val="right"/>
            </w:pPr>
            <w:r>
              <w:rPr>
                <w:w w:val="103.38461215679462"/>
                <w:rFonts w:ascii="Calibri" w:hAnsi="Calibri" w:eastAsia="Calibri"/>
                <w:b/>
                <w:i w:val="0"/>
                <w:color w:val="041E42"/>
                <w:sz w:val="13"/>
              </w:rPr>
              <w:t>marzo de 2024</w:t>
            </w:r>
          </w:p>
        </w:tc>
        <w:tc>
          <w:tcPr>
            <w:tcW w:type="dxa" w:w="2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46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62659" cy="5651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659" cy="565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7" w:lineRule="auto" w:before="516" w:after="0"/>
              <w:ind w:left="19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03366"/>
                <w:sz w:val="13"/>
                <w:u w:val="single"/>
              </w:rPr>
              <w:t>Cobeturas Externas</w:t>
            </w:r>
          </w:p>
        </w:tc>
      </w:tr>
      <w:tr>
        <w:trPr>
          <w:trHeight w:hRule="exact" w:val="240"/>
        </w:trPr>
        <w:tc>
          <w:tcPr>
            <w:tcW w:type="dxa" w:w="972"/>
            <w:vMerge/>
            <w:tcBorders/>
          </w:tcPr>
          <w:p/>
        </w:tc>
        <w:tc>
          <w:tcPr>
            <w:tcW w:type="dxa" w:w="498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2"/>
              </w:rPr>
              <w:t>Informe de Riesgo</w:t>
            </w:r>
          </w:p>
        </w:tc>
        <w:tc>
          <w:tcPr>
            <w:tcW w:type="dxa" w:w="1944"/>
            <w:gridSpan w:val="2"/>
            <w:vMerge/>
            <w:tcBorders/>
          </w:tcPr>
          <w:p/>
        </w:tc>
        <w:tc>
          <w:tcPr>
            <w:tcW w:type="dxa" w:w="1944"/>
            <w:gridSpan w:val="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972"/>
            <w:vMerge/>
            <w:tcBorders/>
          </w:tcPr>
          <w:p/>
        </w:tc>
        <w:tc>
          <w:tcPr>
            <w:tcW w:type="dxa" w:w="6804"/>
            <w:gridSpan w:val="7"/>
            <w:vMerge/>
            <w:tcBorders/>
          </w:tcPr>
          <w:p/>
        </w:tc>
        <w:tc>
          <w:tcPr>
            <w:tcW w:type="dxa" w:w="25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382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Edad de la emisión: 70 meses</w:t>
            </w:r>
          </w:p>
        </w:tc>
        <w:tc>
          <w:tcPr>
            <w:tcW w:type="dxa" w:w="1944"/>
            <w:gridSpan w:val="2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972"/>
            <w:vMerge/>
            <w:tcBorders/>
          </w:tcPr>
          <w:p/>
        </w:tc>
        <w:tc>
          <w:tcPr>
            <w:tcW w:type="dxa" w:w="498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w w:val="97.60000228881836"/>
                <w:rFonts w:ascii="Calibri" w:hAnsi="Calibri" w:eastAsia="Calibri"/>
                <w:b/>
                <w:i w:val="0"/>
                <w:color w:val="6E2C3E"/>
                <w:sz w:val="15"/>
                <w:u w:val="single"/>
              </w:rPr>
              <w:t>TIS PESOS H2</w:t>
            </w:r>
            <w:r>
              <w:rPr>
                <w:w w:val="103.38461215679462"/>
                <w:rFonts w:ascii="Calibri" w:hAnsi="Calibri" w:eastAsia="Calibri"/>
                <w:b w:val="0"/>
                <w:i w:val="0"/>
                <w:color w:val="993366"/>
                <w:sz w:val="13"/>
                <w:u w:val="single"/>
              </w:rPr>
              <w:t>____________________________________________________________</w:t>
            </w:r>
          </w:p>
        </w:tc>
        <w:tc>
          <w:tcPr>
            <w:tcW w:type="dxa" w:w="1944"/>
            <w:gridSpan w:val="2"/>
            <w:vMerge/>
            <w:tcBorders/>
          </w:tcPr>
          <w:p/>
        </w:tc>
        <w:tc>
          <w:tcPr>
            <w:tcW w:type="dxa" w:w="1944"/>
            <w:gridSpan w:val="2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972"/>
            <w:vMerge/>
            <w:tcBorders/>
          </w:tcPr>
          <w:p/>
        </w:tc>
        <w:tc>
          <w:tcPr>
            <w:tcW w:type="dxa" w:w="498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30" w:right="0" w:firstLine="0"/>
              <w:jc w:val="left"/>
            </w:pPr>
            <w:r>
              <w:rPr>
                <w:w w:val="97.60000228881836"/>
                <w:rFonts w:ascii="Calibri" w:hAnsi="Calibri" w:eastAsia="Calibri"/>
                <w:b w:val="0"/>
                <w:i w:val="0"/>
                <w:color w:val="041E42"/>
                <w:sz w:val="15"/>
              </w:rPr>
              <w:t>$millones de pesos</w:t>
            </w:r>
          </w:p>
        </w:tc>
        <w:tc>
          <w:tcPr>
            <w:tcW w:type="dxa" w:w="1944"/>
            <w:gridSpan w:val="2"/>
            <w:vMerge/>
            <w:tcBorders/>
          </w:tcPr>
          <w:p/>
        </w:tc>
        <w:tc>
          <w:tcPr>
            <w:tcW w:type="dxa" w:w="194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72"/>
            <w:vMerge/>
            <w:tcBorders/>
          </w:tcPr>
          <w:p/>
        </w:tc>
        <w:tc>
          <w:tcPr>
            <w:tcW w:type="dxa" w:w="6804"/>
            <w:gridSpan w:val="7"/>
            <w:vMerge/>
            <w:tcBorders/>
          </w:tcPr>
          <w:p/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118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Saldo de capital cartera: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5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$20,518 millones </w:t>
            </w:r>
          </w:p>
        </w:tc>
        <w:tc>
          <w:tcPr>
            <w:tcW w:type="dxa" w:w="1944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1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2" w:after="0"/>
              <w:ind w:left="288" w:right="0" w:firstLine="0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Saldos y cobertura _______________________________________________________________ </w:t>
            </w: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Mora &gt;120 días: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5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$490 millones </w:t>
            </w:r>
          </w:p>
        </w:tc>
        <w:tc>
          <w:tcPr>
            <w:tcW w:type="dxa" w:w="1944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2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TIS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4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Tasa</w:t>
            </w:r>
          </w:p>
        </w:tc>
        <w:tc>
          <w:tcPr>
            <w:tcW w:type="dxa" w:w="1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5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Saldo Inicial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Actual</w:t>
            </w:r>
          </w:p>
        </w:tc>
        <w:tc>
          <w:tcPr>
            <w:tcW w:type="dxa" w:w="1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1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Participación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5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Amortización</w:t>
            </w:r>
          </w:p>
        </w:tc>
        <w:tc>
          <w:tcPr>
            <w:tcW w:type="dxa" w:w="2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48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Cobertura Vigente*</w:t>
            </w:r>
          </w:p>
        </w:tc>
        <w:tc>
          <w:tcPr>
            <w:tcW w:type="dxa" w:w="194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2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A-2028: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7.29%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24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$39,750</w:t>
            </w:r>
          </w:p>
        </w:tc>
        <w:tc>
          <w:tcPr>
            <w:tcW w:type="dxa" w:w="8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84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$9,395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54.5%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66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76.4%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92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213.16%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TC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31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94</w:t>
            </w:r>
          </w:p>
        </w:tc>
      </w:tr>
      <w:tr>
        <w:trPr>
          <w:trHeight w:hRule="exact" w:val="18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2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B1-2033:</w:t>
            </w:r>
          </w:p>
        </w:tc>
        <w:tc>
          <w:tcPr>
            <w:tcW w:type="dxa" w:w="9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11.75%</w:t>
            </w:r>
          </w:p>
        </w:tc>
        <w:tc>
          <w:tcPr>
            <w:tcW w:type="dxa" w:w="9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$6,189</w:t>
            </w:r>
          </w:p>
        </w:tc>
        <w:tc>
          <w:tcPr>
            <w:tcW w:type="dxa" w:w="8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184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$6,189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35.9%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69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 + B1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192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128.51%</w:t>
            </w:r>
          </w:p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2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B2-2033:</w:t>
            </w:r>
          </w:p>
        </w:tc>
        <w:tc>
          <w:tcPr>
            <w:tcW w:type="dxa" w:w="9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13.00%</w:t>
            </w:r>
          </w:p>
        </w:tc>
        <w:tc>
          <w:tcPr>
            <w:tcW w:type="dxa" w:w="9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$1,666</w:t>
            </w:r>
          </w:p>
        </w:tc>
        <w:tc>
          <w:tcPr>
            <w:tcW w:type="dxa" w:w="8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184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$1,666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9.7%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69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 + B1 + B2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192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116.10%</w:t>
            </w:r>
          </w:p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68" w:after="42"/>
        <w:ind w:left="334" w:right="0" w:firstLine="0"/>
        <w:jc w:val="left"/>
      </w:pPr>
      <w:r>
        <w:rPr>
          <w:w w:val="102.31579228451378"/>
          <w:rFonts w:ascii="Calibri" w:hAnsi="Calibri" w:eastAsia="Calibri"/>
          <w:b w:val="0"/>
          <w:i w:val="0"/>
          <w:color w:val="041E42"/>
          <w:sz w:val="19"/>
        </w:rPr>
        <w:t>Prepago______________________________________________________________________________________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.0" w:type="dxa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rPr>
          <w:trHeight w:hRule="exact" w:val="2030"/>
        </w:trPr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6.0" w:type="dxa"/>
            </w:tblPr>
            <w:tblGrid>
              <w:gridCol w:w="1235"/>
              <w:gridCol w:w="1235"/>
              <w:gridCol w:w="1235"/>
              <w:gridCol w:w="1235"/>
            </w:tblGrid>
            <w:tr>
              <w:trPr>
                <w:trHeight w:hRule="exact" w:val="450"/>
              </w:trPr>
              <w:tc>
                <w:tcPr>
                  <w:tcW w:type="dxa" w:w="8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8" w:after="0"/>
                    <w:ind w:left="144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febrero</w:t>
                  </w:r>
                </w:p>
              </w:tc>
              <w:tc>
                <w:tcPr>
                  <w:tcW w:type="dxa" w:w="9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8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8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144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marzo</w:t>
                  </w:r>
                </w:p>
              </w:tc>
            </w:tr>
            <w:tr>
              <w:trPr>
                <w:trHeight w:hRule="exact" w:val="151"/>
              </w:trPr>
              <w:tc>
                <w:tcPr>
                  <w:tcW w:type="dxa" w:w="8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8.13%</w:t>
                  </w:r>
                </w:p>
              </w:tc>
              <w:tc>
                <w:tcPr>
                  <w:tcW w:type="dxa" w:w="9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7.96%</w:t>
                  </w:r>
                </w:p>
              </w:tc>
              <w:tc>
                <w:tcPr>
                  <w:tcW w:type="dxa" w:w="8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7.14%</w:t>
                  </w:r>
                </w:p>
              </w:tc>
              <w:tc>
                <w:tcPr>
                  <w:tcW w:type="dxa" w:w="8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7.96%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9" w:lineRule="auto" w:before="1856" w:after="0"/>
              <w:ind w:left="168" w:right="0" w:firstLine="0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>Mora o</w:t>
            </w:r>
            <w:r>
              <w:rPr>
                <w:u w:val="single" w:color="000000"/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>bservada____________________________</w:t>
            </w: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>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8.0" w:type="dxa"/>
            </w:tblPr>
            <w:tblGrid>
              <w:gridCol w:w="494"/>
              <w:gridCol w:w="494"/>
              <w:gridCol w:w="494"/>
              <w:gridCol w:w="494"/>
              <w:gridCol w:w="494"/>
              <w:gridCol w:w="494"/>
              <w:gridCol w:w="494"/>
              <w:gridCol w:w="494"/>
              <w:gridCol w:w="494"/>
              <w:gridCol w:w="494"/>
            </w:tblGrid>
            <w:tr>
              <w:trPr>
                <w:trHeight w:hRule="exact" w:val="615"/>
              </w:trPr>
              <w:tc>
                <w:tcPr>
                  <w:tcW w:type="dxa" w:w="362"/>
                  <w:tcBorders>
                    <w:start w:sz="2.240000009536743" w:val="single" w:color="#000000"/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478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60%</w:t>
                  </w:r>
                </w:p>
              </w:tc>
              <w:tc>
                <w:tcPr>
                  <w:tcW w:type="dxa" w:w="20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266" w:after="0"/>
                    <w:ind w:left="0" w:right="0" w:firstLine="0"/>
                    <w:jc w:val="right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</w:t>
                  </w:r>
                </w:p>
              </w:tc>
              <w:tc>
                <w:tcPr>
                  <w:tcW w:type="dxa" w:w="20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4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Amo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cu</w:t>
                  </w:r>
                </w:p>
              </w:tc>
              <w:tc>
                <w:tcPr>
                  <w:tcW w:type="dxa" w:w="20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8" w:val="left"/>
                    </w:tabs>
                    <w:autoSpaceDE w:val="0"/>
                    <w:widowControl/>
                    <w:spacing w:line="264" w:lineRule="auto" w:before="124" w:after="0"/>
                    <w:ind w:left="0" w:right="0" w:firstLine="0"/>
                    <w:jc w:val="left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rtiz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mul</w:t>
                  </w:r>
                </w:p>
              </w:tc>
              <w:tc>
                <w:tcPr>
                  <w:tcW w:type="dxa" w:w="592"/>
                  <w:tcBorders>
                    <w:top w:sz="2.240000009536743" w:val="single" w:color="#000000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4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ación de c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ado de la c</w:t>
                  </w:r>
                </w:p>
              </w:tc>
              <w:tc>
                <w:tcPr>
                  <w:tcW w:type="dxa" w:w="20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4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apit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arte</w:t>
                  </w:r>
                </w:p>
              </w:tc>
              <w:tc>
                <w:tcPr>
                  <w:tcW w:type="dxa" w:w="20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4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al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ra</w:t>
                  </w:r>
                </w:p>
              </w:tc>
              <w:tc>
                <w:tcPr>
                  <w:tcW w:type="dxa" w:w="594"/>
                  <w:tcBorders>
                    <w:top w:sz="2.240000009536743" w:val="single" w:color="#000000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73"/>
              </w:trPr>
              <w:tc>
                <w:tcPr>
                  <w:tcW w:type="dxa" w:w="362"/>
                  <w:tcBorders>
                    <w:start w:sz="2.240000009536743" w:val="single" w:color="#000000"/>
                    <w:end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50% </w:t>
                  </w: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40%</w:t>
                  </w:r>
                </w:p>
              </w:tc>
              <w:tc>
                <w:tcPr>
                  <w:tcW w:type="dxa" w:w="206"/>
                  <w:tcBorders>
                    <w:start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9.760000228881836" w:val="single" w:color="#000000"/>
                    <w:top w:sz="9.760000228881836" w:val="single" w:color="#000000"/>
                    <w:end w:sz="9.76000022888183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9.760000228881836" w:val="single" w:color="#000000"/>
                    <w:top w:sz="9.760000228881836" w:val="single" w:color="#000000"/>
                    <w:end w:sz="9.76000022888183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9.760000228881836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9"/>
              </w:trPr>
              <w:tc>
                <w:tcPr>
                  <w:tcW w:type="dxa" w:w="362"/>
                  <w:tcBorders>
                    <w:start w:sz="2.240000009536743" w:val="single" w:color="#000000"/>
                    <w:end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2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30% </w:t>
                  </w: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20% </w:t>
                  </w: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10% </w:t>
                  </w: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</w:t>
                  </w:r>
                </w:p>
              </w:tc>
              <w:tc>
                <w:tcPr>
                  <w:tcW w:type="dxa" w:w="206"/>
                  <w:tcBorders>
                    <w:start w:sz="1.2200000286102295" w:val="single" w:color="#000000"/>
                    <w:end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9.760000228881836" w:val="single" w:color="#000000"/>
                    <w:top w:sz="9.760000228881836" w:val="single" w:color="#000000"/>
                    <w:end w:sz="9.760000228881836" w:val="single" w:color="#000000"/>
                    <w:bottom w:sz="1.220000028610229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164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36.52%</w:t>
                  </w:r>
                </w:p>
              </w:tc>
              <w:tc>
                <w:tcPr>
                  <w:tcW w:type="dxa" w:w="208"/>
                  <w:tcBorders>
                    <w:start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end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9.760000228881836" w:val="single" w:color="#000000"/>
                    <w:end w:sz="9.760000228881836" w:val="single" w:color="#000000"/>
                    <w:bottom w:sz="1.220000028610229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34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57.74%</w:t>
                  </w:r>
                </w:p>
              </w:tc>
              <w:tc>
                <w:tcPr>
                  <w:tcW w:type="dxa" w:w="208"/>
                  <w:tcBorders>
                    <w:start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end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9.760000228881836" w:val="single" w:color="#000000"/>
                    <w:end w:sz="9.760000228881836" w:val="single" w:color="#000000"/>
                    <w:bottom w:sz="1.220000028610229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46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56.05%</w:t>
                  </w:r>
                </w:p>
              </w:tc>
              <w:tc>
                <w:tcPr>
                  <w:tcW w:type="dxa" w:w="218"/>
                  <w:tcBorders>
                    <w:start w:sz="9.760000228881836" w:val="single" w:color="#000000"/>
                    <w:end w:sz="2.240000009536743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3"/>
              </w:trPr>
              <w:tc>
                <w:tcPr>
                  <w:tcW w:type="dxa" w:w="362"/>
                  <w:tcBorders>
                    <w:start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52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Teórico</w:t>
                  </w:r>
                </w:p>
              </w:tc>
              <w:tc>
                <w:tcPr>
                  <w:tcW w:type="dxa" w:w="208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52" w:after="0"/>
                    <w:ind w:left="0" w:right="0" w:firstLine="0"/>
                    <w:jc w:val="right"/>
                  </w:pPr>
                  <w:r>
                    <w:rPr>
                      <w:w w:val="101.20000044504802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P</w:t>
                  </w:r>
                </w:p>
              </w:tc>
              <w:tc>
                <w:tcPr>
                  <w:tcW w:type="dxa" w:w="592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80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repago CP </w:t>
                  </w:r>
                  <w:r>
                    <w:rPr>
                      <w:w w:val="101.60000324249268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10%</w:t>
                  </w:r>
                </w:p>
              </w:tc>
              <w:tc>
                <w:tcPr>
                  <w:tcW w:type="dxa" w:w="208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52" w:after="0"/>
                    <w:ind w:left="0" w:right="0" w:firstLine="0"/>
                    <w:jc w:val="left"/>
                  </w:pPr>
                  <w:r>
                    <w:rPr>
                      <w:w w:val="101.20000044504802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R</w:t>
                  </w:r>
                </w:p>
              </w:tc>
              <w:tc>
                <w:tcPr>
                  <w:tcW w:type="dxa" w:w="206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52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Observado</w:t>
                  </w:r>
                </w:p>
              </w:tc>
              <w:tc>
                <w:tcPr>
                  <w:tcW w:type="dxa" w:w="218"/>
                  <w:tcBorders>
                    <w:top w:sz="1.2200000286102295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1514" w:val="left"/>
              </w:tabs>
              <w:autoSpaceDE w:val="0"/>
              <w:widowControl/>
              <w:spacing w:line="250" w:lineRule="exact" w:before="0" w:after="0"/>
              <w:ind w:left="200" w:right="0" w:firstLine="0"/>
              <w:jc w:val="left"/>
            </w:pP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5.0%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3366"/>
                <w:sz w:val="14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182" w:lineRule="exact" w:before="792" w:after="0"/>
              <w:ind w:left="200" w:right="0" w:firstLine="0"/>
              <w:jc w:val="left"/>
            </w:pP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>2.5%</w:t>
            </w:r>
          </w:p>
          <w:p>
            <w:pPr>
              <w:autoSpaceDN w:val="0"/>
              <w:autoSpaceDE w:val="0"/>
              <w:widowControl/>
              <w:spacing w:line="180" w:lineRule="exact" w:before="14" w:after="0"/>
              <w:ind w:left="200" w:right="0" w:firstLine="0"/>
              <w:jc w:val="left"/>
            </w:pP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>2.0%</w:t>
            </w:r>
          </w:p>
          <w:p>
            <w:pPr>
              <w:autoSpaceDN w:val="0"/>
              <w:autoSpaceDE w:val="0"/>
              <w:widowControl/>
              <w:spacing w:line="182" w:lineRule="exact" w:before="14" w:after="0"/>
              <w:ind w:left="200" w:right="0" w:firstLine="0"/>
              <w:jc w:val="left"/>
            </w:pP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>1.5%</w:t>
            </w:r>
          </w:p>
          <w:p>
            <w:pPr>
              <w:autoSpaceDN w:val="0"/>
              <w:autoSpaceDE w:val="0"/>
              <w:widowControl/>
              <w:spacing w:line="180" w:lineRule="exact" w:before="14" w:after="0"/>
              <w:ind w:left="200" w:right="0" w:firstLine="0"/>
              <w:jc w:val="left"/>
            </w:pPr>
            <w:r>
              <w:rPr>
                <w:w w:val="101.16923405573918"/>
                <w:rFonts w:ascii="ArialMT" w:hAnsi="ArialMT" w:eastAsia="ArialMT"/>
                <w:b w:val="0"/>
                <w:i w:val="0"/>
                <w:color w:val="000000"/>
                <w:sz w:val="13"/>
              </w:rPr>
              <w:t>1.0%</w:t>
            </w:r>
          </w:p>
          <w:p>
            <w:pPr>
              <w:autoSpaceDN w:val="0"/>
              <w:autoSpaceDE w:val="0"/>
              <w:widowControl/>
              <w:spacing w:line="182" w:lineRule="exact" w:before="14" w:after="0"/>
              <w:ind w:left="200" w:right="0" w:firstLine="0"/>
              <w:jc w:val="left"/>
            </w:pPr>
            <w:r>
              <w:rPr>
                <w:w w:val="101.16923405573918"/>
                <w:rFonts w:ascii="ArialMT" w:hAnsi="ArialMT" w:eastAsia="ArialMT"/>
                <w:b w:val="0"/>
                <w:i w:val="0"/>
                <w:color w:val="000000"/>
                <w:sz w:val="13"/>
              </w:rPr>
              <w:t>0.5%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1.16923405573918"/>
                <w:rFonts w:ascii="ArialMT" w:hAnsi="ArialMT" w:eastAsia="ArialMT"/>
                <w:b w:val="0"/>
                <w:i w:val="0"/>
                <w:color w:val="000000"/>
                <w:sz w:val="13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628900" cy="127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82" w:lineRule="exact" w:before="0" w:after="0"/>
              <w:ind w:left="200" w:right="0" w:firstLine="0"/>
              <w:jc w:val="left"/>
            </w:pP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>4.5%</w:t>
            </w:r>
          </w:p>
          <w:p>
            <w:pPr>
              <w:autoSpaceDN w:val="0"/>
              <w:autoSpaceDE w:val="0"/>
              <w:widowControl/>
              <w:spacing w:line="182" w:lineRule="exact" w:before="12" w:after="0"/>
              <w:ind w:left="200" w:right="0" w:firstLine="0"/>
              <w:jc w:val="left"/>
            </w:pP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>4.0%</w:t>
            </w:r>
          </w:p>
          <w:p>
            <w:pPr>
              <w:autoSpaceDN w:val="0"/>
              <w:autoSpaceDE w:val="0"/>
              <w:widowControl/>
              <w:spacing w:line="180" w:lineRule="exact" w:before="14" w:after="0"/>
              <w:ind w:left="200" w:right="0" w:firstLine="0"/>
              <w:jc w:val="left"/>
            </w:pPr>
            <w:r>
              <w:rPr>
                <w:w w:val="101.16923405573918"/>
                <w:rFonts w:ascii="ArialMT" w:hAnsi="ArialMT" w:eastAsia="ArialMT"/>
                <w:b w:val="0"/>
                <w:i w:val="0"/>
                <w:color w:val="000000"/>
                <w:sz w:val="13"/>
              </w:rPr>
              <w:t>3.5%</w:t>
            </w:r>
          </w:p>
          <w:p>
            <w:pPr>
              <w:autoSpaceDN w:val="0"/>
              <w:autoSpaceDE w:val="0"/>
              <w:widowControl/>
              <w:spacing w:line="182" w:lineRule="exact" w:before="14" w:after="0"/>
              <w:ind w:left="200" w:right="0" w:firstLine="0"/>
              <w:jc w:val="left"/>
            </w:pPr>
            <w:r>
              <w:rPr>
                <w:w w:val="101.16923405573918"/>
                <w:rFonts w:ascii="ArialMT" w:hAnsi="ArialMT" w:eastAsia="ArialMT"/>
                <w:b w:val="0"/>
                <w:i w:val="0"/>
                <w:color w:val="000000"/>
                <w:sz w:val="13"/>
              </w:rPr>
              <w:t>3.0%</w:t>
            </w:r>
          </w:p>
          <w:p>
            <w:pPr>
              <w:autoSpaceDN w:val="0"/>
              <w:tabs>
                <w:tab w:pos="874" w:val="left"/>
                <w:tab w:pos="1278" w:val="left"/>
                <w:tab w:pos="1646" w:val="left"/>
                <w:tab w:pos="2024" w:val="left"/>
                <w:tab w:pos="2422" w:val="left"/>
                <w:tab w:pos="2804" w:val="left"/>
                <w:tab w:pos="3208" w:val="left"/>
                <w:tab w:pos="3578" w:val="left"/>
                <w:tab w:pos="3968" w:val="left"/>
                <w:tab w:pos="4354" w:val="left"/>
              </w:tabs>
              <w:autoSpaceDE w:val="0"/>
              <w:widowControl/>
              <w:spacing w:line="146" w:lineRule="exact" w:before="1122" w:after="0"/>
              <w:ind w:left="452" w:right="0" w:firstLine="0"/>
              <w:jc w:val="left"/>
            </w:pP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may18 </w:t>
            </w:r>
            <w:r>
              <w:tab/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dic18 </w:t>
            </w:r>
            <w:r>
              <w:tab/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jul19 </w:t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feb20 </w:t>
            </w:r>
            <w:r>
              <w:tab/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sep20 </w:t>
            </w:r>
            <w:r>
              <w:tab/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abr21 </w:t>
            </w:r>
            <w:r>
              <w:tab/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nov21 </w:t>
            </w:r>
            <w:r>
              <w:tab/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jun22 </w:t>
            </w:r>
            <w:r>
              <w:tab/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ene23 </w:t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ago23 </w:t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>mar24</w:t>
            </w:r>
          </w:p>
        </w:tc>
        <w:tc>
          <w:tcPr>
            <w:tcW w:type="dxa" w:w="644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54" w:val="left"/>
              </w:tabs>
              <w:autoSpaceDE w:val="0"/>
              <w:widowControl/>
              <w:spacing w:line="176" w:lineRule="exact" w:before="0" w:after="0"/>
              <w:ind w:left="240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25.0% </w:t>
            </w:r>
            <w:r>
              <w:rPr>
                <w:w w:val="97.60000228881836"/>
                <w:rFonts w:ascii="Arial" w:hAnsi="Arial" w:eastAsia="Arial"/>
                <w:b/>
                <w:i w:val="0"/>
                <w:color w:val="003366"/>
                <w:sz w:val="15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134" w:lineRule="exact" w:before="800" w:after="0"/>
              <w:ind w:left="240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10.0%</w:t>
            </w:r>
          </w:p>
          <w:p>
            <w:pPr>
              <w:autoSpaceDN w:val="0"/>
              <w:autoSpaceDE w:val="0"/>
              <w:widowControl/>
              <w:spacing w:line="134" w:lineRule="exact" w:before="176" w:after="0"/>
              <w:ind w:left="294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3530600" cy="101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240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20.0%</w:t>
            </w:r>
          </w:p>
          <w:p>
            <w:pPr>
              <w:autoSpaceDN w:val="0"/>
              <w:autoSpaceDE w:val="0"/>
              <w:widowControl/>
              <w:spacing w:line="134" w:lineRule="exact" w:before="176" w:after="0"/>
              <w:ind w:left="240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15.0%</w:t>
            </w:r>
          </w:p>
          <w:p>
            <w:pPr>
              <w:autoSpaceDN w:val="0"/>
              <w:tabs>
                <w:tab w:pos="890" w:val="left"/>
                <w:tab w:pos="1244" w:val="left"/>
                <w:tab w:pos="1618" w:val="left"/>
                <w:tab w:pos="1990" w:val="left"/>
                <w:tab w:pos="2378" w:val="left"/>
                <w:tab w:pos="2736" w:val="left"/>
                <w:tab w:pos="3116" w:val="left"/>
                <w:tab w:pos="3480" w:val="left"/>
                <w:tab w:pos="3862" w:val="left"/>
                <w:tab w:pos="4254" w:val="left"/>
                <w:tab w:pos="4612" w:val="left"/>
                <w:tab w:pos="4954" w:val="left"/>
                <w:tab w:pos="5352" w:val="left"/>
                <w:tab w:pos="5706" w:val="left"/>
              </w:tabs>
              <w:autoSpaceDE w:val="0"/>
              <w:widowControl/>
              <w:spacing w:line="134" w:lineRule="exact" w:before="916" w:after="0"/>
              <w:ind w:left="492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may18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oct18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mar19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ago19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ene20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jun20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nov20 </w:t>
            </w:r>
            <w:r>
              <w:tab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abr21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sep21 </w:t>
            </w:r>
            <w:r>
              <w:tab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feb22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jul22 </w:t>
            </w:r>
            <w:r>
              <w:tab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dic22 </w:t>
            </w:r>
            <w:r>
              <w:tab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may23 </w:t>
            </w:r>
            <w:r>
              <w:tab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oct23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mar24</w:t>
            </w:r>
          </w:p>
        </w:tc>
      </w:tr>
      <w:tr>
        <w:trPr>
          <w:trHeight w:hRule="exact" w:val="3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92" w:after="0"/>
              <w:ind w:left="8" w:right="0" w:firstLine="0"/>
              <w:jc w:val="lef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92" w:after="0"/>
              <w:ind w:left="0" w:right="64" w:firstLine="0"/>
              <w:jc w:val="righ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Media Móvil 12 meses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92" w:after="0"/>
              <w:ind w:left="0" w:right="0" w:firstLine="0"/>
              <w:jc w:val="righ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6%</w:t>
            </w:r>
          </w:p>
        </w:tc>
        <w:tc>
          <w:tcPr>
            <w:tcW w:type="dxa" w:w="1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92" w:after="0"/>
              <w:ind w:left="0" w:right="342" w:firstLine="0"/>
              <w:jc w:val="righ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10%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92" w:after="0"/>
              <w:ind w:left="182" w:right="0" w:firstLine="0"/>
              <w:jc w:val="lef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14%</w:t>
            </w:r>
          </w:p>
        </w:tc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92" w:after="0"/>
              <w:ind w:left="0" w:right="364" w:firstLine="0"/>
              <w:jc w:val="righ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20%</w:t>
            </w:r>
          </w:p>
        </w:tc>
      </w:tr>
      <w:tr>
        <w:trPr>
          <w:trHeight w:hRule="exact" w:val="82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644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8" w:after="0"/>
              <w:ind w:left="394" w:right="0" w:firstLine="12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Escenarios de Estrés_________________________ </w:t>
            </w:r>
            <w:r>
              <w:br/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 de prepago -CPR 10 %, 20 % o la Media Movil (MM) de los últimos 12 </w:t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>meses- y mora 1, 1,5 o 5 veces la curva proyectada</w:t>
            </w:r>
          </w:p>
        </w:tc>
      </w:tr>
      <w:tr>
        <w:trPr>
          <w:trHeight w:hRule="exact" w:val="22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644"/>
            <w:gridSpan w:val="3"/>
            <w:vMerge w:val="restart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Prepago</w:t>
            </w:r>
          </w:p>
        </w:tc>
        <w:tc>
          <w:tcPr>
            <w:tcW w:type="dxa" w:w="836"/>
            <w:vMerge w:val="restart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Mora</w:t>
            </w:r>
          </w:p>
        </w:tc>
        <w:tc>
          <w:tcPr>
            <w:tcW w:type="dxa" w:w="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172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</w:t>
            </w:r>
          </w:p>
        </w:tc>
        <w:tc>
          <w:tcPr>
            <w:tcW w:type="dxa" w:w="6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34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B 2030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B 2031</w:t>
            </w:r>
          </w:p>
        </w:tc>
        <w:tc>
          <w:tcPr>
            <w:tcW w:type="dxa" w:w="1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0" w:right="57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 xml:space="preserve">Residual </w:t>
            </w:r>
          </w:p>
        </w:tc>
      </w:tr>
      <w:tr>
        <w:trPr>
          <w:trHeight w:hRule="exact" w:val="18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2694"/>
            <w:gridSpan w:val="3"/>
            <w:vMerge/>
            <w:tcBorders>
              <w:end w:sz="7.320000171661377" w:val="single" w:color="#FF00FF"/>
            </w:tcBorders>
          </w:tcPr>
          <w:p/>
        </w:tc>
        <w:tc>
          <w:tcPr>
            <w:tcW w:type="dxa" w:w="898"/>
            <w:vMerge/>
            <w:tcBorders>
              <w:start w:sz="7.320000171661377" w:val="single" w:color="#FF00FF"/>
            </w:tcBorders>
          </w:tcPr>
          <w:p/>
        </w:tc>
        <w:tc>
          <w:tcPr>
            <w:tcW w:type="dxa" w:w="898"/>
            <w:vMerge/>
            <w:tcBorders/>
          </w:tcPr>
          <w:p/>
        </w:tc>
        <w:tc>
          <w:tcPr>
            <w:tcW w:type="dxa" w:w="898"/>
            <w:vMerge/>
            <w:tcBorders/>
          </w:tcPr>
          <w:p/>
        </w:tc>
        <w:tc>
          <w:tcPr>
            <w:tcW w:type="dxa" w:w="898"/>
            <w:vMerge/>
            <w:tcBorders/>
          </w:tcPr>
          <w:p/>
        </w:tc>
        <w:tc>
          <w:tcPr>
            <w:tcW w:type="dxa" w:w="1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69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$mm</w:t>
            </w:r>
          </w:p>
        </w:tc>
      </w:tr>
      <w:tr>
        <w:trPr>
          <w:trHeight w:hRule="exact" w:val="1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644"/>
            <w:gridSpan w:val="3"/>
            <w:tcBorders>
              <w:end w:sz="7.320000171661377" w:val="single" w:color="#FF00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836"/>
            <w:tcBorders>
              <w:start w:sz="7.320000171661377" w:val="single" w:color="#FF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54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8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8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2,207</w:t>
            </w:r>
          </w:p>
        </w:tc>
      </w:tr>
      <w:tr>
        <w:trPr>
          <w:trHeight w:hRule="exact" w:val="14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644"/>
            <w:gridSpan w:val="3"/>
            <w:tcBorders>
              <w:end w:sz="7.320000171661377" w:val="single" w:color="#FF00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836"/>
            <w:tcBorders>
              <w:start w:sz="7.320000171661377" w:val="single" w:color="#FF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54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8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8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2,305</w:t>
            </w:r>
          </w:p>
        </w:tc>
      </w:tr>
      <w:tr>
        <w:trPr>
          <w:trHeight w:hRule="exact" w:val="1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644"/>
            <w:gridSpan w:val="3"/>
            <w:tcBorders>
              <w:end w:sz="7.320000171661377" w:val="single" w:color="#FF00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836"/>
            <w:tcBorders>
              <w:start w:sz="7.320000171661377" w:val="single" w:color="#FF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54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8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8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2,170</w:t>
            </w:r>
          </w:p>
        </w:tc>
      </w:tr>
      <w:tr>
        <w:trPr>
          <w:trHeight w:hRule="exact" w:val="14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644"/>
            <w:gridSpan w:val="3"/>
            <w:tcBorders>
              <w:end w:sz="7.320000171661377" w:val="single" w:color="#FF00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836"/>
            <w:tcBorders>
              <w:start w:sz="7.320000171661377" w:val="single" w:color="#FF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54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8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8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2,066</w:t>
            </w:r>
          </w:p>
        </w:tc>
      </w:tr>
      <w:tr>
        <w:trPr>
          <w:trHeight w:hRule="exact" w:val="1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644"/>
            <w:gridSpan w:val="3"/>
            <w:tcBorders>
              <w:end w:sz="7.320000171661377" w:val="single" w:color="#FF00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836"/>
            <w:tcBorders>
              <w:start w:sz="7.320000171661377" w:val="single" w:color="#FF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54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8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8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2,186</w:t>
            </w:r>
          </w:p>
        </w:tc>
      </w:tr>
      <w:tr>
        <w:trPr>
          <w:trHeight w:hRule="exact" w:val="1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644"/>
            <w:gridSpan w:val="3"/>
            <w:tcBorders>
              <w:end w:sz="7.320000171661377" w:val="single" w:color="#FF00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836"/>
            <w:tcBorders>
              <w:start w:sz="7.320000171661377" w:val="single" w:color="#FF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54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8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8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2,023</w:t>
            </w:r>
          </w:p>
        </w:tc>
      </w:tr>
      <w:tr>
        <w:trPr>
          <w:trHeight w:hRule="exact" w:val="14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644"/>
            <w:gridSpan w:val="3"/>
            <w:tcBorders>
              <w:end w:sz="7.320000171661377" w:val="single" w:color="#FF00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836"/>
            <w:tcBorders>
              <w:start w:sz="7.320000171661377" w:val="single" w:color="#FF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54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8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8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1,147</w:t>
            </w:r>
          </w:p>
        </w:tc>
      </w:tr>
      <w:tr>
        <w:trPr>
          <w:trHeight w:hRule="exact" w:val="1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644"/>
            <w:gridSpan w:val="3"/>
            <w:tcBorders>
              <w:end w:sz="7.320000171661377" w:val="single" w:color="#FF00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836"/>
            <w:tcBorders>
              <w:start w:sz="7.320000171661377" w:val="single" w:color="#FF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54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8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8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1,421</w:t>
            </w:r>
          </w:p>
        </w:tc>
      </w:tr>
      <w:tr>
        <w:trPr>
          <w:trHeight w:hRule="exact" w:val="1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644"/>
            <w:gridSpan w:val="3"/>
            <w:tcBorders>
              <w:end w:sz="7.320000171661377" w:val="single" w:color="#FF00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836"/>
            <w:tcBorders>
              <w:start w:sz="7.320000171661377" w:val="single" w:color="#FF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54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8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8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1,099</w:t>
            </w:r>
          </w:p>
        </w:tc>
      </w:tr>
      <w:tr>
        <w:trPr>
          <w:trHeight w:hRule="exact" w:val="18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644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2" w:after="0"/>
              <w:ind w:left="398" w:right="1152" w:firstLine="0"/>
              <w:jc w:val="left"/>
            </w:pPr>
            <w:r>
              <w:rPr>
                <w:w w:val="97.60000228881836"/>
                <w:rFonts w:ascii="Calibri" w:hAnsi="Calibri" w:eastAsia="Calibri"/>
                <w:b w:val="0"/>
                <w:i w:val="0"/>
                <w:color w:val="003366"/>
                <w:sz w:val="15"/>
              </w:rPr>
              <w:t>Notas:</w:t>
            </w:r>
            <w:r>
              <w:br/>
            </w: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* % Cobertura Vigente : Saldo de capital de la cartera con mora inferior a 120 días dividido por el saldo de los TIS en la fecha de liquidación.</w:t>
            </w:r>
          </w:p>
        </w:tc>
      </w:tr>
      <w:tr>
        <w:trPr>
          <w:trHeight w:hRule="exact" w:val="1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8" w:after="0"/>
              <w:ind w:left="0" w:right="396" w:firstLine="0"/>
              <w:jc w:val="righ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8" w:after="0"/>
              <w:ind w:left="0" w:right="0" w:firstLine="0"/>
              <w:jc w:val="center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P 97,5%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8" w:after="0"/>
              <w:ind w:left="0" w:right="0" w:firstLine="0"/>
              <w:jc w:val="center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P 50%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8" w:after="0"/>
              <w:ind w:left="0" w:right="538" w:firstLine="0"/>
              <w:jc w:val="righ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P 2,5%</w:t>
            </w:r>
          </w:p>
        </w:tc>
        <w:tc>
          <w:tcPr>
            <w:tcW w:type="dxa" w:w="8082"/>
            <w:gridSpan w:val="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98" w:lineRule="exact" w:before="74" w:after="30"/>
        <w:ind w:left="0" w:right="3180" w:firstLine="0"/>
        <w:jc w:val="right"/>
      </w:pPr>
      <w:r>
        <w:rPr>
          <w:w w:val="104.99999523162842"/>
          <w:rFonts w:ascii="ArialMT" w:hAnsi="ArialMT" w:eastAsia="ArialMT"/>
          <w:b w:val="0"/>
          <w:i w:val="0"/>
          <w:color w:val="000000"/>
          <w:sz w:val="8"/>
        </w:rPr>
        <w:t>►</w:t>
      </w:r>
      <w:r>
        <w:rPr>
          <w:w w:val="104.99999523162842"/>
          <w:rFonts w:ascii="Calibri" w:hAnsi="Calibri" w:eastAsia="Calibri"/>
          <w:b w:val="0"/>
          <w:i w:val="0"/>
          <w:color w:val="000000"/>
          <w:sz w:val="8"/>
        </w:rPr>
        <w:t xml:space="preserve">  * % Coberturas Externas : Saldo del Mecanismo de Cobertura Parcial de los títulos 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6.0" w:type="dxa"/>
      </w:tblPr>
      <w:tblGrid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1698"/>
        </w:trPr>
        <w:tc>
          <w:tcPr>
            <w:tcW w:type="dxa" w:w="50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2.0" w:type="dxa"/>
            </w:tblPr>
            <w:tblGrid>
              <w:gridCol w:w="5040"/>
            </w:tblGrid>
            <w:tr>
              <w:trPr>
                <w:trHeight w:hRule="exact" w:val="152"/>
              </w:trPr>
              <w:tc>
                <w:tcPr>
                  <w:tcW w:type="dxa" w:w="1820"/>
                  <w:tcBorders>
                    <w:start w:sz="9.600000000000023" w:val="single" w:color="#000000"/>
                    <w:top w:sz="9.599999999999909" w:val="single" w:color="#000000"/>
                    <w:end w:sz="9.599999999999909" w:val="single" w:color="#000000"/>
                    <w:bottom w:sz="9.599999999999909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0" w:after="0"/>
                    <w:ind w:left="0" w:right="0" w:firstLine="0"/>
                    <w:jc w:val="center"/>
                  </w:pPr>
                  <w:r>
                    <w:rPr>
                      <w:w w:val="103.38461215679462"/>
                      <w:rFonts w:ascii="Calibri" w:hAnsi="Calibri" w:eastAsia="Calibri"/>
                      <w:b/>
                      <w:i w:val="0"/>
                      <w:color w:val="234061"/>
                      <w:sz w:val="13"/>
                    </w:rPr>
                    <w:t>Mora observada feb: 1.03%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8" w:lineRule="auto" w:before="142" w:after="0"/>
              <w:ind w:left="9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3366"/>
                <w:sz w:val="11"/>
              </w:rPr>
              <w:t xml:space="preserve">Evolución de las Tasas Anualizadas Implícitas de los Créditos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0" w:right="210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3366"/>
                <w:sz w:val="11"/>
              </w:rPr>
              <w:t>Hipotecarios</w:t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232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18.0%</w:t>
            </w:r>
          </w:p>
          <w:p>
            <w:pPr>
              <w:autoSpaceDN w:val="0"/>
              <w:autoSpaceDE w:val="0"/>
              <w:widowControl/>
              <w:spacing w:line="136" w:lineRule="exact" w:before="230" w:after="0"/>
              <w:ind w:left="232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10.0%</w:t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286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8.0%</w:t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286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6.0%</w:t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286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4.0%</w:t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286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2.0%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616200" cy="55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232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16.0%</w:t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232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14.0%</w:t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232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12.0%</w:t>
            </w:r>
          </w:p>
          <w:p>
            <w:pPr>
              <w:autoSpaceDN w:val="0"/>
              <w:tabs>
                <w:tab w:pos="882" w:val="left"/>
                <w:tab w:pos="1302" w:val="left"/>
                <w:tab w:pos="1688" w:val="left"/>
                <w:tab w:pos="2084" w:val="left"/>
                <w:tab w:pos="2498" w:val="left"/>
                <w:tab w:pos="2896" w:val="left"/>
                <w:tab w:pos="3316" w:val="left"/>
                <w:tab w:pos="3704" w:val="left"/>
                <w:tab w:pos="4112" w:val="left"/>
                <w:tab w:pos="4514" w:val="left"/>
              </w:tabs>
              <w:autoSpaceDE w:val="0"/>
              <w:widowControl/>
              <w:spacing w:line="136" w:lineRule="exact" w:before="530" w:after="0"/>
              <w:ind w:left="446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may18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dic18 </w:t>
            </w:r>
            <w:r>
              <w:tab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jul19 </w:t>
            </w:r>
            <w:r>
              <w:tab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feb20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sep20 </w:t>
            </w:r>
            <w:r>
              <w:tab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abr21 </w:t>
            </w:r>
            <w:r>
              <w:tab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nov21 </w:t>
            </w:r>
            <w:r>
              <w:tab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jun22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ene23 </w:t>
            </w:r>
            <w:r>
              <w:tab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ago23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mar24</w:t>
            </w:r>
          </w:p>
        </w:tc>
        <w:tc>
          <w:tcPr>
            <w:tcW w:type="dxa" w:w="6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02" w:after="0"/>
              <w:ind w:left="25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98" w:lineRule="exact" w:before="132" w:after="0"/>
              <w:ind w:left="25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Prepago es el agregado de la suma de prepago parcial y total anualizado. Prepago promedio ponderado (pp) de la emisión: Corresponde al prepago ponderado por el saldo de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258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cartera de cada mes de la emisión. </w:t>
            </w:r>
          </w:p>
          <w:p>
            <w:pPr>
              <w:autoSpaceDN w:val="0"/>
              <w:autoSpaceDE w:val="0"/>
              <w:widowControl/>
              <w:spacing w:line="98" w:lineRule="exact" w:before="132" w:after="0"/>
              <w:ind w:left="25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98" w:lineRule="exact" w:before="132" w:after="0"/>
              <w:ind w:left="25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98" w:lineRule="exact" w:before="260" w:after="0"/>
              <w:ind w:left="25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Para efectos de monitorear el riesgo de crédito, el indicador de mora mayor a 120 días se ha proyectado teniendo en cuenta el comportamiento crediticio de una muestra de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25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desarrollo de 204,300 créditos hipotecarios. Se presenta la mora en percentiles  (P2,5%, P50% y P97,5%).  Para mayor información de la metodología de proyección ver Anexo 2 del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25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Prospecto de la emisión.</w:t>
            </w:r>
          </w:p>
          <w:p>
            <w:pPr>
              <w:autoSpaceDN w:val="0"/>
              <w:autoSpaceDE w:val="0"/>
              <w:widowControl/>
              <w:spacing w:line="96" w:lineRule="exact" w:before="134" w:after="0"/>
              <w:ind w:left="25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Escenarios: Muestra el porcentaje de amortización proyectado de cada título para diferentes escenarios de estrés de prepago y múltiplos de la mora esperada. El monto residual </w:t>
            </w:r>
          </w:p>
        </w:tc>
      </w:tr>
      <w:tr>
        <w:trPr>
          <w:trHeight w:hRule="exact" w:val="144"/>
        </w:trPr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38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42" w:after="0"/>
              <w:ind w:left="16" w:right="0" w:firstLine="0"/>
              <w:jc w:val="lef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Tasa Observada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42" w:after="0"/>
              <w:ind w:left="0" w:right="256" w:firstLine="0"/>
              <w:jc w:val="righ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Tasa Teórica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38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42" w:after="0"/>
              <w:ind w:left="8" w:right="0" w:firstLine="0"/>
              <w:jc w:val="lef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Tasa Esperada</w:t>
            </w:r>
          </w:p>
        </w:tc>
        <w:tc>
          <w:tcPr>
            <w:tcW w:type="dxa" w:w="19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4" w:after="16"/>
        <w:ind w:left="0" w:right="290" w:firstLine="0"/>
        <w:jc w:val="right"/>
      </w:pPr>
      <w:r>
        <w:rPr>
          <w:w w:val="104.99999523162842"/>
          <w:rFonts w:ascii="Calibri" w:hAnsi="Calibri" w:eastAsia="Calibri"/>
          <w:b w:val="0"/>
          <w:i w:val="0"/>
          <w:color w:val="000000"/>
          <w:sz w:val="8"/>
        </w:rPr>
        <w:t xml:space="preserve">una vez pagados los títulos es el valor presente descontado a la tir del pasivo correlativo. Para mayor información ver informe "Tablas de Amortización y Flujos Escenarios de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6.0" w:type="dxa"/>
      </w:tblPr>
      <w:tblGrid>
        <w:gridCol w:w="2334"/>
        <w:gridCol w:w="2334"/>
        <w:gridCol w:w="2334"/>
        <w:gridCol w:w="2334"/>
        <w:gridCol w:w="2334"/>
      </w:tblGrid>
      <w:tr>
        <w:trPr>
          <w:trHeight w:hRule="exact" w:val="20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4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Tasa Implícita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Teórica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170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Esperada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9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Observada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53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Prepago y Mora" en www.titularizadora.com</w:t>
            </w:r>
          </w:p>
        </w:tc>
      </w:tr>
      <w:tr>
        <w:trPr>
          <w:trHeight w:hRule="exact" w:val="15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6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Última:</w:t>
            </w:r>
          </w:p>
        </w:tc>
        <w:tc>
          <w:tcPr>
            <w:tcW w:type="dxa" w:w="3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1060"/>
              <w:gridCol w:w="1060"/>
              <w:gridCol w:w="1060"/>
            </w:tblGrid>
            <w:tr>
              <w:trPr>
                <w:trHeight w:hRule="exact" w:val="132"/>
              </w:trPr>
              <w:tc>
                <w:tcPr>
                  <w:tcW w:type="dxa" w:w="9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12.95%</w:t>
                  </w:r>
                </w:p>
              </w:tc>
              <w:tc>
                <w:tcPr>
                  <w:tcW w:type="dxa" w:w="8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12.19%</w:t>
                  </w:r>
                </w:p>
              </w:tc>
              <w:tc>
                <w:tcPr>
                  <w:tcW w:type="dxa" w:w="8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12.61%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30" w:after="0"/>
              <w:ind w:left="5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Participación por Rango de Tasas: Muestra la composición de la cartera por los rangos de tasa, esto lo hace por monto y por cantidad. Por monto es respecto al saldo total de los </w:t>
            </w:r>
          </w:p>
        </w:tc>
      </w:tr>
    </w:tbl>
    <w:p>
      <w:pPr>
        <w:autoSpaceDN w:val="0"/>
        <w:autoSpaceDE w:val="0"/>
        <w:widowControl/>
        <w:spacing w:line="197" w:lineRule="auto" w:before="2" w:after="18"/>
        <w:ind w:left="0" w:right="3870" w:firstLine="0"/>
        <w:jc w:val="right"/>
      </w:pPr>
      <w:r>
        <w:rPr>
          <w:w w:val="104.99999523162842"/>
          <w:rFonts w:ascii="Calibri" w:hAnsi="Calibri" w:eastAsia="Calibri"/>
          <w:b w:val="0"/>
          <w:i w:val="0"/>
          <w:color w:val="000000"/>
          <w:sz w:val="8"/>
        </w:rPr>
        <w:t>créditos hipotecarios y por cantidad es respecto al total de créditos.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.00000000000001" w:type="dxa"/>
      </w:tblPr>
      <w:tblGrid>
        <w:gridCol w:w="5835"/>
        <w:gridCol w:w="5835"/>
      </w:tblGrid>
      <w:tr>
        <w:trPr>
          <w:trHeight w:hRule="exact" w:val="1998"/>
        </w:trPr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8"/>
              <w:ind w:left="248" w:right="0" w:firstLine="0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>Participación por Rango de Tasas______________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.99999999999997" w:type="dxa"/>
            </w:tblPr>
            <w:tblGrid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</w:tblGrid>
            <w:tr>
              <w:trPr>
                <w:trHeight w:hRule="exact" w:val="216"/>
              </w:trPr>
              <w:tc>
                <w:tcPr>
                  <w:tcW w:type="dxa" w:w="390"/>
                  <w:tcBorders>
                    <w:start w:sz="2.240000009536743" w:val="single" w:color="#000000"/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72" w:after="0"/>
                    <w:ind w:left="0" w:right="0" w:firstLine="0"/>
                    <w:jc w:val="center"/>
                  </w:pPr>
                  <w:r>
                    <w:rPr>
                      <w:w w:val="103.680000305175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90%</w:t>
                  </w:r>
                </w:p>
              </w:tc>
              <w:tc>
                <w:tcPr>
                  <w:tcW w:type="dxa" w:w="272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8"/>
                  <w:tcBorders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4"/>
              </w:trPr>
              <w:tc>
                <w:tcPr>
                  <w:tcW w:type="dxa" w:w="3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2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6"/>
              </w:trPr>
              <w:tc>
                <w:tcPr>
                  <w:tcW w:type="dxa" w:w="390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0" w:after="0"/>
                    <w:ind w:left="0" w:right="0" w:firstLine="0"/>
                    <w:jc w:val="center"/>
                  </w:pP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75%</w:t>
                  </w:r>
                </w:p>
              </w:tc>
              <w:tc>
                <w:tcPr>
                  <w:tcW w:type="dxa" w:w="2724"/>
                  <w:tcBorders>
                    <w:start w:sz="9.760000228881836" w:val="single" w:color="#000000"/>
                    <w:end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9.760000228881836" w:val="single" w:color="#000000"/>
                    <w:end w:sz="9.760000228881836" w:val="single" w:color="#000000"/>
                    <w:bottom w:sz="1.2200000286102295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9.760000228881836" w:val="single" w:color="#000000"/>
                    <w:end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start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8"/>
                  <w:tcBorders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0"/>
              </w:trPr>
              <w:tc>
                <w:tcPr>
                  <w:tcW w:type="dxa" w:w="390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28" w:after="0"/>
                    <w:ind w:left="0" w:right="0" w:firstLine="0"/>
                    <w:jc w:val="center"/>
                  </w:pPr>
                  <w:r>
                    <w:rPr>
                      <w:w w:val="103.680000305175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60%</w:t>
                  </w:r>
                </w:p>
              </w:tc>
              <w:tc>
                <w:tcPr>
                  <w:tcW w:type="dxa" w:w="272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8"/>
                  <w:tcBorders>
                    <w:top w:sz="1.2200000286102295" w:val="single" w:color="#CBCBCB"/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0"/>
              </w:trPr>
              <w:tc>
                <w:tcPr>
                  <w:tcW w:type="dxa" w:w="390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26" w:after="0"/>
                    <w:ind w:left="0" w:right="0" w:firstLine="0"/>
                    <w:jc w:val="center"/>
                  </w:pP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45%</w:t>
                  </w:r>
                </w:p>
              </w:tc>
              <w:tc>
                <w:tcPr>
                  <w:tcW w:type="dxa" w:w="272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8"/>
                  <w:tcBorders>
                    <w:top w:sz="1.2200000286102295" w:val="single" w:color="#CBCBCB"/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0"/>
              </w:trPr>
              <w:tc>
                <w:tcPr>
                  <w:tcW w:type="dxa" w:w="390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28" w:after="0"/>
                    <w:ind w:left="0" w:right="0" w:firstLine="0"/>
                    <w:jc w:val="center"/>
                  </w:pPr>
                  <w:r>
                    <w:rPr>
                      <w:w w:val="103.680000305175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30%</w:t>
                  </w:r>
                </w:p>
              </w:tc>
              <w:tc>
                <w:tcPr>
                  <w:tcW w:type="dxa" w:w="272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8"/>
                  <w:tcBorders>
                    <w:top w:sz="1.2200000286102295" w:val="single" w:color="#CBCBCB"/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0"/>
              </w:trPr>
              <w:tc>
                <w:tcPr>
                  <w:tcW w:type="dxa" w:w="390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28" w:after="0"/>
                    <w:ind w:left="0" w:right="0" w:firstLine="0"/>
                    <w:jc w:val="center"/>
                  </w:pP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15%</w:t>
                  </w:r>
                </w:p>
              </w:tc>
              <w:tc>
                <w:tcPr>
                  <w:tcW w:type="dxa" w:w="272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8"/>
                  <w:tcBorders>
                    <w:top w:sz="1.2200000286102295" w:val="single" w:color="#CBCBCB"/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8"/>
              </w:trPr>
              <w:tc>
                <w:tcPr>
                  <w:tcW w:type="dxa" w:w="390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26" w:after="0"/>
                    <w:ind w:left="0" w:right="0" w:firstLine="0"/>
                    <w:jc w:val="center"/>
                  </w:pP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</w:t>
                  </w:r>
                </w:p>
              </w:tc>
              <w:tc>
                <w:tcPr>
                  <w:tcW w:type="dxa" w:w="272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9.760000228881836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9.76000022888183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9.760000228881836" w:val="single" w:color="#000000"/>
                    <w:end w:sz="9.760000228881836" w:val="single" w:color="#000000"/>
                    <w:bottom w:sz="9.760000228881836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end w:sz="9.760000228881836" w:val="single" w:color="#000000"/>
                    <w:bottom w:sz="9.76000022888183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8"/>
                  <w:tcBorders>
                    <w:start w:sz="9.760000228881836" w:val="single" w:color="#000000"/>
                    <w:top w:sz="1.2200000286102295" w:val="single" w:color="#CBCBCB"/>
                    <w:end w:sz="2.240000009536743" w:val="single" w:color="#000000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49"/>
              </w:trPr>
              <w:tc>
                <w:tcPr>
                  <w:tcW w:type="dxa" w:w="390"/>
                  <w:tcBorders>
                    <w:start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2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2.00000000000003" w:type="dxa"/>
                  </w:tblPr>
                  <w:tblGrid>
                    <w:gridCol w:w="454"/>
                    <w:gridCol w:w="454"/>
                    <w:gridCol w:w="454"/>
                    <w:gridCol w:w="454"/>
                    <w:gridCol w:w="454"/>
                    <w:gridCol w:w="454"/>
                  </w:tblGrid>
                  <w:tr>
                    <w:trPr>
                      <w:trHeight w:hRule="exact" w:val="180"/>
                    </w:trPr>
                    <w:tc>
                      <w:tcPr>
                        <w:tcW w:type="dxa" w:w="4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&lt;=8%</w:t>
                        </w:r>
                      </w:p>
                    </w:tc>
                    <w:tc>
                      <w:tcPr>
                        <w:tcW w:type="dxa" w:w="5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8%-9%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9%-10%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10%-11%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11%-12%</w:t>
                        </w:r>
                      </w:p>
                    </w:tc>
                    <w:tc>
                      <w:tcPr>
                        <w:tcW w:type="dxa" w:w="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hRule="exact" w:val="156"/>
                    </w:trPr>
                    <w:tc>
                      <w:tcPr>
                        <w:tcW w:type="dxa" w:w="454"/>
                        <w:vMerge/>
                        <w:tcBorders/>
                      </w:tcPr>
                      <w:p/>
                    </w:tc>
                    <w:tc>
                      <w:tcPr>
                        <w:tcW w:type="dxa" w:w="454"/>
                        <w:vMerge/>
                        <w:tcBorders/>
                      </w:tcPr>
                      <w:p/>
                    </w:tc>
                    <w:tc>
                      <w:tcPr>
                        <w:tcW w:type="dxa" w:w="106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72" w:lineRule="exact" w:before="44" w:after="0"/>
                          <w:ind w:left="0" w:right="446" w:firstLine="0"/>
                          <w:jc w:val="right"/>
                        </w:pPr>
                        <w:r>
                          <w:rPr>
                            <w:w w:val="105.6000041961669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5"/>
                          </w:rPr>
                          <w:t>Por Cantidad</w:t>
                        </w:r>
                      </w:p>
                    </w:tc>
                    <w:tc>
                      <w:tcPr>
                        <w:tcW w:type="dxa" w:w="62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72" w:lineRule="exact" w:before="44" w:after="0"/>
                          <w:ind w:left="0" w:right="22" w:firstLine="0"/>
                          <w:jc w:val="right"/>
                        </w:pPr>
                        <w:r>
                          <w:rPr>
                            <w:w w:val="105.6000041961669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5"/>
                          </w:rPr>
                          <w:t>Por Monto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8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2%-</w:t>
                  </w:r>
                </w:p>
              </w:tc>
              <w:tc>
                <w:tcPr>
                  <w:tcW w:type="dxa" w:w="148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-13</w:t>
                  </w:r>
                </w:p>
              </w:tc>
              <w:tc>
                <w:tcPr>
                  <w:tcW w:type="dxa" w:w="22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</w:tc>
              <w:tc>
                <w:tcPr>
                  <w:tcW w:type="dxa" w:w="150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3%-</w:t>
                  </w:r>
                </w:p>
              </w:tc>
              <w:tc>
                <w:tcPr>
                  <w:tcW w:type="dxa" w:w="148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14</w:t>
                  </w:r>
                </w:p>
              </w:tc>
              <w:tc>
                <w:tcPr>
                  <w:tcW w:type="dxa" w:w="1158"/>
                  <w:tcBorders>
                    <w:top w:sz="9.760000228881836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0.0" w:type="dxa"/>
                  </w:tblPr>
                  <w:tblGrid>
                    <w:gridCol w:w="386"/>
                    <w:gridCol w:w="386"/>
                    <w:gridCol w:w="386"/>
                  </w:tblGrid>
                  <w:tr>
                    <w:trPr>
                      <w:trHeight w:hRule="exact" w:val="196"/>
                    </w:trPr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%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14%-15%</w:t>
                        </w:r>
                      </w:p>
                    </w:tc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&gt;=16%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16" w:after="0"/>
              <w:ind w:left="1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LTV PP: Relación del saldo de capital de la deuda respecto al avalúo actual del inmueble como promedio ponderado por el saldo de capital los créditos.</w:t>
            </w:r>
          </w:p>
          <w:p>
            <w:pPr>
              <w:autoSpaceDN w:val="0"/>
              <w:autoSpaceDE w:val="0"/>
              <w:widowControl/>
              <w:spacing w:line="98" w:lineRule="exact" w:before="134" w:after="0"/>
              <w:ind w:left="1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Tasa PP: Tasa promedio ponderada por el saldo de capital de los créditos.</w:t>
            </w:r>
          </w:p>
          <w:p>
            <w:pPr>
              <w:autoSpaceDN w:val="0"/>
              <w:autoSpaceDE w:val="0"/>
              <w:widowControl/>
              <w:spacing w:line="259" w:lineRule="auto" w:before="504" w:after="0"/>
              <w:ind w:left="13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“Titularizadora Colombiana S.A publica el presente documento con un carácter estrictamente informativo para los inversionistas. Aunque la información aquí contenida ha sido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obtenida de fuentes que la compañía considera confiables, Titularizadora Colombiana S.A no garantiza su exactitud. En ningún caso su contenido se puede considerar como una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opinión financiera o legal ni como una recomendación de negocios o de inversión por parte de nuestra compañía. Tampoco puede ser considerado como una invitación a realizar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negocios ni como una oferta para comprar o vender ningún tipo de valor. En ningún caso Titularizadora Colombiana S.A asume responsabilidad por las decisiones de inversión que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se tomen, o el resultado de cualquier operación que se efectúe por parte de los destinatarios o de terceras personas, sobre la información aquí contenida. Tal responsabilidad es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exclusiva de los inversionistas que hagan uso de ella. Dicha información puede tener variaciones posteriores a la fecha de su publicación razón por la cual Titularizadora Colombiana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S.A se reserva el derecho de modificarla o actualizarla en cualquier tiempo y sin previo aviso.”</w:t>
            </w:r>
          </w:p>
        </w:tc>
      </w:tr>
    </w:tbl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1.9999999999999" w:type="dxa"/>
      </w:tblPr>
      <w:tblGrid>
        <w:gridCol w:w="5835"/>
        <w:gridCol w:w="5835"/>
      </w:tblGrid>
      <w:tr>
        <w:trPr>
          <w:trHeight w:hRule="exact" w:val="152"/>
        </w:trPr>
        <w:tc>
          <w:tcPr>
            <w:tcW w:type="dxa" w:w="1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41E42"/>
                <w:sz w:val="12"/>
              </w:rPr>
              <w:t>Tasa PP en febrero</w:t>
            </w:r>
          </w:p>
        </w:tc>
        <w:tc>
          <w:tcPr>
            <w:tcW w:type="dxa" w:w="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41E42"/>
                <w:sz w:val="12"/>
              </w:rPr>
              <w:t>12.72%</w:t>
            </w:r>
          </w:p>
        </w:tc>
      </w:tr>
      <w:tr>
        <w:trPr>
          <w:trHeight w:hRule="exact" w:val="131"/>
        </w:trPr>
        <w:tc>
          <w:tcPr>
            <w:tcW w:type="dxa" w:w="1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41E42"/>
                <w:sz w:val="12"/>
              </w:rPr>
              <w:t>LTV PP en febrero</w:t>
            </w:r>
          </w:p>
        </w:tc>
        <w:tc>
          <w:tcPr>
            <w:tcW w:type="dxa" w:w="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41E42"/>
                <w:sz w:val="12"/>
              </w:rPr>
              <w:t>29.22%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20" w:right="256" w:bottom="960" w:left="3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