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3073400</wp:posOffset>
            </wp:positionV>
            <wp:extent cx="2209800" cy="8509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0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2302"/>
        <w:gridCol w:w="2302"/>
        <w:gridCol w:w="2302"/>
        <w:gridCol w:w="2302"/>
        <w:gridCol w:w="2302"/>
      </w:tblGrid>
      <w:tr>
        <w:trPr>
          <w:trHeight w:hRule="exact" w:val="642"/>
        </w:trPr>
        <w:tc>
          <w:tcPr>
            <w:tcW w:type="dxa" w:w="1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37260" cy="9334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33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0" w:after="0"/>
              <w:ind w:left="16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FFFFFF"/>
                <w:sz w:val="12"/>
              </w:rPr>
              <w:t>v4</w:t>
            </w:r>
          </w:p>
        </w:tc>
        <w:tc>
          <w:tcPr>
            <w:tcW w:type="dxa" w:w="2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4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16940" cy="5753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40" cy="575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2302"/>
            <w:vMerge/>
            <w:tcBorders/>
          </w:tcPr>
          <w:p/>
        </w:tc>
        <w:tc>
          <w:tcPr>
            <w:tcW w:type="dxa" w:w="3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80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8" w:after="0"/>
              <w:ind w:left="0" w:right="744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02"/>
            <w:vMerge/>
            <w:tcBorders/>
          </w:tcPr>
          <w:p/>
        </w:tc>
        <w:tc>
          <w:tcPr>
            <w:tcW w:type="dxa" w:w="7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TIV PESOS V4</w:t>
            </w:r>
            <w:r>
              <w:rPr>
                <w:w w:val="97.71428789411273"/>
                <w:rFonts w:ascii="Calibri" w:hAnsi="Calibri" w:eastAsia="Calibri"/>
                <w:b w:val="0"/>
                <w:i w:val="0"/>
                <w:color w:val="993366"/>
                <w:sz w:val="14"/>
              </w:rPr>
              <w:t>_____________________________________________________________________________________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02"/>
            <w:vMerge/>
            <w:tcBorders/>
          </w:tcPr>
          <w:p/>
        </w:tc>
        <w:tc>
          <w:tcPr>
            <w:tcW w:type="dxa" w:w="3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82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16 meses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02"/>
            <w:vMerge/>
            <w:tcBorders/>
          </w:tcPr>
          <w:p/>
        </w:tc>
        <w:tc>
          <w:tcPr>
            <w:tcW w:type="dxa" w:w="6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2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$43,262 millones 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02"/>
            <w:vMerge/>
            <w:tcBorders/>
          </w:tcPr>
          <w:p/>
        </w:tc>
        <w:tc>
          <w:tcPr>
            <w:tcW w:type="dxa" w:w="6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2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&gt;90 días: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3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$1,150 millones </w:t>
            </w:r>
          </w:p>
        </w:tc>
        <w:tc>
          <w:tcPr>
            <w:tcW w:type="dxa" w:w="2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2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6.0" w:type="dxa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</w:tblGrid>
      <w:tr>
        <w:trPr>
          <w:trHeight w:hRule="exact" w:val="1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TIV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30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1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280</w:t>
            </w:r>
          </w:p>
        </w:tc>
      </w:tr>
      <w:tr>
        <w:trPr>
          <w:trHeight w:hRule="exact" w:val="2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A-2027: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16.10%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$58,400.0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$18,686.7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52.7%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48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68.0%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7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225.36%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7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15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B1-2032: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17.15%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$11,200.0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$11,200.0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31.6%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51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7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140.90%</w:t>
            </w:r>
          </w:p>
        </w:tc>
        <w:tc>
          <w:tcPr>
            <w:tcW w:type="dxa" w:w="1151"/>
            <w:vMerge/>
            <w:tcBorders/>
          </w:tcPr>
          <w:p/>
        </w:tc>
        <w:tc>
          <w:tcPr>
            <w:tcW w:type="dxa" w:w="1151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B2-2032: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17.25%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$5,600.0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$5,600.0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15.8%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51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7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118.67%</w:t>
            </w:r>
          </w:p>
        </w:tc>
        <w:tc>
          <w:tcPr>
            <w:tcW w:type="dxa" w:w="1151"/>
            <w:vMerge/>
            <w:tcBorders/>
          </w:tcPr>
          <w:p/>
        </w:tc>
        <w:tc>
          <w:tcPr>
            <w:tcW w:type="dxa" w:w="11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68" w:after="3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6.0" w:type="dxa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>
        <w:trPr>
          <w:trHeight w:hRule="exact" w:val="234"/>
        </w:trPr>
        <w:tc>
          <w:tcPr>
            <w:tcW w:type="dxa" w:w="46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4.00000000000006" w:type="dxa"/>
            </w:tblPr>
            <w:tblGrid>
              <w:gridCol w:w="1150"/>
              <w:gridCol w:w="1150"/>
              <w:gridCol w:w="1150"/>
              <w:gridCol w:w="1150"/>
            </w:tblGrid>
            <w:tr>
              <w:trPr>
                <w:trHeight w:hRule="exact" w:val="462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9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9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15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22.72%</w:t>
                  </w:r>
                </w:p>
              </w:tc>
              <w:tc>
                <w:tcPr>
                  <w:tcW w:type="dxa" w:w="9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20.41%</w:t>
                  </w:r>
                </w:p>
              </w:tc>
              <w:tc>
                <w:tcPr>
                  <w:tcW w:type="dxa" w:w="9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20.87%</w:t>
                  </w:r>
                </w:p>
              </w:tc>
              <w:tc>
                <w:tcPr>
                  <w:tcW w:type="dxa" w:w="9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20.41%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50.0%</w:t>
            </w:r>
          </w:p>
        </w:tc>
        <w:tc>
          <w:tcPr>
            <w:tcW w:type="dxa" w:w="542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8" w:after="0"/>
              <w:ind w:left="0" w:right="21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</w:tc>
      </w:tr>
      <w:tr>
        <w:trPr>
          <w:trHeight w:hRule="exact" w:val="80"/>
        </w:trPr>
        <w:tc>
          <w:tcPr>
            <w:tcW w:type="dxa" w:w="2466"/>
            <w:gridSpan w:val="3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542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51200" cy="1130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0"/>
        </w:trPr>
        <w:tc>
          <w:tcPr>
            <w:tcW w:type="dxa" w:w="2466"/>
            <w:gridSpan w:val="3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0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45.0%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66"/>
            <w:gridSpan w:val="3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40.0%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466"/>
            <w:gridSpan w:val="3"/>
            <w:vMerge/>
            <w:tcBorders/>
          </w:tcPr>
          <w:p/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35.0%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6" w:after="0"/>
              <w:ind w:left="0" w:right="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40%</w:t>
            </w:r>
          </w:p>
        </w:tc>
        <w:tc>
          <w:tcPr>
            <w:tcW w:type="dxa" w:w="37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830" w:right="1296" w:firstLine="12"/>
              <w:jc w:val="left"/>
            </w:pPr>
            <w:r>
              <w:rPr>
                <w:w w:val="102.8000036875407"/>
                <w:rFonts w:ascii="Arial" w:hAnsi="Arial" w:eastAsia="Arial"/>
                <w:b/>
                <w:i w:val="0"/>
                <w:color w:val="003366"/>
                <w:sz w:val="12"/>
              </w:rPr>
              <w:t xml:space="preserve">Amortización de capital </w:t>
            </w:r>
            <w:r>
              <w:br/>
            </w:r>
            <w:r>
              <w:rPr>
                <w:w w:val="103.19999853769939"/>
                <w:rFonts w:ascii="Arial" w:hAnsi="Arial" w:eastAsia="Arial"/>
                <w:b/>
                <w:i w:val="0"/>
                <w:color w:val="003366"/>
                <w:sz w:val="12"/>
              </w:rPr>
              <w:t>acumulado de la cartera</w:t>
            </w:r>
          </w:p>
        </w:tc>
        <w:tc>
          <w:tcPr>
            <w:tcW w:type="dxa" w:w="822"/>
            <w:vMerge/>
            <w:tcBorders/>
          </w:tcPr>
          <w:p/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822"/>
            <w:vMerge/>
            <w:tcBorders/>
          </w:tcPr>
          <w:p/>
        </w:tc>
        <w:tc>
          <w:tcPr>
            <w:tcW w:type="dxa" w:w="1644"/>
            <w:gridSpan w:val="2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30.0%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2"/>
            <w:vMerge/>
            <w:tcBorders/>
          </w:tcPr>
          <w:p/>
        </w:tc>
        <w:tc>
          <w:tcPr>
            <w:tcW w:type="dxa" w:w="1644"/>
            <w:gridSpan w:val="2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" w:after="0"/>
              <w:ind w:left="4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35%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" w:after="0"/>
              <w:ind w:left="4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30%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432" w:right="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20%</w:t>
            </w:r>
          </w:p>
        </w:tc>
        <w:tc>
          <w:tcPr>
            <w:tcW w:type="dxa" w:w="37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6" w:after="0"/>
              <w:ind w:left="0" w:right="8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FFFFFF"/>
                <w:sz w:val="10"/>
              </w:rPr>
              <w:t>45.09%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4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822"/>
            <w:vMerge/>
            <w:tcBorders/>
          </w:tcPr>
          <w:p/>
        </w:tc>
        <w:tc>
          <w:tcPr>
            <w:tcW w:type="dxa" w:w="1644"/>
            <w:gridSpan w:val="2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" w:after="0"/>
              <w:ind w:left="0" w:right="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15%</w:t>
            </w:r>
          </w:p>
        </w:tc>
        <w:tc>
          <w:tcPr>
            <w:tcW w:type="dxa" w:w="10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0"/>
              </w:rPr>
              <w:t>28.11%</w:t>
            </w:r>
          </w:p>
        </w:tc>
        <w:tc>
          <w:tcPr>
            <w:tcW w:type="dxa" w:w="26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32" w:after="0"/>
              <w:ind w:left="4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10"/>
              </w:rPr>
              <w:t>37.05%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8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</w:p>
        </w:tc>
        <w:tc>
          <w:tcPr>
            <w:tcW w:type="dxa" w:w="8220"/>
            <w:gridSpan w:val="1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42" w:after="0"/>
              <w:ind w:left="0" w:right="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10%</w:t>
            </w:r>
          </w:p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822"/>
            <w:vMerge/>
            <w:tcBorders/>
          </w:tcPr>
          <w:p/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nov22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ene23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mar23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may23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jul23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sep23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nov23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ene24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mar24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may24</w:t>
            </w:r>
          </w:p>
        </w:tc>
      </w:tr>
    </w:tbl>
    <w:p>
      <w:pPr>
        <w:autoSpaceDN w:val="0"/>
        <w:autoSpaceDE w:val="0"/>
        <w:widowControl/>
        <w:spacing w:line="136" w:lineRule="exact" w:before="12" w:after="8"/>
        <w:ind w:left="9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0"/>
        </w:rPr>
        <w:t>5%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.0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192"/>
        </w:trPr>
        <w:tc>
          <w:tcPr>
            <w:tcW w:type="dxa" w:w="53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8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0%</w:t>
            </w:r>
          </w:p>
          <w:p>
            <w:pPr>
              <w:autoSpaceDN w:val="0"/>
              <w:tabs>
                <w:tab w:pos="2236" w:val="left"/>
                <w:tab w:pos="3602" w:val="left"/>
              </w:tabs>
              <w:autoSpaceDE w:val="0"/>
              <w:widowControl/>
              <w:spacing w:line="170" w:lineRule="exact" w:before="0" w:after="0"/>
              <w:ind w:left="1408" w:right="0" w:firstLine="0"/>
              <w:jc w:val="left"/>
            </w:pP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Teórico </w:t>
            </w:r>
            <w:r>
              <w:tab/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Prepago CPR 10% </w:t>
            </w:r>
            <w:r>
              <w:rPr>
                <w:w w:val="102.8000036875407"/>
                <w:rFonts w:ascii="ArialMT" w:hAnsi="ArialMT" w:eastAsia="ArialMT"/>
                <w:b w:val="0"/>
                <w:i w:val="0"/>
                <w:color w:val="000000"/>
                <w:sz w:val="12"/>
              </w:rPr>
              <w:t>Observado</w:t>
            </w:r>
          </w:p>
          <w:p>
            <w:pPr>
              <w:autoSpaceDN w:val="0"/>
              <w:autoSpaceDE w:val="0"/>
              <w:widowControl/>
              <w:spacing w:line="194" w:lineRule="auto" w:before="0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</w:t>
            </w:r>
          </w:p>
          <w:p>
            <w:pPr>
              <w:autoSpaceDN w:val="0"/>
              <w:autoSpaceDE w:val="0"/>
              <w:widowControl/>
              <w:spacing w:line="286" w:lineRule="auto" w:before="42" w:after="0"/>
              <w:ind w:left="0" w:right="1674" w:firstLine="0"/>
              <w:jc w:val="right"/>
            </w:pPr>
            <w:r>
              <w:rPr>
                <w:w w:val="102.17142786298479"/>
                <w:rFonts w:ascii="Arial" w:hAnsi="Arial" w:eastAsia="Arial"/>
                <w:b/>
                <w:i w:val="0"/>
                <w:color w:val="003366"/>
                <w:sz w:val="14"/>
              </w:rPr>
              <w:t>Mora 90 días/ saldo inicial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6.0%</w:t>
            </w:r>
          </w:p>
          <w:p>
            <w:pPr>
              <w:autoSpaceDN w:val="0"/>
              <w:autoSpaceDE w:val="0"/>
              <w:widowControl/>
              <w:spacing w:line="184" w:lineRule="exact" w:before="596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3.0%</w:t>
            </w:r>
          </w:p>
          <w:p>
            <w:pPr>
              <w:autoSpaceDN w:val="0"/>
              <w:autoSpaceDE w:val="0"/>
              <w:widowControl/>
              <w:spacing w:line="184" w:lineRule="exact" w:before="76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2.0%</w:t>
            </w:r>
          </w:p>
          <w:p>
            <w:pPr>
              <w:autoSpaceDN w:val="0"/>
              <w:autoSpaceDE w:val="0"/>
              <w:widowControl/>
              <w:spacing w:line="184" w:lineRule="exact" w:before="74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1.0%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755900" cy="1028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5.0%</w:t>
            </w:r>
          </w:p>
          <w:p>
            <w:pPr>
              <w:autoSpaceDN w:val="0"/>
              <w:autoSpaceDE w:val="0"/>
              <w:widowControl/>
              <w:spacing w:line="184" w:lineRule="exact" w:before="76" w:after="0"/>
              <w:ind w:left="388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4.0%</w:t>
            </w:r>
          </w:p>
          <w:p>
            <w:pPr>
              <w:autoSpaceDN w:val="0"/>
              <w:tabs>
                <w:tab w:pos="1106" w:val="left"/>
                <w:tab w:pos="1554" w:val="left"/>
                <w:tab w:pos="1994" w:val="left"/>
                <w:tab w:pos="2492" w:val="left"/>
                <w:tab w:pos="2910" w:val="left"/>
                <w:tab w:pos="3360" w:val="left"/>
                <w:tab w:pos="3808" w:val="left"/>
                <w:tab w:pos="4254" w:val="left"/>
                <w:tab w:pos="4696" w:val="left"/>
              </w:tabs>
              <w:autoSpaceDE w:val="0"/>
              <w:widowControl/>
              <w:spacing w:line="148" w:lineRule="exact" w:before="998" w:after="0"/>
              <w:ind w:left="660" w:right="0" w:firstLine="0"/>
              <w:jc w:val="left"/>
            </w:pP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nov22 </w:t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ene23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mar23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may23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jul23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sep23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nov23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ene24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mar24 </w:t>
            </w:r>
            <w:r>
              <w:tab/>
            </w:r>
            <w:r>
              <w:rPr>
                <w:w w:val="98.61817793412642"/>
                <w:rFonts w:ascii="ArialMT" w:hAnsi="ArialMT" w:eastAsia="ArialMT"/>
                <w:b w:val="0"/>
                <w:i w:val="0"/>
                <w:color w:val="000000"/>
                <w:sz w:val="11"/>
              </w:rPr>
              <w:t>may24</w:t>
            </w:r>
          </w:p>
        </w:tc>
        <w:tc>
          <w:tcPr>
            <w:tcW w:type="dxa" w:w="1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Observado</w:t>
            </w:r>
          </w:p>
        </w:tc>
        <w:tc>
          <w:tcPr>
            <w:tcW w:type="dxa" w:w="12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8" w:after="0"/>
              <w:ind w:left="12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Media Móvil 12 meses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8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20%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8" w:after="0"/>
              <w:ind w:left="0" w:right="180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30%</w:t>
            </w:r>
          </w:p>
        </w:tc>
        <w:tc>
          <w:tcPr>
            <w:tcW w:type="dxa" w:w="8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8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40%</w:t>
            </w:r>
          </w:p>
        </w:tc>
        <w:tc>
          <w:tcPr>
            <w:tcW w:type="dxa" w:w="11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8" w:after="0"/>
              <w:ind w:left="160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10%</w:t>
            </w:r>
          </w:p>
        </w:tc>
      </w:tr>
      <w:tr>
        <w:trPr>
          <w:trHeight w:hRule="exact" w:val="72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60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0" w:after="0"/>
              <w:ind w:left="220" w:right="0" w:firstLine="1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Escenarios de Estrés____________________________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últimos </w:t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12 meses- 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0" w:right="25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0" w:right="18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0" w:right="4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B1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0" w:right="1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B2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78" w:after="0"/>
              <w:ind w:left="0" w:right="89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6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9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11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4,847</w:t>
            </w:r>
          </w:p>
        </w:tc>
      </w:tr>
      <w:tr>
        <w:trPr>
          <w:trHeight w:hRule="exact" w:val="16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9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2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11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4,853</w:t>
            </w:r>
          </w:p>
        </w:tc>
      </w:tr>
      <w:tr>
        <w:trPr>
          <w:trHeight w:hRule="exact" w:val="16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9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2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11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4,853</w:t>
            </w:r>
          </w:p>
        </w:tc>
      </w:tr>
      <w:tr>
        <w:trPr>
          <w:trHeight w:hRule="exact" w:val="14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9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2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11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3,468</w:t>
            </w:r>
          </w:p>
        </w:tc>
      </w:tr>
      <w:tr>
        <w:trPr>
          <w:trHeight w:hRule="exact" w:val="16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9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2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11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3,612</w:t>
            </w:r>
          </w:p>
        </w:tc>
      </w:tr>
      <w:tr>
        <w:trPr>
          <w:trHeight w:hRule="exact" w:val="16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9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2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11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3,618</w:t>
            </w:r>
          </w:p>
        </w:tc>
      </w:tr>
      <w:tr>
        <w:trPr>
          <w:trHeight w:hRule="exact" w:val="14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2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68%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1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442</w:t>
            </w:r>
          </w:p>
        </w:tc>
      </w:tr>
      <w:tr>
        <w:trPr>
          <w:trHeight w:hRule="exact" w:val="16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684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2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82%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1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0%</w:t>
            </w:r>
          </w:p>
        </w:tc>
        <w:tc>
          <w:tcPr>
            <w:tcW w:type="dxa" w:w="1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441</w:t>
            </w:r>
          </w:p>
        </w:tc>
      </w:tr>
      <w:tr>
        <w:trPr>
          <w:trHeight w:hRule="exact" w:val="120"/>
        </w:trPr>
        <w:tc>
          <w:tcPr>
            <w:tcW w:type="dxa" w:w="3836"/>
            <w:gridSpan w:val="4"/>
            <w:vMerge/>
            <w:tcBorders/>
          </w:tcPr>
          <w:p/>
        </w:tc>
        <w:tc>
          <w:tcPr>
            <w:tcW w:type="dxa" w:w="1176"/>
            <w:vMerge w:val="restart"/>
            <w:tcBorders>
              <w:end w:sz="7.440000057220459" w:val="single" w:color="#FF00FF"/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36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684"/>
            <w:vMerge w:val="restart"/>
            <w:tcBorders>
              <w:start w:sz="7.440000057220459" w:val="single" w:color="#FF00FF"/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540"/>
            <w:vMerge w:val="restart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7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80"/>
            <w:vMerge w:val="restart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2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83%</w:t>
            </w:r>
          </w:p>
        </w:tc>
        <w:tc>
          <w:tcPr>
            <w:tcW w:type="dxa" w:w="980"/>
            <w:gridSpan w:val="2"/>
            <w:vMerge w:val="restart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18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0%</w:t>
            </w:r>
          </w:p>
        </w:tc>
        <w:tc>
          <w:tcPr>
            <w:tcW w:type="dxa" w:w="1960"/>
            <w:gridSpan w:val="2"/>
            <w:vMerge w:val="restart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456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441</w:t>
            </w:r>
          </w:p>
        </w:tc>
      </w:tr>
      <w:tr>
        <w:trPr>
          <w:trHeight w:hRule="exact" w:val="74"/>
        </w:trPr>
        <w:tc>
          <w:tcPr>
            <w:tcW w:type="dxa" w:w="2366"/>
            <w:tcBorders>
              <w:bottom w:sz="9.920000076293945" w:val="single" w:color="#FF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756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Observado</w:t>
            </w:r>
          </w:p>
        </w:tc>
        <w:tc>
          <w:tcPr>
            <w:tcW w:type="dxa" w:w="1098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 97,5%</w:t>
            </w:r>
          </w:p>
        </w:tc>
        <w:tc>
          <w:tcPr>
            <w:tcW w:type="dxa" w:w="1026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 50%</w:t>
            </w:r>
          </w:p>
        </w:tc>
        <w:tc>
          <w:tcPr>
            <w:tcW w:type="dxa" w:w="810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 2,5%</w:t>
            </w:r>
          </w:p>
        </w:tc>
        <w:tc>
          <w:tcPr>
            <w:tcW w:type="dxa" w:w="959"/>
            <w:vMerge/>
            <w:tcBorders>
              <w:end w:sz="7.440000057220459" w:val="single" w:color="#FF00FF"/>
              <w:bottom w:sz="12.399999618530273" w:val="single" w:color="#041E42"/>
            </w:tcBorders>
          </w:tcPr>
          <w:p/>
        </w:tc>
        <w:tc>
          <w:tcPr>
            <w:tcW w:type="dxa" w:w="959"/>
            <w:vMerge/>
            <w:tcBorders>
              <w:start w:sz="7.440000057220459" w:val="single" w:color="#FF00FF"/>
              <w:bottom w:sz="12.399999618530273" w:val="single" w:color="#041E42"/>
            </w:tcBorders>
          </w:tcPr>
          <w:p/>
        </w:tc>
        <w:tc>
          <w:tcPr>
            <w:tcW w:type="dxa" w:w="959"/>
            <w:vMerge/>
            <w:tcBorders>
              <w:bottom w:sz="12.399999618530273" w:val="single" w:color="#041E42"/>
            </w:tcBorders>
          </w:tcPr>
          <w:p/>
        </w:tc>
        <w:tc>
          <w:tcPr>
            <w:tcW w:type="dxa" w:w="959"/>
            <w:vMerge/>
            <w:tcBorders>
              <w:bottom w:sz="12.399999618530273" w:val="single" w:color="#041E42"/>
            </w:tcBorders>
          </w:tcPr>
          <w:p/>
        </w:tc>
        <w:tc>
          <w:tcPr>
            <w:tcW w:type="dxa" w:w="1918"/>
            <w:gridSpan w:val="2"/>
            <w:vMerge/>
            <w:tcBorders>
              <w:bottom w:sz="12.399999618530273" w:val="single" w:color="#041E42"/>
            </w:tcBorders>
          </w:tcPr>
          <w:p/>
        </w:tc>
        <w:tc>
          <w:tcPr>
            <w:tcW w:type="dxa" w:w="1918"/>
            <w:gridSpan w:val="2"/>
            <w:vMerge/>
            <w:tcBorders>
              <w:bottom w:sz="12.399999618530273" w:val="single" w:color="#041E42"/>
            </w:tcBorders>
          </w:tcPr>
          <w:p/>
        </w:tc>
      </w:tr>
      <w:tr>
        <w:trPr>
          <w:trHeight w:hRule="exact" w:val="156"/>
        </w:trPr>
        <w:tc>
          <w:tcPr>
            <w:tcW w:type="dxa" w:w="2366"/>
            <w:tcBorders>
              <w:top w:sz="9.920000076293945" w:val="single" w:color="#FF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6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20"/>
            <w:gridSpan w:val="8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0" w:after="0"/>
              <w:ind w:left="2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</w:p>
        </w:tc>
      </w:tr>
    </w:tbl>
    <w:p>
      <w:pPr>
        <w:autoSpaceDN w:val="0"/>
        <w:autoSpaceDE w:val="0"/>
        <w:widowControl/>
        <w:spacing w:line="98" w:lineRule="exact" w:before="10" w:after="0"/>
        <w:ind w:left="0" w:right="144" w:firstLine="0"/>
        <w:jc w:val="righ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 * % Cobertura Vigente : Saldo de capital de la cartera con mora inferior a 90 días más el monto del fondo de reserva para Compras, dividido por el saldo de los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6.0" w:type="dxa"/>
      </w:tblPr>
      <w:tblGrid>
        <w:gridCol w:w="5754"/>
        <w:gridCol w:w="5754"/>
      </w:tblGrid>
      <w:tr>
        <w:trPr>
          <w:trHeight w:hRule="exact" w:val="27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1.9999999999999" w:type="dxa"/>
            </w:tblPr>
            <w:tblGrid>
              <w:gridCol w:w="4240"/>
            </w:tblGrid>
            <w:tr>
              <w:trPr>
                <w:trHeight w:hRule="exact" w:val="132"/>
              </w:trPr>
              <w:tc>
                <w:tcPr>
                  <w:tcW w:type="dxa" w:w="2778"/>
                  <w:tcBorders>
                    <w:start w:sz="9.600000000000023" w:val="single" w:color="#000000"/>
                    <w:top w:sz="9.600000000000364" w:val="single" w:color="#000000"/>
                    <w:end w:sz="9.599999999999909" w:val="single" w:color="#000000"/>
                    <w:bottom w:sz="9.599999999999909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feb: 2.25%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54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TIPS en la fecha de liquidación.</w:t>
            </w:r>
          </w:p>
        </w:tc>
      </w:tr>
    </w:tbl>
    <w:p>
      <w:pPr>
        <w:autoSpaceDN w:val="0"/>
        <w:autoSpaceDE w:val="0"/>
        <w:widowControl/>
        <w:spacing w:line="100" w:lineRule="exact" w:before="44" w:after="26"/>
        <w:ind w:left="0" w:right="2742" w:firstLine="0"/>
        <w:jc w:val="righ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 * % Coberturas Externas : Saldo del Mecanismo de Cobertura Parcial de los títulos 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6.0" w:type="dxa"/>
      </w:tblPr>
      <w:tblGrid>
        <w:gridCol w:w="2302"/>
        <w:gridCol w:w="2302"/>
        <w:gridCol w:w="2302"/>
        <w:gridCol w:w="2302"/>
        <w:gridCol w:w="2302"/>
      </w:tblGrid>
      <w:tr>
        <w:trPr>
          <w:trHeight w:hRule="exact" w:val="1482"/>
        </w:trPr>
        <w:tc>
          <w:tcPr>
            <w:tcW w:type="dxa" w:w="51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6" w:after="0"/>
              <w:ind w:left="0" w:right="434" w:firstLine="0"/>
              <w:jc w:val="right"/>
            </w:pPr>
            <w:r>
              <w:rPr>
                <w:w w:val="101.67272741144353"/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</w:p>
          <w:p>
            <w:pPr>
              <w:autoSpaceDN w:val="0"/>
              <w:autoSpaceDE w:val="0"/>
              <w:widowControl/>
              <w:spacing w:line="136" w:lineRule="exact" w:before="116" w:after="0"/>
              <w:ind w:left="3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30.0%</w:t>
            </w:r>
          </w:p>
          <w:p>
            <w:pPr>
              <w:autoSpaceDN w:val="0"/>
              <w:autoSpaceDE w:val="0"/>
              <w:widowControl/>
              <w:spacing w:line="138" w:lineRule="exact" w:before="478" w:after="0"/>
              <w:ind w:left="3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679700" cy="609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tabs>
                <w:tab w:pos="970" w:val="left"/>
                <w:tab w:pos="1402" w:val="left"/>
                <w:tab w:pos="1830" w:val="left"/>
                <w:tab w:pos="2310" w:val="left"/>
                <w:tab w:pos="2716" w:val="left"/>
                <w:tab w:pos="3150" w:val="left"/>
                <w:tab w:pos="3584" w:val="left"/>
                <w:tab w:pos="4016" w:val="left"/>
                <w:tab w:pos="4444" w:val="left"/>
              </w:tabs>
              <w:autoSpaceDE w:val="0"/>
              <w:widowControl/>
              <w:spacing w:line="138" w:lineRule="exact" w:before="596" w:after="0"/>
              <w:ind w:left="5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may23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sep23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nov23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mar24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may24</w:t>
            </w:r>
          </w:p>
        </w:tc>
        <w:tc>
          <w:tcPr>
            <w:tcW w:type="dxa" w:w="6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10" w:after="0"/>
              <w:ind w:left="30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30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ponderado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304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por el saldo de 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36" w:after="0"/>
              <w:ind w:left="30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30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00" w:lineRule="exact" w:before="138" w:after="0"/>
              <w:ind w:left="29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90 días se ha proyectado teniendo en cuenta el comportamiento crediticio de una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298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muestra de desarrollo de 204,300 créditos hipotecarios. Se presenta la mora en percentiles  (P2,5%, P50% y P97,5%).  Para mayor información de la metodología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98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proyección ver Anexo 2 del Prospecto de la emisión.</w:t>
            </w:r>
          </w:p>
        </w:tc>
      </w:tr>
      <w:tr>
        <w:trPr>
          <w:trHeight w:hRule="exact" w:val="156"/>
        </w:trPr>
        <w:tc>
          <w:tcPr>
            <w:tcW w:type="dxa" w:w="2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Tasa Observada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4" w:after="0"/>
              <w:ind w:left="0" w:right="214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Tasa Teórica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4" w:after="0"/>
              <w:ind w:left="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Tasa Esperada</w:t>
            </w:r>
          </w:p>
        </w:tc>
        <w:tc>
          <w:tcPr>
            <w:tcW w:type="dxa" w:w="2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10" w:lineRule="exact" w:before="0" w:after="14"/>
        <w:ind w:left="5674" w:right="0" w:firstLine="0"/>
        <w:jc w:val="lef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Escenarios: Muestra el porcentaje de amortización proyectado de cada título para diferentes escenarios de estrés de prepago y múltiplos de la mora esperada. El 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monto residual una vez pagados los títulos es el valor presente descontado a la tir del pasivo correlativo. Para mayor información ver informe "Tablas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6.0" w:type="dxa"/>
      </w:tblPr>
      <w:tblGrid>
        <w:gridCol w:w="2302"/>
        <w:gridCol w:w="2302"/>
        <w:gridCol w:w="2302"/>
        <w:gridCol w:w="2302"/>
        <w:gridCol w:w="2302"/>
      </w:tblGrid>
      <w:tr>
        <w:trPr>
          <w:trHeight w:hRule="exact" w:val="21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0" w:right="14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174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214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" w:after="0"/>
              <w:ind w:left="638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Amortización y Flujos Escenarios de Prepago y Mora" en www.titularizadora.com</w:t>
            </w:r>
          </w:p>
        </w:tc>
      </w:tr>
      <w:tr>
        <w:trPr>
          <w:trHeight w:hRule="exact" w:val="21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14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174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24.40%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27.03%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29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23.10%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8" w:after="0"/>
              <w:ind w:left="63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respecto al </w:t>
            </w:r>
          </w:p>
        </w:tc>
      </w:tr>
    </w:tbl>
    <w:p>
      <w:pPr>
        <w:autoSpaceDN w:val="0"/>
        <w:autoSpaceDE w:val="0"/>
        <w:widowControl/>
        <w:spacing w:line="197" w:lineRule="auto" w:before="0" w:after="0"/>
        <w:ind w:left="0" w:right="2850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>saldo total de los créditos hipotecarios y por cantidad es respecto al total de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014" w:type="dxa"/>
      </w:tblPr>
      <w:tblGrid>
        <w:gridCol w:w="5754"/>
        <w:gridCol w:w="5754"/>
      </w:tblGrid>
      <w:tr>
        <w:trPr>
          <w:trHeight w:hRule="exact" w:val="1798"/>
        </w:trPr>
        <w:tc>
          <w:tcPr>
            <w:tcW w:type="dxa" w:w="5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897"/>
              <w:gridCol w:w="897"/>
              <w:gridCol w:w="897"/>
              <w:gridCol w:w="897"/>
              <w:gridCol w:w="897"/>
              <w:gridCol w:w="897"/>
            </w:tblGrid>
            <w:tr>
              <w:trPr>
                <w:trHeight w:hRule="exact" w:val="224"/>
              </w:trPr>
              <w:tc>
                <w:tcPr>
                  <w:tcW w:type="dxa" w:w="4414"/>
                  <w:gridSpan w:val="2"/>
                  <w:tcBorders>
                    <w:end w:sz="9.92000007629394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19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41E42"/>
                      <w:sz w:val="20"/>
                    </w:rPr>
                    <w:t>Participación por Rango de Tasas_______________</w:t>
                  </w:r>
                </w:p>
              </w:tc>
              <w:tc>
                <w:tcPr>
                  <w:tcW w:type="dxa" w:w="208"/>
                  <w:tcBorders>
                    <w:start w:sz="9.920000076293945" w:val="single" w:color="#000000"/>
                    <w:top w:sz="9.920000076293945" w:val="single" w:color="#000000"/>
                    <w:end w:sz="9.920000076293945" w:val="single" w:color="#000000"/>
                    <w:bottom w:sz="2.240000009536743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9.920000076293945" w:val="single" w:color="#000000"/>
                    <w:end w:sz="9.920000076293945" w:val="single" w:color="#000000"/>
                    <w:bottom w:sz="2.240000009536743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6"/>
                  <w:gridSpan w:val="2"/>
                  <w:tcBorders>
                    <w:start w:sz="9.92000007629394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640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90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70%</w:t>
                  </w:r>
                </w:p>
              </w:tc>
              <w:tc>
                <w:tcPr>
                  <w:tcW w:type="dxa" w:w="3774"/>
                  <w:tcBorders>
                    <w:top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2.240000009536743" w:val="single" w:color="#000000"/>
                    <w:end w:sz="9.920000076293945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2.240000009536743" w:val="single" w:color="#000000"/>
                    <w:end w:sz="9.920000076293945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6"/>
                  <w:gridSpan w:val="2"/>
                  <w:tcBorders>
                    <w:start w:sz="9.920000076293945" w:val="single" w:color="#000000"/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6" w:lineRule="exact" w:before="0" w:after="0"/>
                    <w:ind w:left="0" w:right="78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60%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end w:sz="9.920000076293945" w:val="single" w:color="#000000"/>
                    <w:bottom w:sz="1.2400000095367432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end w:sz="9.920000076293945" w:val="single" w:color="#000000"/>
                    <w:bottom w:sz="1.2400000095367432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78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50%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6" w:lineRule="exact" w:before="0" w:after="0"/>
                    <w:ind w:left="0" w:right="78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40%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78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30%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6" w:lineRule="exact" w:before="0" w:after="0"/>
                    <w:ind w:left="0" w:right="78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20%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6" w:lineRule="exact" w:before="0" w:after="0"/>
                    <w:ind w:left="0" w:right="78" w:firstLine="0"/>
                    <w:jc w:val="right"/>
                  </w:pPr>
                  <w:r>
                    <w:rPr>
                      <w:w w:val="96.4363618330522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10%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1.2400000095367432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2"/>
              </w:trPr>
              <w:tc>
                <w:tcPr>
                  <w:tcW w:type="dxa" w:w="640"/>
                  <w:tcBorders>
                    <w:start w:sz="2.240000009536743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80" w:firstLine="0"/>
                    <w:jc w:val="right"/>
                  </w:pPr>
                  <w:r>
                    <w:rPr>
                      <w:w w:val="96.00000381469727"/>
                      <w:rFonts w:ascii="ArialMT" w:hAnsi="ArialMT" w:eastAsia="ArialMT"/>
                      <w:b w:val="0"/>
                      <w:i w:val="0"/>
                      <w:color w:val="000000"/>
                      <w:sz w:val="11"/>
                    </w:rPr>
                    <w:t>0%</w:t>
                  </w:r>
                </w:p>
              </w:tc>
              <w:tc>
                <w:tcPr>
                  <w:tcW w:type="dxa" w:w="377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9.920000076293945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9.920000076293945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920000076293945" w:val="single" w:color="#000000"/>
                    <w:top w:sz="1.2400000095367432" w:val="single" w:color="#CBCBCB"/>
                    <w:end w:sz="9.920000076293945" w:val="single" w:color="#000000"/>
                    <w:bottom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640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4"/>
                  <w:tcBorders>
                    <w:top w:sz="9.92000007629394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0.0" w:type="dxa"/>
                  </w:tblPr>
                  <w:tblGrid>
                    <w:gridCol w:w="1258"/>
                    <w:gridCol w:w="1258"/>
                    <w:gridCol w:w="1258"/>
                  </w:tblGrid>
                  <w:tr>
                    <w:trPr>
                      <w:trHeight w:hRule="exact" w:val="216"/>
                    </w:trPr>
                    <w:tc>
                      <w:tcPr>
                        <w:tcW w:type="dxa" w:w="5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&lt;14.00%</w:t>
                        </w:r>
                      </w:p>
                    </w:tc>
                    <w:tc>
                      <w:tcPr>
                        <w:tcW w:type="dxa" w:w="30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14,00%-14,50% 14.50%-15.00% 15.00%-15.50% 15.50%-16.00%</w:t>
                        </w:r>
                      </w:p>
                    </w:tc>
                  </w:tr>
                  <w:tr>
                    <w:trPr>
                      <w:trHeight w:hRule="exact" w:val="216"/>
                    </w:trPr>
                    <w:tc>
                      <w:tcPr>
                        <w:tcW w:type="dxa" w:w="1258"/>
                        <w:vMerge/>
                        <w:tcBorders/>
                      </w:tcPr>
                      <w:p/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72" w:after="0"/>
                          <w:ind w:left="0" w:right="306" w:firstLine="0"/>
                          <w:jc w:val="right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72" w:after="0"/>
                          <w:ind w:left="318" w:right="0" w:firstLine="0"/>
                          <w:jc w:val="left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Por Monto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8" w:after="0"/>
              <w:ind w:left="23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100" w:lineRule="exact" w:before="134" w:after="0"/>
              <w:ind w:left="23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7" w:lineRule="auto" w:before="508" w:after="0"/>
              <w:ind w:left="238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“Titularizadora Colombiana S.A publica el presente documento con un carácter estrictamente informativo para los inversionistas. Aunque la información aquí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contenida ha sido obtenida de fuentes que la compañía considera confiables, Titularizadora Colombiana S.A no garantiza su exactitud. En ningún caso su contenido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se puede considerar como una opinión financiera o legal ni como una recomendación de negocios o de inversión por parte de nuestra compañía. Tampoco puede ser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considerado como una invitación a realizar negocios ni como una oferta para comprar o vender ningún tipo de valor. En ningún caso Titularizadora Colombiana S.A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asume responsabilidad por las decisiones de inversión que se tomen, o el resultado de cualquier operación que se efectúe por parte de los destinatarios 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terceras personas, sobre la información aquí contenida. Tal responsabilidad es exclusiva de los inversionistas que hagan uso de ella. Dicha información puede tener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variaciones posteriores a la fecha de su publicación razón por la cual Titularizadora Colombiana S.A se reserva el derecho de modificarla o actualizarla en cualquier </w:t>
            </w:r>
          </w:p>
        </w:tc>
      </w:tr>
    </w:tbl>
    <w:p>
      <w:pPr>
        <w:autoSpaceDN w:val="0"/>
        <w:autoSpaceDE w:val="0"/>
        <w:widowControl/>
        <w:spacing w:line="199" w:lineRule="auto" w:before="14" w:after="30"/>
        <w:ind w:left="0" w:right="4910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>tiempo y sin previo aviso.”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5754"/>
        <w:gridCol w:w="5754"/>
      </w:tblGrid>
      <w:tr>
        <w:trPr>
          <w:trHeight w:hRule="exact" w:val="136"/>
        </w:trPr>
        <w:tc>
          <w:tcPr>
            <w:tcW w:type="dxa" w:w="1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41E42"/>
                <w:sz w:val="12"/>
              </w:rPr>
              <w:t>Tasa PP en febrero</w:t>
            </w:r>
          </w:p>
        </w:tc>
        <w:tc>
          <w:tcPr>
            <w:tcW w:type="dxa" w:w="9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00000"/>
                <w:sz w:val="12"/>
              </w:rPr>
              <w:t>24.33%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18" w:right="54" w:bottom="1440" w:left="3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