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2302"/>
        <w:gridCol w:w="2302"/>
        <w:gridCol w:w="2302"/>
        <w:gridCol w:w="2302"/>
        <w:gridCol w:w="2302"/>
      </w:tblGrid>
      <w:tr>
        <w:trPr>
          <w:trHeight w:hRule="exact" w:val="642"/>
        </w:trPr>
        <w:tc>
          <w:tcPr>
            <w:tcW w:type="dxa" w:w="1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37260" cy="9334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933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0" w:after="0"/>
              <w:ind w:left="168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FFFFFF"/>
                <w:sz w:val="12"/>
              </w:rPr>
              <w:t>v5</w:t>
            </w:r>
          </w:p>
        </w:tc>
        <w:tc>
          <w:tcPr>
            <w:tcW w:type="dxa" w:w="2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4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16940" cy="5753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40" cy="575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2302"/>
            <w:vMerge/>
            <w:tcBorders/>
          </w:tcPr>
          <w:p/>
        </w:tc>
        <w:tc>
          <w:tcPr>
            <w:tcW w:type="dxa" w:w="3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180" w:right="0" w:firstLine="0"/>
              <w:jc w:val="left"/>
            </w:pPr>
            <w:r>
              <w:rPr>
                <w:w w:val="101.45454406738281"/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98" w:after="0"/>
              <w:ind w:left="0" w:right="744" w:firstLine="0"/>
              <w:jc w:val="right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230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02"/>
            <w:vMerge/>
            <w:tcBorders/>
          </w:tcPr>
          <w:p/>
        </w:tc>
        <w:tc>
          <w:tcPr>
            <w:tcW w:type="dxa" w:w="7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E2C3E"/>
                <w:sz w:val="15"/>
              </w:rPr>
              <w:t>TIV PESOS V5</w:t>
            </w:r>
            <w:r>
              <w:rPr>
                <w:w w:val="97.71428789411273"/>
                <w:rFonts w:ascii="Calibri" w:hAnsi="Calibri" w:eastAsia="Calibri"/>
                <w:b w:val="0"/>
                <w:i w:val="0"/>
                <w:color w:val="993366"/>
                <w:sz w:val="14"/>
              </w:rPr>
              <w:t>_____________________________________________________________________________________</w:t>
            </w:r>
          </w:p>
        </w:tc>
        <w:tc>
          <w:tcPr>
            <w:tcW w:type="dxa" w:w="230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02"/>
            <w:vMerge/>
            <w:tcBorders/>
          </w:tcPr>
          <w:p/>
        </w:tc>
        <w:tc>
          <w:tcPr>
            <w:tcW w:type="dxa" w:w="3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1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4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892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4 meses</w:t>
            </w:r>
          </w:p>
        </w:tc>
        <w:tc>
          <w:tcPr>
            <w:tcW w:type="dxa" w:w="230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02"/>
            <w:vMerge/>
            <w:tcBorders/>
          </w:tcPr>
          <w:p/>
        </w:tc>
        <w:tc>
          <w:tcPr>
            <w:tcW w:type="dxa" w:w="6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2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36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$54,800 millones </w:t>
            </w:r>
          </w:p>
        </w:tc>
        <w:tc>
          <w:tcPr>
            <w:tcW w:type="dxa" w:w="230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02"/>
            <w:vMerge/>
            <w:tcBorders/>
          </w:tcPr>
          <w:p/>
        </w:tc>
        <w:tc>
          <w:tcPr>
            <w:tcW w:type="dxa" w:w="6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0" w:right="2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Mora &gt;90 días: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6" w:after="0"/>
              <w:ind w:left="36" w:right="0" w:firstLine="0"/>
              <w:jc w:val="left"/>
            </w:pP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$150 millones </w:t>
            </w:r>
          </w:p>
        </w:tc>
        <w:tc>
          <w:tcPr>
            <w:tcW w:type="dxa" w:w="23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2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Saldos y cobertura 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6.0" w:type="dxa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1"/>
        <w:gridCol w:w="1151"/>
        <w:gridCol w:w="1151"/>
      </w:tblGrid>
      <w:tr>
        <w:trPr>
          <w:trHeight w:hRule="exact" w:val="1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TIV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4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366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0" w:right="114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4" w:after="0"/>
              <w:ind w:left="14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608</w:t>
            </w:r>
          </w:p>
        </w:tc>
      </w:tr>
      <w:tr>
        <w:trPr>
          <w:trHeight w:hRule="exact" w:val="2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A-2028: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15.80%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$50,000.0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$40,565.8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75.3%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42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18.9%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134.72%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77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1151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B1-2033: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17.30%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$3,164.5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$3,164.5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5.9%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4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124.97%</w:t>
            </w:r>
          </w:p>
        </w:tc>
        <w:tc>
          <w:tcPr>
            <w:tcW w:type="dxa" w:w="1151"/>
            <w:vMerge/>
            <w:tcBorders/>
          </w:tcPr>
          <w:p/>
        </w:tc>
        <w:tc>
          <w:tcPr>
            <w:tcW w:type="dxa" w:w="1151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B2-2033: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18.30%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$5,696.2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$5,696.2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10.6%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4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B1 + B2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110.57%</w:t>
            </w:r>
          </w:p>
        </w:tc>
        <w:tc>
          <w:tcPr>
            <w:tcW w:type="dxa" w:w="1151"/>
            <w:vMerge/>
            <w:tcBorders/>
          </w:tcPr>
          <w:p/>
        </w:tc>
        <w:tc>
          <w:tcPr>
            <w:tcW w:type="dxa" w:w="1151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4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B3-2033: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19.30%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$4,430.3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$4,430.3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8.2%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456" w:firstLine="0"/>
              <w:jc w:val="righ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220" w:right="0" w:firstLine="0"/>
              <w:jc w:val="left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A + B1 + B2 + B3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 w:val="0"/>
                <w:i w:val="0"/>
                <w:color w:val="041E42"/>
                <w:sz w:val="14"/>
              </w:rPr>
              <w:t>101.47%</w:t>
            </w:r>
          </w:p>
        </w:tc>
        <w:tc>
          <w:tcPr>
            <w:tcW w:type="dxa" w:w="1151"/>
            <w:vMerge/>
            <w:tcBorders/>
          </w:tcPr>
          <w:p/>
        </w:tc>
        <w:tc>
          <w:tcPr>
            <w:tcW w:type="dxa" w:w="11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3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20"/>
        </w:rPr>
        <w:t>Prepago_______________________________________________________________________________________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.0" w:type="dxa"/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rPr>
          <w:trHeight w:hRule="exact" w:val="1994"/>
        </w:trPr>
        <w:tc>
          <w:tcPr>
            <w:tcW w:type="dxa" w:w="53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32.0" w:type="dxa"/>
            </w:tblPr>
            <w:tblGrid>
              <w:gridCol w:w="408"/>
              <w:gridCol w:w="408"/>
              <w:gridCol w:w="408"/>
              <w:gridCol w:w="408"/>
              <w:gridCol w:w="408"/>
              <w:gridCol w:w="408"/>
              <w:gridCol w:w="408"/>
              <w:gridCol w:w="408"/>
              <w:gridCol w:w="408"/>
              <w:gridCol w:w="408"/>
              <w:gridCol w:w="408"/>
              <w:gridCol w:w="408"/>
              <w:gridCol w:w="408"/>
            </w:tblGrid>
            <w:tr>
              <w:trPr>
                <w:trHeight w:hRule="exact" w:val="462"/>
              </w:trPr>
              <w:tc>
                <w:tcPr>
                  <w:tcW w:type="dxa" w:w="152"/>
                  <w:vMerge w:val="restart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144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febrero</w:t>
                  </w:r>
                </w:p>
              </w:tc>
              <w:tc>
                <w:tcPr>
                  <w:tcW w:type="dxa" w:w="938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93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92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4" w:right="144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46"/>
              </w:trPr>
              <w:tc>
                <w:tcPr>
                  <w:tcW w:type="dxa" w:w="408"/>
                  <w:vMerge/>
                  <w:tcBorders>
                    <w:bottom w:sz="2.240000009536743" w:val="single" w:color="#000000"/>
                  </w:tcBorders>
                </w:tcPr>
                <w:p/>
              </w:tc>
              <w:tc>
                <w:tcPr>
                  <w:tcW w:type="dxa" w:w="90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25.22%</w:t>
                  </w:r>
                </w:p>
              </w:tc>
              <w:tc>
                <w:tcPr>
                  <w:tcW w:type="dxa" w:w="938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26.87%</w:t>
                  </w:r>
                </w:p>
              </w:tc>
              <w:tc>
                <w:tcPr>
                  <w:tcW w:type="dxa" w:w="93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24.30%</w:t>
                  </w:r>
                </w:p>
              </w:tc>
              <w:tc>
                <w:tcPr>
                  <w:tcW w:type="dxa" w:w="92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8" w:after="0"/>
                    <w:ind w:left="0" w:right="0" w:firstLine="0"/>
                    <w:jc w:val="center"/>
                  </w:pPr>
                  <w:r>
                    <w:rPr>
                      <w:w w:val="103.9999961853027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23.78%</w:t>
                  </w:r>
                </w:p>
              </w:tc>
            </w:tr>
            <w:tr>
              <w:trPr>
                <w:trHeight w:hRule="exact" w:val="93"/>
              </w:trPr>
              <w:tc>
                <w:tcPr>
                  <w:tcW w:type="dxa" w:w="408"/>
                  <w:vMerge/>
                  <w:tcBorders>
                    <w:bottom w:sz="2.240000009536743" w:val="single" w:color="#000000"/>
                  </w:tcBorders>
                </w:tcPr>
                <w:p/>
              </w:tc>
              <w:tc>
                <w:tcPr>
                  <w:tcW w:type="dxa" w:w="4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2"/>
                  <w:gridSpan w:val="2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78"/>
                  <w:gridSpan w:val="4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78"/>
              </w:trPr>
              <w:tc>
                <w:tcPr>
                  <w:tcW w:type="dxa" w:w="408"/>
                  <w:tcBorders>
                    <w:top w:sz="2.240000009536743" w:val="single" w:color="#000000"/>
                    <w:bottom w:sz="2.240000009536743" w:val="single" w:color="#000000"/>
                  </w:tcBorders>
                </w:tcPr>
                <w:p/>
              </w:tc>
              <w:tc>
                <w:tcPr>
                  <w:tcW w:type="dxa" w:w="408"/>
                  <w:tcBorders>
                    <w:top w:sz="2.240000009536743" w:val="single" w:color="#000000"/>
                    <w:bottom w:sz="2.240000009536743" w:val="single" w:color="#000000"/>
                  </w:tcBorders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</w:tr>
            <w:tr>
              <w:tc>
                <w:tcPr>
                  <w:tcW w:type="dxa" w:w="408"/>
                  <w:tcBorders>
                    <w:top w:sz="2.240000009536743" w:val="single" w:color="#000000"/>
                    <w:bottom w:sz="2.240000009536743" w:val="single" w:color="#000000"/>
                  </w:tcBorders>
                </w:tcPr>
                <w:p/>
              </w:tc>
              <w:tc>
                <w:tcPr>
                  <w:tcW w:type="dxa" w:w="408"/>
                  <w:tcBorders>
                    <w:top w:sz="2.240000009536743" w:val="single" w:color="#000000"/>
                    <w:bottom w:sz="2.240000009536743" w:val="single" w:color="#000000"/>
                  </w:tcBorders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  <w:tc>
                <w:tcPr>
                  <w:tcW w:type="dxa" w:w="408"/>
                </w:tcPr>
                <w:p/>
              </w:tc>
            </w:tr>
          </w:tbl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3068"/>
            <w:gridSpan w:val="4"/>
            <w:vMerge/>
            <w:tcBorders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  <w:tr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  <w:tc>
          <w:tcPr>
            <w:tcW w:type="dxa" w:w="767"/>
          </w:tcPr>
          <w:p/>
        </w:tc>
      </w:tr>
    </w:tbl>
    <w:sectPr w:rsidR="00FC693F" w:rsidRPr="0006063C" w:rsidSect="00034616">
      <w:pgSz w:w="11906" w:h="16838"/>
      <w:pgMar w:top="318" w:right="54" w:bottom="1422" w:left="3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