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A1A1A"/>
          <w:sz w:val="48"/>
          <w:szCs w:val="48"/>
        </w:rPr>
        <w:t xml:space="preserve">MONX UK</w:t>
      </w:r>
    </w:p>
    <w:p>
      <w:pPr>
        <w:spacing w:after="120" w:before="0"/>
      </w:pPr>
      <w:r>
        <w:rPr>
          <w:rFonts w:ascii="Arial" w:cs="Arial" w:eastAsia="Arial" w:hAnsi="Arial"/>
          <w:color w:val="555555"/>
          <w:sz w:val="32"/>
          <w:szCs w:val="32"/>
        </w:rPr>
        <w:t xml:space="preserve">Brand Voice Document</w:t>
      </w:r>
    </w:p>
    <w:p>
      <w:pPr>
        <w:spacing w:after="2880" w:before="0"/>
      </w:pPr>
      <w:r>
        <w:rPr>
          <w:rFonts w:ascii="Arial" w:cs="Arial" w:eastAsia="Arial" w:hAnsi="Arial"/>
          <w:color w:val="888888"/>
          <w:sz w:val="22"/>
          <w:szCs w:val="22"/>
        </w:rPr>
        <w:t xml:space="preserve">Version 1.0  |  April 2026</w:t>
      </w:r>
    </w:p>
    <w:p>
      <w:r>
        <w:br w:type="page"/>
      </w:r>
    </w:p>
    <w:p>
      <w:pPr>
        <w:pStyle w:val="Heading1"/>
        <w:spacing w:after="200" w:before="360"/>
      </w:pPr>
      <w:r>
        <w:rPr>
          <w:rFonts w:ascii="Arial" w:cs="Arial" w:eastAsia="Arial" w:hAnsi="Arial"/>
          <w:b/>
          <w:bCs/>
          <w:color w:val="1A1A1A"/>
          <w:sz w:val="32"/>
          <w:szCs w:val="32"/>
        </w:rPr>
        <w:t xml:space="preserve">1. Who We Are</w:t>
      </w:r>
    </w:p>
    <w:p>
      <w:pPr>
        <w:spacing w:after="120" w:before="80"/>
      </w:pPr>
      <w:r>
        <w:rPr>
          <w:rFonts w:ascii="Arial" w:cs="Arial" w:eastAsia="Arial" w:hAnsi="Arial"/>
          <w:color w:val="333333"/>
          <w:sz w:val="22"/>
          <w:szCs w:val="22"/>
        </w:rPr>
        <w:t xml:space="preserve">Monx exists for people who operate across borders — founders setting up in the UK, Americans navigating two tax systems at once, businesses that started somewhere else and needed a serious accounting partner in London. Most of our clients are doing something more complicated than a standard UK firm expects. We like that.</w:t>
      </w:r>
    </w:p>
    <w:p>
      <w:pPr>
        <w:spacing w:after="120" w:before="80"/>
      </w:pPr>
      <w:r>
        <w:rPr>
          <w:rFonts w:ascii="Arial" w:cs="Arial" w:eastAsia="Arial" w:hAnsi="Arial"/>
          <w:color w:val="333333"/>
          <w:sz w:val="22"/>
          <w:szCs w:val="22"/>
        </w:rPr>
        <w:t xml:space="preserve">We are accountants. We are also the people who explain what Article 24(6) of the US-UK tax treaty actually means in practice, without hiding behind qualifications. We believe that complexity is not a reason to be opaque. If something is hard to understand, that is an argument for explaining it better, not for leaving it vague.</w:t>
      </w:r>
    </w:p>
    <w:p>
      <w:pPr>
        <w:spacing w:after="120" w:before="80"/>
      </w:pPr>
      <w:r>
        <w:rPr>
          <w:rFonts w:ascii="Arial" w:cs="Arial" w:eastAsia="Arial" w:hAnsi="Arial"/>
          <w:color w:val="333333"/>
          <w:sz w:val="22"/>
          <w:szCs w:val="22"/>
        </w:rPr>
        <w:t xml:space="preserve">The way we write reflects this. Plain English. Technical when the technical term is the right word. No filler. No manufactured warmth. If we have something useful to say, we say it and stop.</w:t>
      </w:r>
    </w:p>
    <w:p>
      <w:pPr>
        <w:pBdr>
          <w:bottom w:val="single" w:color="DDDDDD" w:sz="4" w:space="1"/>
        </w:pBdr>
        <w:spacing w:after="240" w:before="240"/>
      </w:pPr>
    </w:p>
    <w:p>
      <w:pPr>
        <w:pStyle w:val="Heading1"/>
        <w:spacing w:after="200" w:before="360"/>
      </w:pPr>
      <w:r>
        <w:rPr>
          <w:rFonts w:ascii="Arial" w:cs="Arial" w:eastAsia="Arial" w:hAnsi="Arial"/>
          <w:b/>
          <w:bCs/>
          <w:color w:val="1A1A1A"/>
          <w:sz w:val="32"/>
          <w:szCs w:val="32"/>
        </w:rPr>
        <w:t xml:space="preserve">2. The Core Voice</w:t>
      </w:r>
    </w:p>
    <w:p>
      <w:pPr>
        <w:spacing w:after="120" w:before="200"/>
      </w:pPr>
      <w:r>
        <w:rPr>
          <w:rFonts w:ascii="Arial" w:cs="Arial" w:eastAsia="Arial" w:hAnsi="Arial"/>
          <w:b/>
          <w:bCs/>
          <w:color w:val="2C2C2C"/>
          <w:sz w:val="24"/>
          <w:szCs w:val="24"/>
        </w:rPr>
        <w:t xml:space="preserve">PATTERN: "Precision as reassurance"</w:t>
      </w:r>
    </w:p>
    <w:p>
      <w:pPr>
        <w:spacing w:after="120" w:before="80"/>
      </w:pPr>
      <w:r>
        <w:rPr>
          <w:rFonts w:ascii="Arial" w:cs="Arial" w:eastAsia="Arial" w:hAnsi="Arial"/>
          <w:color w:val="333333"/>
          <w:sz w:val="22"/>
          <w:szCs w:val="22"/>
        </w:rPr>
        <w:t xml:space="preserve">What it means: Technical accuracy is not an obstacle to readability — it is the source of trust. Monx does not simplify by removing complexity. It simplifies by explaining it well.</w:t>
      </w:r>
    </w:p>
    <w:p>
      <w:pPr>
        <w:spacing w:after="120" w:before="80"/>
      </w:pPr>
      <w:r>
        <w:rPr>
          <w:rFonts w:ascii="Arial" w:cs="Arial" w:eastAsia="Arial" w:hAnsi="Arial"/>
          <w:b/>
          <w:bCs/>
          <w:color w:val="333333"/>
          <w:sz w:val="22"/>
          <w:szCs w:val="22"/>
        </w:rPr>
        <w:t xml:space="preserve">Examples from research:</w:t>
      </w:r>
    </w:p>
    <w:p>
      <w:pPr>
        <w:pStyle w:val="ListParagraph"/>
        <w:numPr>
          <w:ilvl w:val="0"/>
          <w:numId w:val="2"/>
        </w:numPr>
        <w:spacing w:after="60" w:before="60"/>
      </w:pPr>
      <w:r>
        <w:rPr>
          <w:rFonts w:ascii="Arial" w:cs="Arial" w:eastAsia="Arial" w:hAnsi="Arial"/>
          <w:color w:val="333333"/>
          <w:sz w:val="22"/>
          <w:szCs w:val="22"/>
        </w:rPr>
        <w:t xml:space="preserve">The NIIT explanation in the US expat article names the specific tax, states what the treaty cannot do about it, and moves on. No hedging, no over-qualification.</w:t>
      </w:r>
    </w:p>
    <w:p>
      <w:pPr>
        <w:pStyle w:val="ListParagraph"/>
        <w:numPr>
          <w:ilvl w:val="0"/>
          <w:numId w:val="2"/>
        </w:numPr>
        <w:spacing w:after="60" w:before="60"/>
      </w:pPr>
      <w:r>
        <w:rPr>
          <w:rFonts w:ascii="Arial" w:cs="Arial" w:eastAsia="Arial" w:hAnsi="Arial"/>
          <w:color w:val="333333"/>
          <w:sz w:val="22"/>
          <w:szCs w:val="22"/>
        </w:rPr>
        <w:t xml:space="preserve">Qualified vs non-qualified dividends are explained once, clearly, then used freely for the rest of the article.</w:t>
      </w:r>
    </w:p>
    <w:p>
      <w:pPr>
        <w:spacing w:after="120" w:before="80"/>
      </w:pPr>
      <w:r>
        <w:rPr>
          <w:rFonts w:ascii="Arial" w:cs="Arial" w:eastAsia="Arial" w:hAnsi="Arial"/>
          <w:color w:val="333333"/>
          <w:sz w:val="22"/>
          <w:szCs w:val="22"/>
        </w:rPr>
        <w:t xml:space="preserve">In practice: Name the exact rule, rate, or threshold. Then explain what it means for the reader. Never round off a figure to make it easier to write.</w:t>
      </w:r>
    </w:p>
    <w:p>
      <w:pPr>
        <w:spacing w:after="120" w:before="200"/>
      </w:pPr>
      <w:r>
        <w:rPr>
          <w:rFonts w:ascii="Arial" w:cs="Arial" w:eastAsia="Arial" w:hAnsi="Arial"/>
          <w:b/>
          <w:bCs/>
          <w:color w:val="2C2C2C"/>
          <w:sz w:val="24"/>
          <w:szCs w:val="24"/>
        </w:rPr>
        <w:t xml:space="preserve">PATTERN: "Commit before you qualify"</w:t>
      </w:r>
    </w:p>
    <w:p>
      <w:pPr>
        <w:spacing w:after="120" w:before="80"/>
      </w:pPr>
      <w:r>
        <w:rPr>
          <w:rFonts w:ascii="Arial" w:cs="Arial" w:eastAsia="Arial" w:hAnsi="Arial"/>
          <w:color w:val="333333"/>
          <w:sz w:val="22"/>
          <w:szCs w:val="22"/>
        </w:rPr>
        <w:t xml:space="preserve">What it means: Positions come first. Hedges, if needed, come after. The reader should never wait three sentences to find out what Monx thinks.</w:t>
      </w:r>
    </w:p>
    <w:p>
      <w:pPr>
        <w:spacing w:after="120" w:before="80"/>
      </w:pPr>
      <w:r>
        <w:rPr>
          <w:rFonts w:ascii="Arial" w:cs="Arial" w:eastAsia="Arial" w:hAnsi="Arial"/>
          <w:b/>
          <w:bCs/>
          <w:color w:val="333333"/>
          <w:sz w:val="22"/>
          <w:szCs w:val="22"/>
        </w:rPr>
        <w:t xml:space="preserve">Examples from research:</w:t>
      </w:r>
    </w:p>
    <w:p>
      <w:pPr>
        <w:pStyle w:val="ListParagraph"/>
        <w:numPr>
          <w:ilvl w:val="0"/>
          <w:numId w:val="2"/>
        </w:numPr>
        <w:spacing w:after="60" w:before="60"/>
      </w:pPr>
      <w:r>
        <w:rPr>
          <w:rFonts w:ascii="Arial" w:cs="Arial" w:eastAsia="Arial" w:hAnsi="Arial"/>
          <w:color w:val="333333"/>
          <w:sz w:val="22"/>
          <w:szCs w:val="22"/>
        </w:rPr>
        <w:t xml:space="preserve">"The correct move is to understand what you can actually claim."</w:t>
      </w:r>
    </w:p>
    <w:p>
      <w:pPr>
        <w:pStyle w:val="ListParagraph"/>
        <w:numPr>
          <w:ilvl w:val="0"/>
          <w:numId w:val="2"/>
        </w:numPr>
        <w:spacing w:after="60" w:before="60"/>
      </w:pPr>
      <w:r>
        <w:rPr>
          <w:rFonts w:ascii="Arial" w:cs="Arial" w:eastAsia="Arial" w:hAnsi="Arial"/>
          <w:color w:val="333333"/>
          <w:sz w:val="22"/>
          <w:szCs w:val="22"/>
        </w:rPr>
        <w:t xml:space="preserve">"The treaty is actually pretty well designed. It's just that nobody ever explains it properly."</w:t>
      </w:r>
    </w:p>
    <w:p>
      <w:pPr>
        <w:spacing w:after="120" w:before="80"/>
      </w:pPr>
      <w:r>
        <w:rPr>
          <w:rFonts w:ascii="Arial" w:cs="Arial" w:eastAsia="Arial" w:hAnsi="Arial"/>
          <w:color w:val="333333"/>
          <w:sz w:val="22"/>
          <w:szCs w:val="22"/>
        </w:rPr>
        <w:t xml:space="preserve">In practice: State the point in the first sentence of any paragraph. Elaboration and qualification follow the claim — never precede it.</w:t>
      </w:r>
    </w:p>
    <w:p>
      <w:pPr>
        <w:spacing w:after="120" w:before="200"/>
      </w:pPr>
      <w:r>
        <w:rPr>
          <w:rFonts w:ascii="Arial" w:cs="Arial" w:eastAsia="Arial" w:hAnsi="Arial"/>
          <w:b/>
          <w:bCs/>
          <w:color w:val="2C2C2C"/>
          <w:sz w:val="24"/>
          <w:szCs w:val="24"/>
        </w:rPr>
        <w:t xml:space="preserve">PATTERN: "Respect the reader's intelligence"</w:t>
      </w:r>
    </w:p>
    <w:p>
      <w:pPr>
        <w:spacing w:after="120" w:before="80"/>
      </w:pPr>
      <w:r>
        <w:rPr>
          <w:rFonts w:ascii="Arial" w:cs="Arial" w:eastAsia="Arial" w:hAnsi="Arial"/>
          <w:color w:val="333333"/>
          <w:sz w:val="22"/>
          <w:szCs w:val="22"/>
        </w:rPr>
        <w:t xml:space="preserve">What it means: The reader is assumed to be capable. Technical terms are used when they are the right words — not avoided, and not over-explained when the context makes them clear.</w:t>
      </w:r>
    </w:p>
    <w:p>
      <w:pPr>
        <w:spacing w:after="120" w:before="80"/>
      </w:pPr>
      <w:r>
        <w:rPr>
          <w:rFonts w:ascii="Arial" w:cs="Arial" w:eastAsia="Arial" w:hAnsi="Arial"/>
          <w:b/>
          <w:bCs/>
          <w:color w:val="333333"/>
          <w:sz w:val="22"/>
          <w:szCs w:val="22"/>
        </w:rPr>
        <w:t xml:space="preserve">Examples from research:</w:t>
      </w:r>
    </w:p>
    <w:p>
      <w:pPr>
        <w:pStyle w:val="ListParagraph"/>
        <w:numPr>
          <w:ilvl w:val="0"/>
          <w:numId w:val="2"/>
        </w:numPr>
        <w:spacing w:after="60" w:before="60"/>
      </w:pPr>
      <w:r>
        <w:rPr>
          <w:rFonts w:ascii="Arial" w:cs="Arial" w:eastAsia="Arial" w:hAnsi="Arial"/>
          <w:color w:val="333333"/>
          <w:sz w:val="22"/>
          <w:szCs w:val="22"/>
        </w:rPr>
        <w:t xml:space="preserve">"Wholly and exclusively" used without a definition box.</w:t>
      </w:r>
    </w:p>
    <w:p>
      <w:pPr>
        <w:pStyle w:val="ListParagraph"/>
        <w:numPr>
          <w:ilvl w:val="0"/>
          <w:numId w:val="2"/>
        </w:numPr>
        <w:spacing w:after="60" w:before="60"/>
      </w:pPr>
      <w:r>
        <w:rPr>
          <w:rFonts w:ascii="Arial" w:cs="Arial" w:eastAsia="Arial" w:hAnsi="Arial"/>
          <w:color w:val="333333"/>
          <w:sz w:val="22"/>
          <w:szCs w:val="22"/>
        </w:rPr>
        <w:t xml:space="preserve">Article 24(6) named directly and explained once, then referenced freely.</w:t>
      </w:r>
    </w:p>
    <w:p>
      <w:pPr>
        <w:spacing w:after="120" w:before="80"/>
      </w:pPr>
      <w:r>
        <w:rPr>
          <w:rFonts w:ascii="Arial" w:cs="Arial" w:eastAsia="Arial" w:hAnsi="Arial"/>
          <w:color w:val="333333"/>
          <w:sz w:val="22"/>
          <w:szCs w:val="22"/>
        </w:rPr>
        <w:t xml:space="preserve">In practice: Explain something once, well. Do not repeat the explanation. Do not add 'as mentioned above.' Trust that the reader followed.</w:t>
      </w:r>
    </w:p>
    <w:p>
      <w:pPr>
        <w:spacing w:after="120" w:before="200"/>
      </w:pPr>
      <w:r>
        <w:rPr>
          <w:rFonts w:ascii="Arial" w:cs="Arial" w:eastAsia="Arial" w:hAnsi="Arial"/>
          <w:b/>
          <w:bCs/>
          <w:color w:val="2C2C2C"/>
          <w:sz w:val="24"/>
          <w:szCs w:val="24"/>
        </w:rPr>
        <w:t xml:space="preserve">PATTERN: "Personal situation, not generic advice"</w:t>
      </w:r>
    </w:p>
    <w:p>
      <w:pPr>
        <w:spacing w:after="120" w:before="80"/>
      </w:pPr>
      <w:r>
        <w:rPr>
          <w:rFonts w:ascii="Arial" w:cs="Arial" w:eastAsia="Arial" w:hAnsi="Arial"/>
          <w:color w:val="333333"/>
          <w:sz w:val="22"/>
          <w:szCs w:val="22"/>
        </w:rPr>
        <w:t xml:space="preserve">What it means: The writing acknowledges that the reader's situation is specific. Generic statements are followed by the conditions under which they apply — or by a clear signal that professional advice is needed for the details.</w:t>
      </w:r>
    </w:p>
    <w:p>
      <w:pPr>
        <w:spacing w:after="120" w:before="80"/>
      </w:pPr>
      <w:r>
        <w:rPr>
          <w:rFonts w:ascii="Arial" w:cs="Arial" w:eastAsia="Arial" w:hAnsi="Arial"/>
          <w:b/>
          <w:bCs/>
          <w:color w:val="333333"/>
          <w:sz w:val="22"/>
          <w:szCs w:val="22"/>
        </w:rPr>
        <w:t xml:space="preserve">Examples from research:</w:t>
      </w:r>
    </w:p>
    <w:p>
      <w:pPr>
        <w:pStyle w:val="ListParagraph"/>
        <w:numPr>
          <w:ilvl w:val="0"/>
          <w:numId w:val="2"/>
        </w:numPr>
        <w:spacing w:after="60" w:before="60"/>
      </w:pPr>
      <w:r>
        <w:rPr>
          <w:rFonts w:ascii="Arial" w:cs="Arial" w:eastAsia="Arial" w:hAnsi="Arial"/>
          <w:color w:val="333333"/>
          <w:sz w:val="22"/>
          <w:szCs w:val="22"/>
        </w:rPr>
        <w:t xml:space="preserve">"Exactly how much you pay depends on the size of your dividend income, where it comes from, and the relative tax rates in each country."</w:t>
      </w:r>
    </w:p>
    <w:p>
      <w:pPr>
        <w:pStyle w:val="ListParagraph"/>
        <w:numPr>
          <w:ilvl w:val="0"/>
          <w:numId w:val="2"/>
        </w:numPr>
        <w:spacing w:after="60" w:before="60"/>
      </w:pPr>
      <w:r>
        <w:rPr>
          <w:rFonts w:ascii="Arial" w:cs="Arial" w:eastAsia="Arial" w:hAnsi="Arial"/>
          <w:color w:val="333333"/>
          <w:sz w:val="22"/>
          <w:szCs w:val="22"/>
        </w:rPr>
        <w:t xml:space="preserve">"This is an area where the details matter a lot and vary considerably from person to person."</w:t>
      </w:r>
    </w:p>
    <w:p>
      <w:pPr>
        <w:spacing w:after="120" w:before="80"/>
      </w:pPr>
      <w:r>
        <w:rPr>
          <w:rFonts w:ascii="Arial" w:cs="Arial" w:eastAsia="Arial" w:hAnsi="Arial"/>
          <w:color w:val="333333"/>
          <w:sz w:val="22"/>
          <w:szCs w:val="22"/>
        </w:rPr>
        <w:t xml:space="preserve">In practice: Never leave a rule floating without context. Connect it to the reader's situation — or name the variable that would change the answer for them specifically.</w:t>
      </w:r>
    </w:p>
    <w:p>
      <w:pPr>
        <w:spacing w:after="120" w:before="200"/>
      </w:pPr>
      <w:r>
        <w:rPr>
          <w:rFonts w:ascii="Arial" w:cs="Arial" w:eastAsia="Arial" w:hAnsi="Arial"/>
          <w:b/>
          <w:bCs/>
          <w:color w:val="2C2C2C"/>
          <w:sz w:val="24"/>
          <w:szCs w:val="24"/>
        </w:rPr>
        <w:t xml:space="preserve">PATTERN: "Low-pressure authority"</w:t>
      </w:r>
    </w:p>
    <w:p>
      <w:pPr>
        <w:spacing w:after="120" w:before="80"/>
      </w:pPr>
      <w:r>
        <w:rPr>
          <w:rFonts w:ascii="Arial" w:cs="Arial" w:eastAsia="Arial" w:hAnsi="Arial"/>
          <w:color w:val="333333"/>
          <w:sz w:val="22"/>
          <w:szCs w:val="22"/>
        </w:rPr>
        <w:t xml:space="preserve">What it means: Monx positions itself as the expert without demanding the sale. CTAs are warm, specific, and unforced. The writing earns the recommendation before it makes it.</w:t>
      </w:r>
    </w:p>
    <w:p>
      <w:pPr>
        <w:spacing w:after="120" w:before="80"/>
      </w:pPr>
      <w:r>
        <w:rPr>
          <w:rFonts w:ascii="Arial" w:cs="Arial" w:eastAsia="Arial" w:hAnsi="Arial"/>
          <w:b/>
          <w:bCs/>
          <w:color w:val="333333"/>
          <w:sz w:val="22"/>
          <w:szCs w:val="22"/>
        </w:rPr>
        <w:t xml:space="preserve">Examples from research:</w:t>
      </w:r>
    </w:p>
    <w:p>
      <w:pPr>
        <w:pStyle w:val="ListParagraph"/>
        <w:numPr>
          <w:ilvl w:val="0"/>
          <w:numId w:val="2"/>
        </w:numPr>
        <w:spacing w:after="60" w:before="60"/>
      </w:pPr>
      <w:r>
        <w:rPr>
          <w:rFonts w:ascii="Arial" w:cs="Arial" w:eastAsia="Arial" w:hAnsi="Arial"/>
          <w:color w:val="333333"/>
          <w:sz w:val="22"/>
          <w:szCs w:val="22"/>
        </w:rPr>
        <w:t xml:space="preserve">"It's worth a conversation with a tax professional before your next filing deadline. That's exactly what Monx is here for."</w:t>
      </w:r>
    </w:p>
    <w:p>
      <w:pPr>
        <w:pStyle w:val="ListParagraph"/>
        <w:numPr>
          <w:ilvl w:val="0"/>
          <w:numId w:val="2"/>
        </w:numPr>
        <w:spacing w:after="60" w:before="60"/>
      </w:pPr>
      <w:r>
        <w:rPr>
          <w:rFonts w:ascii="Arial" w:cs="Arial" w:eastAsia="Arial" w:hAnsi="Arial"/>
          <w:color w:val="333333"/>
          <w:sz w:val="22"/>
          <w:szCs w:val="22"/>
        </w:rPr>
        <w:t xml:space="preserve">"We'd be glad to help."</w:t>
      </w:r>
    </w:p>
    <w:p>
      <w:pPr>
        <w:spacing w:after="120" w:before="80"/>
      </w:pPr>
      <w:r>
        <w:rPr>
          <w:rFonts w:ascii="Arial" w:cs="Arial" w:eastAsia="Arial" w:hAnsi="Arial"/>
          <w:color w:val="333333"/>
          <w:sz w:val="22"/>
          <w:szCs w:val="22"/>
        </w:rPr>
        <w:t xml:space="preserve">In practice: The CTA should feel like a natural next step the reader already wants to take. One per article, at the end, after the value has been delivered.</w:t>
      </w:r>
    </w:p>
    <w:p>
      <w:pPr>
        <w:spacing w:after="120" w:before="200"/>
      </w:pPr>
      <w:r>
        <w:rPr>
          <w:rFonts w:ascii="Arial" w:cs="Arial" w:eastAsia="Arial" w:hAnsi="Arial"/>
          <w:b/>
          <w:bCs/>
          <w:color w:val="2C2C2C"/>
          <w:sz w:val="24"/>
          <w:szCs w:val="24"/>
        </w:rPr>
        <w:t xml:space="preserve">PATTERN: "Plain English as discipline"</w:t>
      </w:r>
    </w:p>
    <w:p>
      <w:pPr>
        <w:spacing w:after="120" w:before="80"/>
      </w:pPr>
      <w:r>
        <w:rPr>
          <w:rFonts w:ascii="Arial" w:cs="Arial" w:eastAsia="Arial" w:hAnsi="Arial"/>
          <w:color w:val="333333"/>
          <w:sz w:val="22"/>
          <w:szCs w:val="22"/>
        </w:rPr>
        <w:t xml:space="preserve">What it means: Short sentences. Active voice. No throat-clearing before the point. Not informal — precise and direct.</w:t>
      </w:r>
    </w:p>
    <w:p>
      <w:pPr>
        <w:spacing w:after="120" w:before="80"/>
      </w:pPr>
      <w:r>
        <w:rPr>
          <w:rFonts w:ascii="Arial" w:cs="Arial" w:eastAsia="Arial" w:hAnsi="Arial"/>
          <w:b/>
          <w:bCs/>
          <w:color w:val="333333"/>
          <w:sz w:val="22"/>
          <w:szCs w:val="22"/>
        </w:rPr>
        <w:t xml:space="preserve">Examples from research:</w:t>
      </w:r>
    </w:p>
    <w:p>
      <w:pPr>
        <w:pStyle w:val="ListParagraph"/>
        <w:numPr>
          <w:ilvl w:val="0"/>
          <w:numId w:val="2"/>
        </w:numPr>
        <w:spacing w:after="60" w:before="60"/>
      </w:pPr>
      <w:r>
        <w:rPr>
          <w:rFonts w:ascii="Arial" w:cs="Arial" w:eastAsia="Arial" w:hAnsi="Arial"/>
          <w:color w:val="333333"/>
          <w:sz w:val="22"/>
          <w:szCs w:val="22"/>
        </w:rPr>
        <w:t xml:space="preserve">"The US taxes its citizens wherever they live. Britain taxes its residents. If you're an American living in the UK with dividend income, you're both." Three sentences, no wasted words.</w:t>
      </w:r>
    </w:p>
    <w:p>
      <w:pPr>
        <w:pStyle w:val="ListParagraph"/>
        <w:numPr>
          <w:ilvl w:val="0"/>
          <w:numId w:val="2"/>
        </w:numPr>
        <w:spacing w:after="60" w:before="60"/>
      </w:pPr>
      <w:r>
        <w:rPr>
          <w:rFonts w:ascii="Arial" w:cs="Arial" w:eastAsia="Arial" w:hAnsi="Arial"/>
          <w:color w:val="333333"/>
          <w:sz w:val="22"/>
          <w:szCs w:val="22"/>
        </w:rPr>
        <w:t xml:space="preserve">"Don't try to wing it." — a section heading. Not 'Summary and Recommendations.'</w:t>
      </w:r>
    </w:p>
    <w:p>
      <w:pPr>
        <w:spacing w:after="120" w:before="80"/>
      </w:pPr>
      <w:r>
        <w:rPr>
          <w:rFonts w:ascii="Arial" w:cs="Arial" w:eastAsia="Arial" w:hAnsi="Arial"/>
          <w:color w:val="333333"/>
          <w:sz w:val="22"/>
          <w:szCs w:val="22"/>
        </w:rPr>
        <w:t xml:space="preserve">In practice: If a sentence can be shorter without losing meaning, shorten it. If a paragraph summarises what was just said, delete it.</w:t>
      </w:r>
    </w:p>
    <w:p>
      <w:pPr>
        <w:pBdr>
          <w:bottom w:val="single" w:color="DDDDDD" w:sz="4" w:space="1"/>
        </w:pBdr>
        <w:spacing w:after="240" w:before="240"/>
      </w:pPr>
    </w:p>
    <w:p>
      <w:pPr>
        <w:pStyle w:val="Heading1"/>
        <w:spacing w:after="200" w:before="360"/>
      </w:pPr>
      <w:r>
        <w:rPr>
          <w:rFonts w:ascii="Arial" w:cs="Arial" w:eastAsia="Arial" w:hAnsi="Arial"/>
          <w:b/>
          <w:bCs/>
          <w:color w:val="1A1A1A"/>
          <w:sz w:val="32"/>
          <w:szCs w:val="32"/>
        </w:rPr>
        <w:t xml:space="preserve">3. What We Are Not</w:t>
      </w:r>
    </w:p>
    <w:p>
      <w:pPr>
        <w:pStyle w:val="ListParagraph"/>
        <w:numPr>
          <w:ilvl w:val="0"/>
          <w:numId w:val="2"/>
        </w:numPr>
        <w:spacing w:after="60" w:before="60"/>
      </w:pPr>
      <w:r>
        <w:rPr>
          <w:rFonts w:ascii="Arial" w:cs="Arial" w:eastAsia="Arial" w:hAnsi="Arial"/>
          <w:color w:val="333333"/>
          <w:sz w:val="22"/>
          <w:szCs w:val="22"/>
        </w:rPr>
        <w:t xml:space="preserve">We do not open articles with a rhetorical question. 'Wondering how to file your taxes as an expat?' is not an opening — it is a delay.</w:t>
      </w:r>
    </w:p>
    <w:p>
      <w:pPr>
        <w:pStyle w:val="ListParagraph"/>
        <w:numPr>
          <w:ilvl w:val="0"/>
          <w:numId w:val="2"/>
        </w:numPr>
        <w:spacing w:after="60" w:before="60"/>
      </w:pPr>
      <w:r>
        <w:rPr>
          <w:rFonts w:ascii="Arial" w:cs="Arial" w:eastAsia="Arial" w:hAnsi="Arial"/>
          <w:color w:val="333333"/>
          <w:sz w:val="22"/>
          <w:szCs w:val="22"/>
        </w:rPr>
        <w:t xml:space="preserve">We do not hedge before we commit. 'It's worth noting that, in some cases, depending on your circumstances...' is a way of saying nothing. State the point.</w:t>
      </w:r>
    </w:p>
    <w:p>
      <w:pPr>
        <w:pStyle w:val="ListParagraph"/>
        <w:numPr>
          <w:ilvl w:val="0"/>
          <w:numId w:val="2"/>
        </w:numPr>
        <w:spacing w:after="60" w:before="60"/>
      </w:pPr>
      <w:r>
        <w:rPr>
          <w:rFonts w:ascii="Arial" w:cs="Arial" w:eastAsia="Arial" w:hAnsi="Arial"/>
          <w:color w:val="333333"/>
          <w:sz w:val="22"/>
          <w:szCs w:val="22"/>
        </w:rPr>
        <w:t xml:space="preserve">We do not use filler words that signal effort rather than insight: 'comprehensive,' 'robust,' 'seamless,' 'leverage,' 'nuanced,' 'deep dive,' 'unpack.'</w:t>
      </w:r>
    </w:p>
    <w:p>
      <w:pPr>
        <w:pStyle w:val="ListParagraph"/>
        <w:numPr>
          <w:ilvl w:val="0"/>
          <w:numId w:val="2"/>
        </w:numPr>
        <w:spacing w:after="60" w:before="60"/>
      </w:pPr>
      <w:r>
        <w:rPr>
          <w:rFonts w:ascii="Arial" w:cs="Arial" w:eastAsia="Arial" w:hAnsi="Arial"/>
          <w:color w:val="333333"/>
          <w:sz w:val="22"/>
          <w:szCs w:val="22"/>
        </w:rPr>
        <w:t xml:space="preserve">We do not manufacture warmth. Phrases like 'Great question!' or 'We totally understand how confusing this can be!' are performative. If something is confusing, explain it — don't acknowledge the confusion and move on.</w:t>
      </w:r>
    </w:p>
    <w:p>
      <w:pPr>
        <w:pStyle w:val="ListParagraph"/>
        <w:numPr>
          <w:ilvl w:val="0"/>
          <w:numId w:val="2"/>
        </w:numPr>
        <w:spacing w:after="60" w:before="60"/>
      </w:pPr>
      <w:r>
        <w:rPr>
          <w:rFonts w:ascii="Arial" w:cs="Arial" w:eastAsia="Arial" w:hAnsi="Arial"/>
          <w:color w:val="333333"/>
          <w:sz w:val="22"/>
          <w:szCs w:val="22"/>
        </w:rPr>
        <w:t xml:space="preserve">We do not summarise what we just wrote. If the reader finished the article, they do not need a paragraph that begins 'In summary...'</w:t>
      </w:r>
    </w:p>
    <w:p>
      <w:pPr>
        <w:pStyle w:val="ListParagraph"/>
        <w:numPr>
          <w:ilvl w:val="0"/>
          <w:numId w:val="2"/>
        </w:numPr>
        <w:spacing w:after="60" w:before="60"/>
      </w:pPr>
      <w:r>
        <w:rPr>
          <w:rFonts w:ascii="Arial" w:cs="Arial" w:eastAsia="Arial" w:hAnsi="Arial"/>
          <w:color w:val="333333"/>
          <w:sz w:val="22"/>
          <w:szCs w:val="22"/>
        </w:rPr>
        <w:t xml:space="preserve">We do not write jokes. The tone can be dry. An unexpected plain phrase where jargon was expected is fine. A setup and punchline is not.</w:t>
      </w:r>
    </w:p>
    <w:p>
      <w:pPr>
        <w:pStyle w:val="ListParagraph"/>
        <w:numPr>
          <w:ilvl w:val="0"/>
          <w:numId w:val="2"/>
        </w:numPr>
        <w:spacing w:after="60" w:before="60"/>
      </w:pPr>
      <w:r>
        <w:rPr>
          <w:rFonts w:ascii="Arial" w:cs="Arial" w:eastAsia="Arial" w:hAnsi="Arial"/>
          <w:color w:val="333333"/>
          <w:sz w:val="22"/>
          <w:szCs w:val="22"/>
        </w:rPr>
        <w:t xml:space="preserve">We do not pad to meet a word count. A tight 400 words beats a padded 600. If the point is made, stop.</w:t>
      </w:r>
    </w:p>
    <w:p>
      <w:pPr>
        <w:pStyle w:val="ListParagraph"/>
        <w:numPr>
          <w:ilvl w:val="0"/>
          <w:numId w:val="2"/>
        </w:numPr>
        <w:spacing w:after="60" w:before="60"/>
      </w:pPr>
      <w:r>
        <w:rPr>
          <w:rFonts w:ascii="Arial" w:cs="Arial" w:eastAsia="Arial" w:hAnsi="Arial"/>
          <w:color w:val="333333"/>
          <w:sz w:val="22"/>
          <w:szCs w:val="22"/>
        </w:rPr>
        <w:t xml:space="preserve">We do not use the passive voice to avoid committing to a position. 'It has been noted that...' — by whom? Say what you mean.</w:t>
      </w:r>
    </w:p>
    <w:p>
      <w:pPr>
        <w:pBdr>
          <w:bottom w:val="single" w:color="DDDDDD" w:sz="4" w:space="1"/>
        </w:pBdr>
        <w:spacing w:after="240" w:before="240"/>
      </w:pPr>
    </w:p>
    <w:p>
      <w:pPr>
        <w:pStyle w:val="Heading1"/>
        <w:spacing w:after="200" w:before="360"/>
      </w:pPr>
      <w:r>
        <w:rPr>
          <w:rFonts w:ascii="Arial" w:cs="Arial" w:eastAsia="Arial" w:hAnsi="Arial"/>
          <w:b/>
          <w:bCs/>
          <w:color w:val="1A1A1A"/>
          <w:sz w:val="32"/>
          <w:szCs w:val="32"/>
        </w:rPr>
        <w:t xml:space="preserve">4. Vocabulary</w:t>
      </w:r>
    </w:p>
    <w:p>
      <w:pPr>
        <w:pStyle w:val="Heading2"/>
        <w:spacing w:after="160" w:before="280"/>
      </w:pPr>
      <w:r>
        <w:rPr>
          <w:rFonts w:ascii="Arial" w:cs="Arial" w:eastAsia="Arial" w:hAnsi="Arial"/>
          <w:b/>
          <w:bCs/>
          <w:color w:val="2C2C2C"/>
          <w:sz w:val="26"/>
          <w:szCs w:val="26"/>
        </w:rPr>
        <w:t xml:space="preserve">Words we reach for</w:t>
      </w:r>
    </w:p>
    <w:p>
      <w:pPr>
        <w:pStyle w:val="ListParagraph"/>
        <w:numPr>
          <w:ilvl w:val="0"/>
          <w:numId w:val="2"/>
        </w:numPr>
        <w:spacing w:after="60" w:before="60"/>
      </w:pPr>
      <w:r>
        <w:rPr>
          <w:rFonts w:ascii="Arial" w:cs="Arial" w:eastAsia="Arial" w:hAnsi="Arial"/>
          <w:color w:val="333333"/>
          <w:sz w:val="22"/>
          <w:szCs w:val="22"/>
        </w:rPr>
        <w:t xml:space="preserve">"plain English" — used aspirationally and practically</w:t>
      </w:r>
    </w:p>
    <w:p>
      <w:pPr>
        <w:pStyle w:val="ListParagraph"/>
        <w:numPr>
          <w:ilvl w:val="0"/>
          <w:numId w:val="2"/>
        </w:numPr>
        <w:spacing w:after="60" w:before="60"/>
      </w:pPr>
      <w:r>
        <w:rPr>
          <w:rFonts w:ascii="Arial" w:cs="Arial" w:eastAsia="Arial" w:hAnsi="Arial"/>
          <w:color w:val="333333"/>
          <w:sz w:val="22"/>
          <w:szCs w:val="22"/>
        </w:rPr>
        <w:t xml:space="preserve">"in practice" — signals we are moving from rule to real-world implication</w:t>
      </w:r>
    </w:p>
    <w:p>
      <w:pPr>
        <w:pStyle w:val="ListParagraph"/>
        <w:numPr>
          <w:ilvl w:val="0"/>
          <w:numId w:val="2"/>
        </w:numPr>
        <w:spacing w:after="60" w:before="60"/>
      </w:pPr>
      <w:r>
        <w:rPr>
          <w:rFonts w:ascii="Arial" w:cs="Arial" w:eastAsia="Arial" w:hAnsi="Arial"/>
          <w:color w:val="333333"/>
          <w:sz w:val="22"/>
          <w:szCs w:val="22"/>
        </w:rPr>
        <w:t xml:space="preserve">"wholly and exclusively" — HMRC language used naturally, not nervously</w:t>
      </w:r>
    </w:p>
    <w:p>
      <w:pPr>
        <w:pStyle w:val="ListParagraph"/>
        <w:numPr>
          <w:ilvl w:val="0"/>
          <w:numId w:val="2"/>
        </w:numPr>
        <w:spacing w:after="60" w:before="60"/>
      </w:pPr>
      <w:r>
        <w:rPr>
          <w:rFonts w:ascii="Arial" w:cs="Arial" w:eastAsia="Arial" w:hAnsi="Arial"/>
          <w:color w:val="333333"/>
          <w:sz w:val="22"/>
          <w:szCs w:val="22"/>
        </w:rPr>
        <w:t xml:space="preserve">"fixed prices" / "fair pricing" — a values signal, not just a feature</w:t>
      </w:r>
    </w:p>
    <w:p>
      <w:pPr>
        <w:pStyle w:val="ListParagraph"/>
        <w:numPr>
          <w:ilvl w:val="0"/>
          <w:numId w:val="2"/>
        </w:numPr>
        <w:spacing w:after="60" w:before="60"/>
      </w:pPr>
      <w:r>
        <w:rPr>
          <w:rFonts w:ascii="Arial" w:cs="Arial" w:eastAsia="Arial" w:hAnsi="Arial"/>
          <w:color w:val="333333"/>
          <w:sz w:val="22"/>
          <w:szCs w:val="22"/>
        </w:rPr>
        <w:t xml:space="preserve">"real experts" — draws the contrast with automated or offshore competitors</w:t>
      </w:r>
    </w:p>
    <w:p>
      <w:pPr>
        <w:pStyle w:val="ListParagraph"/>
        <w:numPr>
          <w:ilvl w:val="0"/>
          <w:numId w:val="2"/>
        </w:numPr>
        <w:spacing w:after="60" w:before="60"/>
      </w:pPr>
      <w:r>
        <w:rPr>
          <w:rFonts w:ascii="Arial" w:cs="Arial" w:eastAsia="Arial" w:hAnsi="Arial"/>
          <w:color w:val="333333"/>
          <w:sz w:val="22"/>
          <w:szCs w:val="22"/>
        </w:rPr>
        <w:t xml:space="preserve">"it's worth a conversation" — low-pressure CTA language</w:t>
      </w:r>
    </w:p>
    <w:p>
      <w:pPr>
        <w:pStyle w:val="ListParagraph"/>
        <w:numPr>
          <w:ilvl w:val="0"/>
          <w:numId w:val="2"/>
        </w:numPr>
        <w:spacing w:after="60" w:before="60"/>
      </w:pPr>
      <w:r>
        <w:rPr>
          <w:rFonts w:ascii="Arial" w:cs="Arial" w:eastAsia="Arial" w:hAnsi="Arial"/>
          <w:color w:val="333333"/>
          <w:sz w:val="22"/>
          <w:szCs w:val="22"/>
        </w:rPr>
        <w:t xml:space="preserve">"the correct move" — confident instructional tone</w:t>
      </w:r>
    </w:p>
    <w:p>
      <w:pPr>
        <w:pStyle w:val="ListParagraph"/>
        <w:numPr>
          <w:ilvl w:val="0"/>
          <w:numId w:val="2"/>
        </w:numPr>
        <w:spacing w:after="60" w:before="60"/>
      </w:pPr>
      <w:r>
        <w:rPr>
          <w:rFonts w:ascii="Arial" w:cs="Arial" w:eastAsia="Arial" w:hAnsi="Arial"/>
          <w:color w:val="333333"/>
          <w:sz w:val="22"/>
          <w:szCs w:val="22"/>
        </w:rPr>
        <w:t xml:space="preserve">"no bots" — a promise and a position</w:t>
      </w:r>
    </w:p>
    <w:p>
      <w:pPr>
        <w:pStyle w:val="Heading2"/>
        <w:spacing w:after="160" w:before="280"/>
      </w:pPr>
      <w:r>
        <w:rPr>
          <w:rFonts w:ascii="Arial" w:cs="Arial" w:eastAsia="Arial" w:hAnsi="Arial"/>
          <w:b/>
          <w:bCs/>
          <w:color w:val="2C2C2C"/>
          <w:sz w:val="26"/>
          <w:szCs w:val="26"/>
        </w:rPr>
        <w:t xml:space="preserve">Words we avoid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Avoid</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Use instead</w:t>
            </w:r>
          </w:p>
        </w:tc>
        <w:tc>
          <w:tcPr>
            <w:tcW w:type="dxa" w:w="3426"/>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leverage (verb)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Jargon disguised as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utilize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Utilise has no advantages over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comprehensive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specific alternative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Says nothing specific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robust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specific alternative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Overused to the point of meaninglessness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seamless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specific alternative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Marketing copy disguised as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deep dive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explain, examine, walk through</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Signals effort, not insight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unpack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explain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Same problem as 'deep dive'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nuanced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just be nuanced — don't announce it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Announcing nuance is never nuanced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it's worth noting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just say the thing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Delays the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 conclusion / in 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[just stop]</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Reader knows when the article ends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streamline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specific alternative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Generic operations language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cutting-edge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specific alternative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Overused, unverifiable</w:t>
            </w:r>
          </w:p>
        </w:tc>
      </w:tr>
    </w:tbl>
    <w:p>
      <w:pPr>
        <w:pStyle w:val="Heading2"/>
        <w:spacing w:after="160" w:before="280"/>
      </w:pPr>
      <w:r>
        <w:rPr>
          <w:rFonts w:ascii="Arial" w:cs="Arial" w:eastAsia="Arial" w:hAnsi="Arial"/>
          <w:b/>
          <w:bCs/>
          <w:color w:val="2C2C2C"/>
          <w:sz w:val="26"/>
          <w:szCs w:val="26"/>
        </w:rPr>
        <w:t xml:space="preserve">Jargon policy</w:t>
      </w:r>
    </w:p>
    <w:p>
      <w:pPr>
        <w:spacing w:after="120" w:before="80"/>
      </w:pPr>
      <w:r>
        <w:rPr>
          <w:rFonts w:ascii="Arial" w:cs="Arial" w:eastAsia="Arial" w:hAnsi="Arial"/>
          <w:color w:val="333333"/>
          <w:sz w:val="22"/>
          <w:szCs w:val="22"/>
        </w:rPr>
        <w:t xml:space="preserve">Use technical terms when they are the right words. NIIT, §901, FTC, HMRC, PAYE, CTR — if the reader has arrived at an article about US expat tax, they expect technical language. Using plain English in place of correct terminology is condescending and imprecise.</w:t>
      </w:r>
    </w:p>
    <w:p>
      <w:pPr>
        <w:spacing w:after="120" w:before="80"/>
      </w:pPr>
      <w:r>
        <w:rPr>
          <w:rFonts w:ascii="Arial" w:cs="Arial" w:eastAsia="Arial" w:hAnsi="Arial"/>
          <w:color w:val="333333"/>
          <w:sz w:val="22"/>
          <w:szCs w:val="22"/>
        </w:rPr>
        <w:t xml:space="preserve">Explain a technical term once, on first use, if the explanation adds something. Do not add a definition box for terms the reader searched for. Do not repeat the explanation later in the same article.</w:t>
      </w:r>
    </w:p>
    <w:p>
      <w:pPr>
        <w:spacing w:after="120" w:before="80"/>
      </w:pPr>
      <w:r>
        <w:rPr>
          <w:rFonts w:ascii="Arial" w:cs="Arial" w:eastAsia="Arial" w:hAnsi="Arial"/>
          <w:color w:val="333333"/>
          <w:sz w:val="22"/>
          <w:szCs w:val="22"/>
        </w:rPr>
        <w:t xml:space="preserve">The goal is that the reader leaves feeling more informed — and also aware that this is professional-level work, not something to wing alone.</w:t>
      </w:r>
    </w:p>
    <w:p>
      <w:pPr>
        <w:pBdr>
          <w:bottom w:val="single" w:color="DDDDDD" w:sz="4" w:space="1"/>
        </w:pBdr>
        <w:spacing w:after="240" w:before="240"/>
      </w:pPr>
    </w:p>
    <w:p>
      <w:pPr>
        <w:pStyle w:val="Heading1"/>
        <w:spacing w:after="200" w:before="360"/>
      </w:pPr>
      <w:r>
        <w:rPr>
          <w:rFonts w:ascii="Arial" w:cs="Arial" w:eastAsia="Arial" w:hAnsi="Arial"/>
          <w:b/>
          <w:bCs/>
          <w:color w:val="1A1A1A"/>
          <w:sz w:val="32"/>
          <w:szCs w:val="32"/>
        </w:rPr>
        <w:t xml:space="preserve">5. Content Type Voice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80"/>
        <w:gridCol w:w="2246"/>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Content Type</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Register</w:t>
            </w:r>
          </w:p>
        </w:tc>
        <w:tc>
          <w:tcPr>
            <w:tcW w:type="dxa" w:w="25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changes</w:t>
            </w:r>
          </w:p>
        </w:tc>
        <w:tc>
          <w:tcPr>
            <w:tcW w:type="dxa" w:w="25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stays constant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Blog / Editorial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Precise, dry, authoritative</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Most room for dry tone — an unexpected plain phrase, a wry observation</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Technical depth, no padding, commit before qualify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Service Pages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Clean, direct</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Less tone, more emphasis on what's specifically offered</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Plain English, no generic marketing copy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CTAs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Warm, low-pressure</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Shorter sentences, named service, natural next step</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One per page, earned — never pushed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Technical / Compliance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Most restrained</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Dry tone compresses; precision takes over</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Jargon retained, same sentence discipline, still readable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Social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Most conversational</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Can reference a specific insight; slightly shorter sentences</w:t>
            </w:r>
          </w:p>
        </w:tc>
        <w:tc>
          <w:tcPr>
            <w:tcW w:type="dxa" w:w="2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 motivational filler, always takes a position</w:t>
            </w:r>
          </w:p>
        </w:tc>
      </w:tr>
    </w:tbl>
    <w:p>
      <w:pPr>
        <w:pBdr>
          <w:bottom w:val="single" w:color="DDDDDD" w:sz="4" w:space="1"/>
        </w:pBdr>
        <w:spacing w:after="240" w:before="240"/>
      </w:pPr>
    </w:p>
    <w:p>
      <w:pPr>
        <w:pStyle w:val="Heading1"/>
        <w:spacing w:after="200" w:before="360"/>
      </w:pPr>
      <w:r>
        <w:rPr>
          <w:rFonts w:ascii="Arial" w:cs="Arial" w:eastAsia="Arial" w:hAnsi="Arial"/>
          <w:b/>
          <w:bCs/>
          <w:color w:val="1A1A1A"/>
          <w:sz w:val="32"/>
          <w:szCs w:val="32"/>
        </w:rPr>
        <w:t xml:space="preserve">6. De-AI Writing Rules</w:t>
      </w:r>
    </w:p>
    <w:p>
      <w:pPr>
        <w:spacing w:after="120" w:before="80"/>
      </w:pPr>
      <w:r>
        <w:rPr>
          <w:rFonts w:ascii="Arial" w:cs="Arial" w:eastAsia="Arial" w:hAnsi="Arial"/>
          <w:color w:val="333333"/>
          <w:sz w:val="22"/>
          <w:szCs w:val="22"/>
        </w:rPr>
        <w:t xml:space="preserve">These are the patterns that make AI-generated content detectable. Apply all of them.</w:t>
      </w:r>
    </w:p>
    <w:p>
      <w:pPr>
        <w:pStyle w:val="Heading2"/>
        <w:spacing w:after="160" w:before="280"/>
      </w:pPr>
      <w:r>
        <w:rPr>
          <w:rFonts w:ascii="Arial" w:cs="Arial" w:eastAsia="Arial" w:hAnsi="Arial"/>
          <w:b/>
          <w:bCs/>
          <w:color w:val="2C2C2C"/>
          <w:sz w:val="26"/>
          <w:szCs w:val="26"/>
        </w:rPr>
        <w:t xml:space="preserve">Vocabulary — never use</w:t>
      </w:r>
    </w:p>
    <w:p>
      <w:pPr>
        <w:pStyle w:val="ListParagraph"/>
        <w:numPr>
          <w:ilvl w:val="0"/>
          <w:numId w:val="2"/>
        </w:numPr>
        <w:spacing w:after="60" w:before="60"/>
      </w:pPr>
      <w:r>
        <w:rPr>
          <w:rFonts w:ascii="Arial" w:cs="Arial" w:eastAsia="Arial" w:hAnsi="Arial"/>
          <w:color w:val="333333"/>
          <w:sz w:val="22"/>
          <w:szCs w:val="22"/>
        </w:rPr>
        <w:t xml:space="preserve">delve, tapestry, nuance/nuanced, foster, robust, leverage (as verb), utilize, comprehensive, multifaceted, pivotal, crucial</w:t>
      </w:r>
    </w:p>
    <w:p>
      <w:pPr>
        <w:pStyle w:val="ListParagraph"/>
        <w:numPr>
          <w:ilvl w:val="0"/>
          <w:numId w:val="2"/>
        </w:numPr>
        <w:spacing w:after="60" w:before="60"/>
      </w:pPr>
      <w:r>
        <w:rPr>
          <w:rFonts w:ascii="Arial" w:cs="Arial" w:eastAsia="Arial" w:hAnsi="Arial"/>
          <w:color w:val="333333"/>
          <w:sz w:val="22"/>
          <w:szCs w:val="22"/>
        </w:rPr>
        <w:t xml:space="preserve">'it's worth noting,' 'it's important to note,' 'in conclusion,' 'in summary'</w:t>
      </w:r>
    </w:p>
    <w:p>
      <w:pPr>
        <w:pStyle w:val="ListParagraph"/>
        <w:numPr>
          <w:ilvl w:val="0"/>
          <w:numId w:val="2"/>
        </w:numPr>
        <w:spacing w:after="60" w:before="60"/>
      </w:pPr>
      <w:r>
        <w:rPr>
          <w:rFonts w:ascii="Arial" w:cs="Arial" w:eastAsia="Arial" w:hAnsi="Arial"/>
          <w:color w:val="333333"/>
          <w:sz w:val="22"/>
          <w:szCs w:val="22"/>
        </w:rPr>
        <w:t xml:space="preserve">seamlessly, streamline, game-changer, paradigm, cutting-edge, ever-evolving, dynamic (as filler)</w:t>
      </w:r>
    </w:p>
    <w:p>
      <w:pPr>
        <w:pStyle w:val="Heading2"/>
        <w:spacing w:after="160" w:before="280"/>
      </w:pPr>
      <w:r>
        <w:rPr>
          <w:rFonts w:ascii="Arial" w:cs="Arial" w:eastAsia="Arial" w:hAnsi="Arial"/>
          <w:b/>
          <w:bCs/>
          <w:color w:val="2C2C2C"/>
          <w:sz w:val="26"/>
          <w:szCs w:val="26"/>
        </w:rPr>
        <w:t xml:space="preserve">Structure — avoid</w:t>
      </w:r>
    </w:p>
    <w:p>
      <w:pPr>
        <w:pStyle w:val="ListParagraph"/>
        <w:numPr>
          <w:ilvl w:val="0"/>
          <w:numId w:val="2"/>
        </w:numPr>
        <w:spacing w:after="60" w:before="60"/>
      </w:pPr>
      <w:r>
        <w:rPr>
          <w:rFonts w:ascii="Arial" w:cs="Arial" w:eastAsia="Arial" w:hAnsi="Arial"/>
          <w:color w:val="333333"/>
          <w:sz w:val="22"/>
          <w:szCs w:val="22"/>
        </w:rPr>
        <w:t xml:space="preserve">Starting consecutive sentences with the same word or construction</w:t>
      </w:r>
    </w:p>
    <w:p>
      <w:pPr>
        <w:pStyle w:val="ListParagraph"/>
        <w:numPr>
          <w:ilvl w:val="0"/>
          <w:numId w:val="2"/>
        </w:numPr>
        <w:spacing w:after="60" w:before="60"/>
      </w:pPr>
      <w:r>
        <w:rPr>
          <w:rFonts w:ascii="Arial" w:cs="Arial" w:eastAsia="Arial" w:hAnsi="Arial"/>
          <w:color w:val="333333"/>
          <w:sz w:val="22"/>
          <w:szCs w:val="22"/>
        </w:rPr>
        <w:t xml:space="preserve">Three-part parallel lists as the default sentence pattern ('X, Y, and Z') — vary the structure</w:t>
      </w:r>
    </w:p>
    <w:p>
      <w:pPr>
        <w:pStyle w:val="ListParagraph"/>
        <w:numPr>
          <w:ilvl w:val="0"/>
          <w:numId w:val="2"/>
        </w:numPr>
        <w:spacing w:after="60" w:before="60"/>
      </w:pPr>
      <w:r>
        <w:rPr>
          <w:rFonts w:ascii="Arial" w:cs="Arial" w:eastAsia="Arial" w:hAnsi="Arial"/>
          <w:color w:val="333333"/>
          <w:sz w:val="22"/>
          <w:szCs w:val="22"/>
        </w:rPr>
        <w:t xml:space="preserve">Transitional throat-clearing: 'Now that we've covered X, let's look at Y'</w:t>
      </w:r>
    </w:p>
    <w:p>
      <w:pPr>
        <w:pStyle w:val="ListParagraph"/>
        <w:numPr>
          <w:ilvl w:val="0"/>
          <w:numId w:val="2"/>
        </w:numPr>
        <w:spacing w:after="60" w:before="60"/>
      </w:pPr>
      <w:r>
        <w:rPr>
          <w:rFonts w:ascii="Arial" w:cs="Arial" w:eastAsia="Arial" w:hAnsi="Arial"/>
          <w:color w:val="333333"/>
          <w:sz w:val="22"/>
          <w:szCs w:val="22"/>
        </w:rPr>
        <w:t xml:space="preserve">Summarising a section before writing it or after finishing it</w:t>
      </w:r>
    </w:p>
    <w:p>
      <w:pPr>
        <w:pStyle w:val="ListParagraph"/>
        <w:numPr>
          <w:ilvl w:val="0"/>
          <w:numId w:val="2"/>
        </w:numPr>
        <w:spacing w:after="60" w:before="60"/>
      </w:pPr>
      <w:r>
        <w:rPr>
          <w:rFonts w:ascii="Arial" w:cs="Arial" w:eastAsia="Arial" w:hAnsi="Arial"/>
          <w:color w:val="333333"/>
          <w:sz w:val="22"/>
          <w:szCs w:val="22"/>
        </w:rPr>
        <w:t xml:space="preserve">Restating the question before answering it</w:t>
      </w:r>
    </w:p>
    <w:p>
      <w:pPr>
        <w:pStyle w:val="ListParagraph"/>
        <w:numPr>
          <w:ilvl w:val="0"/>
          <w:numId w:val="2"/>
        </w:numPr>
        <w:spacing w:after="60" w:before="60"/>
      </w:pPr>
      <w:r>
        <w:rPr>
          <w:rFonts w:ascii="Arial" w:cs="Arial" w:eastAsia="Arial" w:hAnsi="Arial"/>
          <w:color w:val="333333"/>
          <w:sz w:val="22"/>
          <w:szCs w:val="22"/>
        </w:rPr>
        <w:t xml:space="preserve">Opening with a rhetorical question</w:t>
      </w:r>
    </w:p>
    <w:p>
      <w:pPr>
        <w:pStyle w:val="Heading2"/>
        <w:spacing w:after="160" w:before="280"/>
      </w:pPr>
      <w:r>
        <w:rPr>
          <w:rFonts w:ascii="Arial" w:cs="Arial" w:eastAsia="Arial" w:hAnsi="Arial"/>
          <w:b/>
          <w:bCs/>
          <w:color w:val="2C2C2C"/>
          <w:sz w:val="26"/>
          <w:szCs w:val="26"/>
        </w:rPr>
        <w:t xml:space="preserve">Rhythm — aim for</w:t>
      </w:r>
    </w:p>
    <w:p>
      <w:pPr>
        <w:pStyle w:val="ListParagraph"/>
        <w:numPr>
          <w:ilvl w:val="0"/>
          <w:numId w:val="2"/>
        </w:numPr>
        <w:spacing w:after="60" w:before="60"/>
      </w:pPr>
      <w:r>
        <w:rPr>
          <w:rFonts w:ascii="Arial" w:cs="Arial" w:eastAsia="Arial" w:hAnsi="Arial"/>
          <w:color w:val="333333"/>
          <w:sz w:val="22"/>
          <w:szCs w:val="22"/>
        </w:rPr>
        <w:t xml:space="preserve">Sentence length variation: mix short punchy sentences with longer structured ones</w:t>
      </w:r>
    </w:p>
    <w:p>
      <w:pPr>
        <w:pStyle w:val="ListParagraph"/>
        <w:numPr>
          <w:ilvl w:val="0"/>
          <w:numId w:val="2"/>
        </w:numPr>
        <w:spacing w:after="60" w:before="60"/>
      </w:pPr>
      <w:r>
        <w:rPr>
          <w:rFonts w:ascii="Arial" w:cs="Arial" w:eastAsia="Arial" w:hAnsi="Arial"/>
          <w:color w:val="333333"/>
          <w:sz w:val="22"/>
          <w:szCs w:val="22"/>
        </w:rPr>
        <w:t xml:space="preserve">Occasional one-sentence paragraphs for emphasis</w:t>
      </w:r>
    </w:p>
    <w:p>
      <w:pPr>
        <w:pStyle w:val="ListParagraph"/>
        <w:numPr>
          <w:ilvl w:val="0"/>
          <w:numId w:val="2"/>
        </w:numPr>
        <w:spacing w:after="60" w:before="60"/>
      </w:pPr>
      <w:r>
        <w:rPr>
          <w:rFonts w:ascii="Arial" w:cs="Arial" w:eastAsia="Arial" w:hAnsi="Arial"/>
          <w:color w:val="333333"/>
          <w:sz w:val="22"/>
          <w:szCs w:val="22"/>
        </w:rPr>
        <w:t xml:space="preserve">Em dashes used sparingly — only when they genuinely clarify</w:t>
      </w:r>
    </w:p>
    <w:p>
      <w:pPr>
        <w:pStyle w:val="ListParagraph"/>
        <w:numPr>
          <w:ilvl w:val="0"/>
          <w:numId w:val="2"/>
        </w:numPr>
        <w:spacing w:after="60" w:before="60"/>
      </w:pPr>
      <w:r>
        <w:rPr>
          <w:rFonts w:ascii="Arial" w:cs="Arial" w:eastAsia="Arial" w:hAnsi="Arial"/>
          <w:color w:val="333333"/>
          <w:sz w:val="22"/>
          <w:szCs w:val="22"/>
        </w:rPr>
        <w:t xml:space="preserve">Burstiness score above 1.2 (short and long sentences interleaved, not uniform medium length)</w:t>
      </w:r>
    </w:p>
    <w:p>
      <w:pPr>
        <w:pStyle w:val="Heading2"/>
        <w:spacing w:after="160" w:before="280"/>
      </w:pPr>
      <w:r>
        <w:rPr>
          <w:rFonts w:ascii="Arial" w:cs="Arial" w:eastAsia="Arial" w:hAnsi="Arial"/>
          <w:b/>
          <w:bCs/>
          <w:color w:val="2C2C2C"/>
          <w:sz w:val="26"/>
          <w:szCs w:val="26"/>
        </w:rPr>
        <w:t xml:space="preserve">Monx-specific risks</w:t>
      </w:r>
    </w:p>
    <w:p>
      <w:pPr>
        <w:pStyle w:val="ListParagraph"/>
        <w:numPr>
          <w:ilvl w:val="0"/>
          <w:numId w:val="2"/>
        </w:numPr>
        <w:spacing w:after="60" w:before="60"/>
      </w:pPr>
      <w:r>
        <w:rPr>
          <w:rFonts w:ascii="Arial" w:cs="Arial" w:eastAsia="Arial" w:hAnsi="Arial"/>
          <w:color w:val="333333"/>
          <w:sz w:val="22"/>
          <w:szCs w:val="22"/>
        </w:rPr>
        <w:t xml:space="preserve">Tax content defaults to passive voice ('it should be noted that...') — always use active</w:t>
      </w:r>
    </w:p>
    <w:p>
      <w:pPr>
        <w:pStyle w:val="ListParagraph"/>
        <w:numPr>
          <w:ilvl w:val="0"/>
          <w:numId w:val="2"/>
        </w:numPr>
        <w:spacing w:after="60" w:before="60"/>
      </w:pPr>
      <w:r>
        <w:rPr>
          <w:rFonts w:ascii="Arial" w:cs="Arial" w:eastAsia="Arial" w:hAnsi="Arial"/>
          <w:color w:val="333333"/>
          <w:sz w:val="22"/>
          <w:szCs w:val="22"/>
        </w:rPr>
        <w:t xml:space="preserve">Explaining complexity can drift into over-qualification — state the position, then qualify if needed</w:t>
      </w:r>
    </w:p>
    <w:p>
      <w:pPr>
        <w:pStyle w:val="ListParagraph"/>
        <w:numPr>
          <w:ilvl w:val="0"/>
          <w:numId w:val="2"/>
        </w:numPr>
        <w:spacing w:after="60" w:before="60"/>
      </w:pPr>
      <w:r>
        <w:rPr>
          <w:rFonts w:ascii="Arial" w:cs="Arial" w:eastAsia="Arial" w:hAnsi="Arial"/>
          <w:color w:val="333333"/>
          <w:sz w:val="22"/>
          <w:szCs w:val="22"/>
        </w:rPr>
        <w:t xml:space="preserve">CTAs in accounting content default to generic ('contact us today') — always name the specific service</w:t>
      </w:r>
    </w:p>
    <w:p>
      <w:pPr>
        <w:pStyle w:val="ListParagraph"/>
        <w:numPr>
          <w:ilvl w:val="0"/>
          <w:numId w:val="2"/>
        </w:numPr>
        <w:spacing w:after="60" w:before="60"/>
      </w:pPr>
      <w:r>
        <w:rPr>
          <w:rFonts w:ascii="Arial" w:cs="Arial" w:eastAsia="Arial" w:hAnsi="Arial"/>
          <w:color w:val="333333"/>
          <w:sz w:val="22"/>
          <w:szCs w:val="22"/>
        </w:rPr>
        <w:t xml:space="preserve">International content can drift toward motivational ('the world is your oyster') — stay grounded and specific</w:t>
      </w:r>
    </w:p>
    <w:p>
      <w:pPr>
        <w:pBdr>
          <w:bottom w:val="single" w:color="DDDDDD" w:sz="4" w:space="1"/>
        </w:pBdr>
        <w:spacing w:after="240" w:before="240"/>
      </w:pPr>
    </w:p>
    <w:p>
      <w:pPr>
        <w:pStyle w:val="Heading1"/>
        <w:spacing w:after="200" w:before="360"/>
      </w:pPr>
      <w:r>
        <w:rPr>
          <w:rFonts w:ascii="Arial" w:cs="Arial" w:eastAsia="Arial" w:hAnsi="Arial"/>
          <w:b/>
          <w:bCs/>
          <w:color w:val="1A1A1A"/>
          <w:sz w:val="32"/>
          <w:szCs w:val="32"/>
        </w:rPr>
        <w:t xml:space="preserve">7. The Embarrassment Test</w:t>
      </w:r>
    </w:p>
    <w:p>
      <w:pPr>
        <w:spacing w:after="120" w:before="80"/>
      </w:pPr>
      <w:r>
        <w:rPr>
          <w:rFonts w:ascii="Arial" w:cs="Arial" w:eastAsia="Arial" w:hAnsi="Arial"/>
          <w:color w:val="333333"/>
          <w:sz w:val="22"/>
          <w:szCs w:val="22"/>
        </w:rPr>
        <w:t xml:space="preserve">If we published something and the tone was wrong — not the content, just how it was written — it would sound like a mid-market accounting firm trying to seem approachable: lots of enthusiasm, not much substance, hedged positions, manufactured warmth, and a CTA that arrives before the value has been earned.</w:t>
      </w:r>
    </w:p>
    <w:p>
      <w:pPr>
        <w:spacing w:after="120" w:before="80"/>
      </w:pPr>
      <w:r>
        <w:rPr>
          <w:rFonts w:ascii="Arial" w:cs="Arial" w:eastAsia="Arial" w:hAnsi="Arial"/>
          <w:color w:val="333333"/>
          <w:sz w:val="22"/>
          <w:szCs w:val="22"/>
        </w:rPr>
        <w:t xml:space="preserve">Readers would feel patronised. They came for expert guidance and got marketing copy. They would not book a call. They would not come back.</w:t>
      </w:r>
    </w:p>
    <w:p>
      <w:pPr>
        <w:spacing w:after="120" w:before="80"/>
      </w:pPr>
      <w:r>
        <w:rPr>
          <w:rFonts w:ascii="Arial" w:cs="Arial" w:eastAsia="Arial" w:hAnsi="Arial"/>
          <w:color w:val="333333"/>
          <w:sz w:val="22"/>
          <w:szCs w:val="22"/>
        </w:rPr>
        <w:t xml:space="preserve">The quick gut-check: read the first paragraph. Does it commit to a position by sentence two? Does it use the reader's time well? If not, rewrite the opening before touching anything else.</w:t>
      </w:r>
    </w:p>
    <w:p>
      <w:pPr>
        <w:pBdr>
          <w:bottom w:val="single" w:color="DDDDDD" w:sz="4" w:space="1"/>
        </w:pBdr>
        <w:spacing w:after="240" w:before="240"/>
      </w:pPr>
    </w:p>
    <w:p>
      <w:pPr>
        <w:pStyle w:val="Heading1"/>
        <w:spacing w:after="200" w:before="360"/>
      </w:pPr>
      <w:r>
        <w:rPr>
          <w:rFonts w:ascii="Arial" w:cs="Arial" w:eastAsia="Arial" w:hAnsi="Arial"/>
          <w:b/>
          <w:bCs/>
          <w:color w:val="1A1A1A"/>
          <w:sz w:val="32"/>
          <w:szCs w:val="32"/>
        </w:rPr>
        <w:t xml:space="preserve">8. Validation Prompts</w:t>
      </w:r>
    </w:p>
    <w:p>
      <w:pPr>
        <w:spacing w:after="120" w:before="80"/>
      </w:pPr>
      <w:r>
        <w:rPr>
          <w:rFonts w:ascii="Arial" w:cs="Arial" w:eastAsia="Arial" w:hAnsi="Arial"/>
          <w:color w:val="333333"/>
          <w:sz w:val="22"/>
          <w:szCs w:val="22"/>
        </w:rPr>
        <w:t xml:space="preserve">Use these to test whether a draft has captured the voice. Do not share the expected output description with the writer before they attempt the prompt.</w:t>
      </w:r>
    </w:p>
    <w:p>
      <w:pPr>
        <w:spacing w:after="120" w:before="200"/>
      </w:pPr>
      <w:r>
        <w:rPr>
          <w:rFonts w:ascii="Arial" w:cs="Arial" w:eastAsia="Arial" w:hAnsi="Arial"/>
          <w:b/>
          <w:bCs/>
          <w:color w:val="2C2C2C"/>
          <w:sz w:val="24"/>
          <w:szCs w:val="24"/>
        </w:rPr>
        <w:t xml:space="preserve">Prompt 1 — Opening paragraph</w:t>
      </w:r>
    </w:p>
    <w:p>
      <w:pPr>
        <w:spacing w:after="120" w:before="80"/>
      </w:pPr>
      <w:r>
        <w:rPr>
          <w:rFonts w:ascii="Arial" w:cs="Arial" w:eastAsia="Arial" w:hAnsi="Arial"/>
          <w:color w:val="333333"/>
          <w:sz w:val="22"/>
          <w:szCs w:val="22"/>
        </w:rPr>
        <w:t xml:space="preserve">Write the opening paragraph of an article about the UK's R&amp;D tax relief scheme for early-stage startups.</w:t>
      </w:r>
    </w:p>
    <w:p>
      <w:pPr>
        <w:spacing w:after="120" w:before="80"/>
      </w:pPr>
      <w:r>
        <w:rPr>
          <w:rFonts w:ascii="Arial" w:cs="Arial" w:eastAsia="Arial" w:hAnsi="Arial"/>
          <w:color w:val="333333"/>
          <w:sz w:val="22"/>
          <w:szCs w:val="22"/>
        </w:rPr>
        <w:t xml:space="preserve">Correct looks like: Confident entry — commits to a position or a specific fact within the first two sentences. No rhetorical question. No scene-setting preamble. Technical terms used without apology if appropriate. Reader knows exactly what the article is about by sentence three.</w:t>
      </w:r>
    </w:p>
    <w:p>
      <w:pPr>
        <w:spacing w:after="120" w:before="200"/>
      </w:pPr>
      <w:r>
        <w:rPr>
          <w:rFonts w:ascii="Arial" w:cs="Arial" w:eastAsia="Arial" w:hAnsi="Arial"/>
          <w:b/>
          <w:bCs/>
          <w:color w:val="2C2C2C"/>
          <w:sz w:val="24"/>
          <w:szCs w:val="24"/>
        </w:rPr>
        <w:t xml:space="preserve">Prompt 2 — Explaining a complex rule</w:t>
      </w:r>
    </w:p>
    <w:p>
      <w:pPr>
        <w:spacing w:after="120" w:before="80"/>
      </w:pPr>
      <w:r>
        <w:rPr>
          <w:rFonts w:ascii="Arial" w:cs="Arial" w:eastAsia="Arial" w:hAnsi="Arial"/>
          <w:color w:val="333333"/>
          <w:sz w:val="22"/>
          <w:szCs w:val="22"/>
        </w:rPr>
        <w:t xml:space="preserve">Explain what the 'wholly and exclusively' test means for self-employed people claiming home office expenses.</w:t>
      </w:r>
    </w:p>
    <w:p>
      <w:pPr>
        <w:spacing w:after="120" w:before="80"/>
      </w:pPr>
      <w:r>
        <w:rPr>
          <w:rFonts w:ascii="Arial" w:cs="Arial" w:eastAsia="Arial" w:hAnsi="Arial"/>
          <w:color w:val="333333"/>
          <w:sz w:val="22"/>
          <w:szCs w:val="22"/>
        </w:rPr>
        <w:t xml:space="preserve">Correct looks like: Plain English explanation that uses the exact HMRC language once, explains what it means in practice, and gives a concrete example. No hedging before the explanation. No 'it's important to note.' Reader finishes the paragraph knowing what to do.</w:t>
      </w:r>
    </w:p>
    <w:p>
      <w:pPr>
        <w:spacing w:after="120" w:before="200"/>
      </w:pPr>
      <w:r>
        <w:rPr>
          <w:rFonts w:ascii="Arial" w:cs="Arial" w:eastAsia="Arial" w:hAnsi="Arial"/>
          <w:b/>
          <w:bCs/>
          <w:color w:val="2C2C2C"/>
          <w:sz w:val="24"/>
          <w:szCs w:val="24"/>
        </w:rPr>
        <w:t xml:space="preserve">Prompt 3 — CTA</w:t>
      </w:r>
    </w:p>
    <w:p>
      <w:pPr>
        <w:spacing w:after="120" w:before="80"/>
      </w:pPr>
      <w:r>
        <w:rPr>
          <w:rFonts w:ascii="Arial" w:cs="Arial" w:eastAsia="Arial" w:hAnsi="Arial"/>
          <w:color w:val="333333"/>
          <w:sz w:val="22"/>
          <w:szCs w:val="22"/>
        </w:rPr>
        <w:t xml:space="preserve">Write the closing paragraph of an article about VAT registration thresholds.</w:t>
      </w:r>
    </w:p>
    <w:p>
      <w:pPr>
        <w:spacing w:after="120" w:before="80"/>
      </w:pPr>
      <w:r>
        <w:rPr>
          <w:rFonts w:ascii="Arial" w:cs="Arial" w:eastAsia="Arial" w:hAnsi="Arial"/>
          <w:color w:val="333333"/>
          <w:sz w:val="22"/>
          <w:szCs w:val="22"/>
        </w:rPr>
        <w:t xml:space="preserve">Correct looks like: One or two sentences that name the specific situation the reader may now find themselves in, position Monx as the natural next step, and invite contact without pressure. No superlatives. No urgency tactics. Reads like advice from someone who already helped you, not a sales pitch.</w:t>
      </w:r>
    </w:p>
    <w:p>
      <w:pPr>
        <w:pBdr>
          <w:bottom w:val="single" w:color="DDDDDD" w:sz="4" w:space="1"/>
        </w:pBdr>
        <w:spacing w:after="240" w:before="240"/>
      </w:pPr>
    </w:p>
    <w:p>
      <w:pPr>
        <w:pStyle w:val="Heading1"/>
        <w:spacing w:after="200" w:before="360"/>
      </w:pPr>
      <w:r>
        <w:rPr>
          <w:rFonts w:ascii="Arial" w:cs="Arial" w:eastAsia="Arial" w:hAnsi="Arial"/>
          <w:b/>
          <w:bCs/>
          <w:color w:val="1A1A1A"/>
          <w:sz w:val="32"/>
          <w:szCs w:val="32"/>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026"/>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April 2026</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Initial document — produced from Sessions 1–4 of brand voice discovery process.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2026-04-18T08:07:10.140Z</dcterms:created>
  <dcterms:modified xsi:type="dcterms:W3CDTF">2026-04-18T08:07:10.140Z</dcterms:modified>
</cp:coreProperties>
</file>

<file path=docProps/custom.xml><?xml version="1.0" encoding="utf-8"?>
<Properties xmlns="http://schemas.openxmlformats.org/officeDocument/2006/custom-properties" xmlns:vt="http://schemas.openxmlformats.org/officeDocument/2006/docPropsVTypes"/>
</file>