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b/>
          <w:bCs/>
          <w:color w:val="2E75B6"/>
          <w:sz w:val="24"/>
          <w:szCs w:val="24"/>
        </w:rPr>
        <w:t xml:space="preserve">PROPUESTA TÉCNICA</w:t>
      </w:r>
    </w:p>
    <w:p>
      <w:pPr>
        <w:spacing w:after="60"/>
      </w:pPr>
      <w:r>
        <w:rPr>
          <w:b/>
          <w:bCs/>
          <w:color w:val="1F4E79"/>
          <w:sz w:val="56"/>
          <w:szCs w:val="56"/>
        </w:rPr>
        <w:t xml:space="preserve">Plataforma de Lead Generation</w:t>
      </w:r>
    </w:p>
    <w:p>
      <w:pPr>
        <w:spacing w:after="200"/>
      </w:pPr>
      <w:r>
        <w:rPr>
          <w:b/>
          <w:bCs/>
          <w:color w:val="1F4E79"/>
          <w:sz w:val="40"/>
          <w:szCs w:val="40"/>
        </w:rPr>
        <w:t xml:space="preserve">para Distressed Properties — South Florida</w:t>
      </w:r>
    </w:p>
    <w:p>
      <w:pPr>
        <w:pBdr>
          <w:bottom w:val="single" w:color="2E75B6" w:sz="8" w:space="1"/>
        </w:pBdr>
        <w:spacing w:after="200" w:before="0"/>
      </w:pPr>
      <w:r>
        <w:t xml:space="preserve"/>
      </w:r>
    </w:p>
    <w:p>
      <w:pPr>
        <w:spacing w:after="60"/>
      </w:pPr>
      <w:r>
        <w:rPr>
          <w:b/>
          <w:bCs/>
          <w:color w:val="595959"/>
          <w:sz w:val="22"/>
          <w:szCs w:val="22"/>
        </w:rPr>
        <w:t xml:space="preserve">Cliente: </w:t>
      </w:r>
      <w:r>
        <w:rPr>
          <w:sz w:val="22"/>
          <w:szCs w:val="22"/>
        </w:rPr>
        <w:t xml:space="preserve">101 Advisors (Real Estate Agency)</w:t>
      </w:r>
    </w:p>
    <w:p>
      <w:pPr>
        <w:spacing w:after="60"/>
      </w:pPr>
      <w:r>
        <w:rPr>
          <w:b/>
          <w:bCs/>
          <w:color w:val="595959"/>
          <w:sz w:val="22"/>
          <w:szCs w:val="22"/>
        </w:rPr>
        <w:t xml:space="preserve">Preparado por: </w:t>
      </w:r>
      <w:r>
        <w:rPr>
          <w:sz w:val="22"/>
          <w:szCs w:val="22"/>
        </w:rPr>
        <w:t xml:space="preserve">Samuel Reyes</w:t>
      </w:r>
    </w:p>
    <w:p>
      <w:pPr>
        <w:spacing w:after="60"/>
      </w:pPr>
      <w:r>
        <w:rPr>
          <w:b/>
          <w:bCs/>
          <w:color w:val="595959"/>
          <w:sz w:val="22"/>
          <w:szCs w:val="22"/>
        </w:rPr>
        <w:t xml:space="preserve">Fecha: </w:t>
      </w:r>
      <w:r>
        <w:rPr>
          <w:sz w:val="22"/>
          <w:szCs w:val="22"/>
        </w:rPr>
        <w:t xml:space="preserve">Mayo 2026</w:t>
      </w:r>
    </w:p>
    <w:p>
      <w:pPr>
        <w:spacing w:after="0"/>
      </w:pPr>
      <w:r>
        <w:rPr>
          <w:b/>
          <w:bCs/>
          <w:color w:val="595959"/>
          <w:sz w:val="22"/>
          <w:szCs w:val="22"/>
        </w:rPr>
        <w:t xml:space="preserve">Versión: </w:t>
      </w:r>
      <w:r>
        <w:rPr>
          <w:sz w:val="22"/>
          <w:szCs w:val="22"/>
        </w:rPr>
        <w:t xml:space="preserve">1.0</w:t>
      </w:r>
    </w:p>
    <w:p>
      <w:r>
        <w:br w:type="page"/>
      </w:r>
    </w:p>
    <w:p>
      <w:pPr>
        <w:pStyle w:val="Heading1"/>
        <w:spacing w:after="180" w:before="360"/>
      </w:pPr>
      <w:r>
        <w:t xml:space="preserve">1. Resumen Ejecutivo</w:t>
      </w:r>
    </w:p>
    <w:p>
      <w:pPr>
        <w:spacing w:after="120"/>
      </w:pPr>
      <w:r>
        <w:t xml:space="preserve">101 Advisors invierte alrededor de 40 minutos al día buscando manualmente propiedades distressed en South Florida que califiquen según sus parámetros (Probate, Lis Pendens, Foreclosure, Tax Delinquent, Liens) en single-family, multi-family, duplex, triplex y fourplex. Esa búsqueda hoy se hace cruzando 5 fuentes (Clerks of Court de Miami-Dade, Broward y Palm Beach, más Zillow Foreclosures y registros estatales), lo cual deja al equipo de cold-calling reaccionando a propiedades que la competencia ya vio.</w:t>
      </w:r>
    </w:p>
    <w:p>
      <w:pPr>
        <w:spacing w:after="120"/>
      </w:pPr>
      <w:r>
        <w:t xml:space="preserve">Esta propuesta describe una aplicación de automatización que ingiere las 5 fuentes diariamente, filtra por los parámetros del cliente, hace skip-tracing de los nuevos owners, y entrega los leads viables a Google Sheets y al CRM antes de las 7:00 AM ET. El cliente deja de buscar y empieza a llamar.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CEDC" w:sz="4"/>
              <w:bottom w:val="single" w:color="BFCEDC" w:sz="4"/>
              <w:right w:val="single" w:color="BFCEDC" w:sz="4"/>
            </w:tcBorders>
            <w:shd w:fill="EAF1F8" w:val="clear"/>
            <w:tcMar>
              <w:top w:type="dxa" w:w="200"/>
              <w:left w:type="dxa" w:w="240"/>
              <w:bottom w:type="dxa" w:w="200"/>
              <w:right w:type="dxa" w:w="240"/>
            </w:tcMar>
          </w:tcPr>
          <w:p>
            <w:pPr>
              <w:spacing w:after="80"/>
            </w:pPr>
            <w:r>
              <w:rPr>
                <w:b/>
                <w:bCs/>
                <w:color w:val="1F4E79"/>
                <w:sz w:val="24"/>
                <w:szCs w:val="24"/>
              </w:rPr>
              <w:t xml:space="preserve">Resultado clave para el cliente</w:t>
            </w:r>
          </w:p>
          <w:p>
            <w:pPr>
              <w:spacing w:after="60"/>
            </w:pPr>
            <w:r>
              <w:rPr>
                <w:sz w:val="22"/>
                <w:szCs w:val="22"/>
              </w:rPr>
              <w:t xml:space="preserve">• De 40 min/día buscando → 0 min. El equipo ve solo leads viables.</w:t>
            </w:r>
          </w:p>
          <w:p>
            <w:pPr>
              <w:spacing w:after="60"/>
            </w:pPr>
            <w:r>
              <w:rPr>
                <w:sz w:val="22"/>
                <w:szCs w:val="22"/>
              </w:rPr>
              <w:t xml:space="preserve">• Llegada antes que la competencia: refresh diario o cada 2 días.</w:t>
            </w:r>
          </w:p>
          <w:p>
            <w:pPr>
              <w:spacing w:after="60"/>
            </w:pPr>
            <w:r>
              <w:rPr>
                <w:sz w:val="22"/>
                <w:szCs w:val="22"/>
              </w:rPr>
              <w:t xml:space="preserve">• Owner phone/email ya enriquecido (skip-tracing automatizado).</w:t>
            </w:r>
          </w:p>
          <w:p>
            <w:pPr>
              <w:spacing w:after="60"/>
            </w:pPr>
            <w:r>
              <w:rPr>
                <w:sz w:val="22"/>
                <w:szCs w:val="22"/>
              </w:rPr>
              <w:t xml:space="preserve">• Costo operativo estimado: $150–$250/mes en datos + APIs.</w:t>
            </w:r>
          </w:p>
        </w:tc>
      </w:tr>
    </w:tbl>
    <w:p>
      <w:pPr>
        <w:pStyle w:val="Heading1"/>
        <w:spacing w:after="180" w:before="360"/>
      </w:pPr>
      <w:r>
        <w:t xml:space="preserve">2. Análisis de Plataformas Existentes</w:t>
      </w:r>
    </w:p>
    <w:p>
      <w:pPr>
        <w:spacing w:after="120"/>
      </w:pPr>
      <w:r>
        <w:t xml:space="preserve">Hoy el mercado está dominado por agregadores que venden acceso a una base de datos nacional. Antes de construir cualquier cosa, vale la pena entender qué hacen y por qué no resuelven el problema específico de 101 Advisors.</w:t>
      </w:r>
    </w:p>
    <w:p>
      <w:pPr>
        <w:pStyle w:val="Heading2"/>
        <w:spacing w:after="120" w:before="280"/>
      </w:pPr>
      <w:r>
        <w:t xml:space="preserve">2.1 PropStream (líder del mercado)</w:t>
      </w:r>
    </w:p>
    <w:p>
      <w:pPr>
        <w:pStyle w:val="ListParagraph"/>
        <w:numPr>
          <w:ilvl w:val="0"/>
          <w:numId w:val="2"/>
        </w:numPr>
        <w:spacing w:after="60"/>
      </w:pPr>
      <w:r>
        <w:t xml:space="preserve">160M+ propiedades en EE.UU., en operación desde 2006.</w:t>
      </w:r>
    </w:p>
    <w:p>
      <w:pPr>
        <w:pStyle w:val="ListParagraph"/>
        <w:numPr>
          <w:ilvl w:val="0"/>
          <w:numId w:val="2"/>
        </w:numPr>
        <w:spacing w:after="60"/>
      </w:pPr>
      <w:r>
        <w:t xml:space="preserve">Agrega data de: registros públicos por condado, MLS, tax assessors, third-party brokers.</w:t>
      </w:r>
    </w:p>
    <w:p>
      <w:pPr>
        <w:pStyle w:val="ListParagraph"/>
        <w:numPr>
          <w:ilvl w:val="0"/>
          <w:numId w:val="2"/>
        </w:numPr>
        <w:spacing w:after="60"/>
      </w:pPr>
      <w:r>
        <w:t xml:space="preserve">Filtros distressed: pre-foreclosure, probate, tax delinquent, vacant, absentee.</w:t>
      </w:r>
    </w:p>
    <w:p>
      <w:pPr>
        <w:pStyle w:val="ListParagraph"/>
        <w:numPr>
          <w:ilvl w:val="0"/>
          <w:numId w:val="2"/>
        </w:numPr>
        <w:spacing w:after="60"/>
      </w:pPr>
      <w:r>
        <w:t xml:space="preserve">Skip-tracing add-on integrado.</w:t>
      </w:r>
    </w:p>
    <w:p>
      <w:pPr>
        <w:pStyle w:val="ListParagraph"/>
        <w:numPr>
          <w:ilvl w:val="0"/>
          <w:numId w:val="2"/>
        </w:numPr>
        <w:spacing w:after="60"/>
      </w:pPr>
      <w:r>
        <w:t xml:space="preserve">En julio 2025 adquirió BatchLeads y BatchDialer — ahora son una sola familia.</w:t>
      </w:r>
    </w:p>
    <w:p>
      <w:pPr>
        <w:pStyle w:val="ListParagraph"/>
        <w:numPr>
          <w:ilvl w:val="0"/>
          <w:numId w:val="2"/>
        </w:numPr>
        <w:spacing w:after="60"/>
      </w:pPr>
      <w:r>
        <w:t xml:space="preserve">Costo: ~$100/mes plan base. Skip-tracing aparte.</w:t>
      </w:r>
    </w:p>
    <w:p>
      <w:pPr>
        <w:pStyle w:val="Heading2"/>
        <w:spacing w:after="120" w:before="280"/>
      </w:pPr>
      <w:r>
        <w:t xml:space="preserve">2.2 BatchLeads / BatchData</w:t>
      </w:r>
    </w:p>
    <w:p>
      <w:pPr>
        <w:pStyle w:val="ListParagraph"/>
        <w:numPr>
          <w:ilvl w:val="0"/>
          <w:numId w:val="2"/>
        </w:numPr>
        <w:spacing w:after="60"/>
      </w:pPr>
      <w:r>
        <w:t xml:space="preserve">Ahora subsidiaria de PropStream. Mismo modelo de agregación.</w:t>
      </w:r>
    </w:p>
    <w:p>
      <w:pPr>
        <w:pStyle w:val="ListParagraph"/>
        <w:numPr>
          <w:ilvl w:val="0"/>
          <w:numId w:val="2"/>
        </w:numPr>
        <w:spacing w:after="60"/>
      </w:pPr>
      <w:r>
        <w:t xml:space="preserve">BatchData expone una API real para integraciones custom (útil si no quisiéramos construir nosotros).</w:t>
      </w:r>
    </w:p>
    <w:p>
      <w:pPr>
        <w:pStyle w:val="ListParagraph"/>
        <w:numPr>
          <w:ilvl w:val="0"/>
          <w:numId w:val="2"/>
        </w:numPr>
        <w:spacing w:after="60"/>
      </w:pPr>
      <w:r>
        <w:t xml:space="preserve">BatchSkipTracing: pay-per-result, ~60–75% de teléfonos discables.</w:t>
      </w:r>
    </w:p>
    <w:p>
      <w:pPr>
        <w:pStyle w:val="Heading2"/>
        <w:spacing w:after="120" w:before="280"/>
      </w:pPr>
      <w:r>
        <w:t xml:space="preserve">2.3 DealMachine</w:t>
      </w:r>
    </w:p>
    <w:p>
      <w:pPr>
        <w:pStyle w:val="ListParagraph"/>
        <w:numPr>
          <w:ilvl w:val="0"/>
          <w:numId w:val="2"/>
        </w:numPr>
        <w:spacing w:after="60"/>
      </w:pPr>
      <w:r>
        <w:t xml:space="preserve">Enfoque "driving for dollars": fotos de campo + agregación de records. Mobile-first.</w:t>
      </w:r>
    </w:p>
    <w:p>
      <w:pPr>
        <w:pStyle w:val="ListParagraph"/>
        <w:numPr>
          <w:ilvl w:val="0"/>
          <w:numId w:val="2"/>
        </w:numPr>
        <w:spacing w:after="60"/>
      </w:pPr>
      <w:r>
        <w:t xml:space="preserve">Útil para wholesalers individuales, no tanto para una agencia que ya sabe qué buscar.</w:t>
      </w:r>
    </w:p>
    <w:p>
      <w:pPr>
        <w:pStyle w:val="Heading2"/>
        <w:spacing w:after="120" w:before="280"/>
      </w:pPr>
      <w:r>
        <w:t xml:space="preserve">2.4 Otros (Goliath Data, REIPro, Privy, Foreclosure.com)</w:t>
      </w:r>
    </w:p>
    <w:p>
      <w:pPr>
        <w:pStyle w:val="ListParagraph"/>
        <w:numPr>
          <w:ilvl w:val="0"/>
          <w:numId w:val="2"/>
        </w:numPr>
        <w:spacing w:after="60"/>
      </w:pPr>
      <w:r>
        <w:t xml:space="preserve">Mismo patrón: bulk data + UI genérica + paywall. La data se actualiza por updates en lote, no en vivo.</w:t>
      </w:r>
    </w:p>
    <w:p>
      <w:pPr>
        <w:pStyle w:val="Heading3"/>
        <w:spacing w:after="80" w:before="200"/>
      </w:pPr>
      <w:r>
        <w:t xml:space="preserve">¿Cómo agregan toda esa info?</w:t>
      </w:r>
    </w:p>
    <w:p>
      <w:pPr>
        <w:spacing w:after="120"/>
      </w:pPr>
      <w:r>
        <w:t xml:space="preserve">Las 4 fuentes principales que estos players combinan son:</w:t>
      </w:r>
    </w:p>
    <w:p>
      <w:pPr>
        <w:pStyle w:val="ListParagraph"/>
        <w:numPr>
          <w:ilvl w:val="0"/>
          <w:numId w:val="3"/>
        </w:numPr>
        <w:spacing w:after="60"/>
      </w:pPr>
      <w:r>
        <w:t xml:space="preserve">Bulk feeds de Clerks of Court por condado (donde existen).</w:t>
      </w:r>
    </w:p>
    <w:p>
      <w:pPr>
        <w:pStyle w:val="ListParagraph"/>
        <w:numPr>
          <w:ilvl w:val="0"/>
          <w:numId w:val="3"/>
        </w:numPr>
        <w:spacing w:after="60"/>
      </w:pPr>
      <w:r>
        <w:t xml:space="preserve">Tax Assessors / Property Appraisers (data de propiedad y owner of record).</w:t>
      </w:r>
    </w:p>
    <w:p>
      <w:pPr>
        <w:pStyle w:val="ListParagraph"/>
        <w:numPr>
          <w:ilvl w:val="0"/>
          <w:numId w:val="3"/>
        </w:numPr>
        <w:spacing w:after="60"/>
      </w:pPr>
      <w:r>
        <w:t xml:space="preserve">Data brokers privados (LexisNexis, ATTOM Data, CoreLogic) que ya hicieron el trabajo de normalizar.</w:t>
      </w:r>
    </w:p>
    <w:p>
      <w:pPr>
        <w:pStyle w:val="ListParagraph"/>
        <w:numPr>
          <w:ilvl w:val="0"/>
          <w:numId w:val="3"/>
        </w:numPr>
        <w:spacing w:after="60"/>
      </w:pPr>
      <w:r>
        <w:t xml:space="preserve">MLS feeds para listings activos (no para distressed; eso viene de los 3 anteriores).</w:t>
      </w:r>
    </w:p>
    <w:p>
      <w:pPr>
        <w:pStyle w:val="Heading2"/>
        <w:spacing w:after="120" w:before="280"/>
      </w:pPr>
      <w:r>
        <w:t xml:space="preserve">2.5 ¿Por qué entonces no comprar PropStream?</w:t>
      </w:r>
    </w:p>
    <w:p>
      <w:pPr>
        <w:spacing w:after="120"/>
      </w:pPr>
      <w:r>
        <w:t xml:space="preserve">Comprar PropStream resuelve el 60% del problema, no el 100%. La razón por la que el cliente sigue invirtiendo 40 min/día es porque PropStream entrega una UI genérica con miles de matches potenciales, y la persona todavía tiene que aplicar criterio, exportar, deduplicar contra la lista de ayer, y meterlo al CRM. Una solución custom hace 4 cosas que ningún SaaS hace por ellos:</w:t>
      </w:r>
    </w:p>
    <w:p>
      <w:pPr>
        <w:pStyle w:val="ListParagraph"/>
        <w:numPr>
          <w:ilvl w:val="0"/>
          <w:numId w:val="2"/>
        </w:numPr>
        <w:spacing w:after="60"/>
      </w:pPr>
      <w:r>
        <w:t xml:space="preserve">Pre-filtra exactamente por las property types de 101 Advisors (excluye condos/townhomes desde la query, no en post).</w:t>
      </w:r>
    </w:p>
    <w:p>
      <w:pPr>
        <w:pStyle w:val="ListParagraph"/>
        <w:numPr>
          <w:ilvl w:val="0"/>
          <w:numId w:val="2"/>
        </w:numPr>
        <w:spacing w:after="60"/>
      </w:pPr>
      <w:r>
        <w:t xml:space="preserve">Deduplica contra el historial propio — muestra solo lo NUEVO de hoy.</w:t>
      </w:r>
    </w:p>
    <w:p>
      <w:pPr>
        <w:pStyle w:val="ListParagraph"/>
        <w:numPr>
          <w:ilvl w:val="0"/>
          <w:numId w:val="2"/>
        </w:numPr>
        <w:spacing w:after="60"/>
      </w:pPr>
      <w:r>
        <w:t xml:space="preserve">Skip-trace selectivo: gasta solo en leads que ya pasaron el filtro (ahorra 60–80% de costo de tracing).</w:t>
      </w:r>
    </w:p>
    <w:p>
      <w:pPr>
        <w:pStyle w:val="ListParagraph"/>
        <w:numPr>
          <w:ilvl w:val="0"/>
          <w:numId w:val="2"/>
        </w:numPr>
        <w:spacing w:after="60"/>
      </w:pPr>
      <w:r>
        <w:t xml:space="preserve">Push directo al CRM/Sheet del cliente sin export manual.</w:t>
      </w:r>
    </w:p>
    <w:p>
      <w:pPr>
        <w:pStyle w:val="Heading1"/>
        <w:spacing w:after="180" w:before="360"/>
      </w:pPr>
      <w:r>
        <w:t xml:space="preserve">3. Parámetros del Cliente (extraídos del Excel)</w:t>
      </w:r>
    </w:p>
    <w:p>
      <w:pPr>
        <w:pStyle w:val="Heading2"/>
        <w:spacing w:after="120" w:before="280"/>
      </w:pPr>
      <w:r>
        <w:t xml:space="preserve">3.1 Criterios de búsqueda</w:t>
      </w:r>
    </w:p>
    <w:p>
      <w:pPr>
        <w:pStyle w:val="ListParagraph"/>
        <w:numPr>
          <w:ilvl w:val="0"/>
          <w:numId w:val="2"/>
        </w:numPr>
        <w:spacing w:after="60"/>
      </w:pPr>
      <w:r>
        <w:t xml:space="preserve">Probate (sucesiones)</w:t>
      </w:r>
    </w:p>
    <w:p>
      <w:pPr>
        <w:pStyle w:val="ListParagraph"/>
        <w:numPr>
          <w:ilvl w:val="0"/>
          <w:numId w:val="2"/>
        </w:numPr>
        <w:spacing w:after="60"/>
      </w:pPr>
      <w:r>
        <w:t xml:space="preserve">Lis Pendens (demandas pendientes)</w:t>
      </w:r>
    </w:p>
    <w:p>
      <w:pPr>
        <w:pStyle w:val="ListParagraph"/>
        <w:numPr>
          <w:ilvl w:val="0"/>
          <w:numId w:val="2"/>
        </w:numPr>
        <w:spacing w:after="60"/>
      </w:pPr>
      <w:r>
        <w:t xml:space="preserve">Foreclosure (ejecuciones hipotecarias)</w:t>
      </w:r>
    </w:p>
    <w:p>
      <w:pPr>
        <w:pStyle w:val="ListParagraph"/>
        <w:numPr>
          <w:ilvl w:val="0"/>
          <w:numId w:val="2"/>
        </w:numPr>
        <w:spacing w:after="60"/>
      </w:pPr>
      <w:r>
        <w:t xml:space="preserve">Tax Delinquent (morosidad de impuestos)</w:t>
      </w:r>
    </w:p>
    <w:p>
      <w:pPr>
        <w:pStyle w:val="ListParagraph"/>
        <w:numPr>
          <w:ilvl w:val="0"/>
          <w:numId w:val="2"/>
        </w:numPr>
        <w:spacing w:after="60"/>
      </w:pPr>
      <w:r>
        <w:t xml:space="preserve">Liens (gravámenes)</w:t>
      </w:r>
    </w:p>
    <w:p>
      <w:pPr>
        <w:pStyle w:val="Heading2"/>
        <w:spacing w:after="120" w:before="280"/>
      </w:pPr>
      <w:r>
        <w:t xml:space="preserve">3.2 Property types</w:t>
      </w:r>
    </w:p>
    <w:p>
      <w:pPr>
        <w:spacing w:after="80"/>
      </w:pPr>
      <w:r>
        <w:rPr>
          <w:b/>
          <w:bCs/>
        </w:rPr>
        <w:t xml:space="preserve">Incluir: </w:t>
      </w:r>
      <w:r>
        <w:t xml:space="preserve">Single-family, Multi-family, Duplex, Triplex, Fourplex.</w:t>
      </w:r>
    </w:p>
    <w:p>
      <w:pPr>
        <w:spacing w:after="120"/>
      </w:pPr>
      <w:r>
        <w:rPr>
          <w:b/>
          <w:bCs/>
        </w:rPr>
        <w:t xml:space="preserve">Excluir: </w:t>
      </w:r>
      <w:r>
        <w:t xml:space="preserve">Condominios, Apartamentos, Townhomes.</w:t>
      </w:r>
    </w:p>
    <w:p>
      <w:pPr>
        <w:pStyle w:val="Heading2"/>
        <w:spacing w:after="120" w:before="280"/>
      </w:pPr>
      <w:r>
        <w:t xml:space="preserve">3.3 Campos a entregar (17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Datos de propiedad</w:t>
            </w:r>
          </w:p>
        </w:tc>
        <w:tc>
          <w:tcPr>
            <w:tcW w:type="dxa" w:w="312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Datos del dueño</w:t>
            </w:r>
          </w:p>
        </w:tc>
        <w:tc>
          <w:tcPr>
            <w:tcW w:type="dxa" w:w="312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Datos financieros</w:t>
            </w:r>
          </w:p>
        </w:tc>
      </w:tr>
      <w:tr>
        <w:tc>
          <w:tcPr>
            <w:tcW w:type="dxa" w:w="312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40"/>
            </w:pPr>
            <w:r>
              <w:t xml:space="preserve">Property Address</w:t>
            </w:r>
          </w:p>
          <w:p>
            <w:pPr>
              <w:spacing w:after="40"/>
            </w:pPr>
            <w:r>
              <w:t xml:space="preserve">Purchase Price</w:t>
            </w:r>
          </w:p>
          <w:p>
            <w:pPr>
              <w:spacing w:after="40"/>
            </w:pPr>
            <w:r>
              <w:t xml:space="preserve">Property Purchase Date</w:t>
            </w:r>
          </w:p>
          <w:p>
            <w:pPr>
              <w:spacing w:after="40"/>
            </w:pPr>
            <w:r>
              <w:t xml:space="preserve">Property Type</w:t>
            </w:r>
          </w:p>
          <w:p>
            <w:pPr>
              <w:spacing w:after="40"/>
            </w:pPr>
            <w:r>
              <w:t xml:space="preserve"># of Units</w:t>
            </w:r>
          </w:p>
          <w:p>
            <w:pPr>
              <w:spacing w:after="0"/>
            </w:pPr>
            <w:r>
              <w:t xml:space="preserve"># of Bedrooms</w:t>
            </w:r>
          </w:p>
        </w:tc>
        <w:tc>
          <w:tcPr>
            <w:tcW w:type="dxa" w:w="312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40"/>
            </w:pPr>
            <w:r>
              <w:t xml:space="preserve">Owner First Name</w:t>
            </w:r>
          </w:p>
          <w:p>
            <w:pPr>
              <w:spacing w:after="40"/>
            </w:pPr>
            <w:r>
              <w:t xml:space="preserve">Owner Last Name</w:t>
            </w:r>
          </w:p>
          <w:p>
            <w:pPr>
              <w:spacing w:after="40"/>
            </w:pPr>
            <w:r>
              <w:t xml:space="preserve">Owner Phone</w:t>
            </w:r>
          </w:p>
          <w:p>
            <w:pPr>
              <w:spacing w:after="0"/>
            </w:pPr>
            <w:r>
              <w:t xml:space="preserve">Owner Email</w:t>
            </w:r>
          </w:p>
        </w:tc>
        <w:tc>
          <w:tcPr>
            <w:tcW w:type="dxa" w:w="312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40"/>
            </w:pPr>
            <w:r>
              <w:t xml:space="preserve">Bank / Lender Name</w:t>
            </w:r>
          </w:p>
          <w:p>
            <w:pPr>
              <w:spacing w:after="40"/>
            </w:pPr>
            <w:r>
              <w:t xml:space="preserve">Lender Phone</w:t>
            </w:r>
          </w:p>
          <w:p>
            <w:pPr>
              <w:spacing w:after="40"/>
            </w:pPr>
            <w:r>
              <w:t xml:space="preserve">Lender Email</w:t>
            </w:r>
          </w:p>
          <w:p>
            <w:pPr>
              <w:spacing w:after="40"/>
            </w:pPr>
            <w:r>
              <w:t xml:space="preserve">Bank Address</w:t>
            </w:r>
          </w:p>
          <w:p>
            <w:pPr>
              <w:spacing w:after="40"/>
            </w:pPr>
            <w:r>
              <w:t xml:space="preserve">Outstanding Debt</w:t>
            </w:r>
          </w:p>
          <w:p>
            <w:pPr>
              <w:spacing w:after="40"/>
            </w:pPr>
            <w:r>
              <w:t xml:space="preserve">Unpaid Taxes 2024</w:t>
            </w:r>
          </w:p>
          <w:p>
            <w:pPr>
              <w:spacing w:after="0"/>
            </w:pPr>
            <w:r>
              <w:t xml:space="preserve">Unpaid Taxes 2025</w:t>
            </w:r>
          </w:p>
        </w:tc>
      </w:tr>
    </w:tbl>
    <w:p>
      <w:pPr>
        <w:spacing w:after="120"/>
      </w:pPr>
      <w:r>
        <w:t xml:space="preserve"/>
      </w:r>
    </w:p>
    <w:p>
      <w:pPr>
        <w:spacing w:after="120"/>
      </w:pPr>
      <w:r>
        <w:rPr>
          <w:i/>
          <w:iCs/>
          <w:color w:val="595959"/>
          <w:sz w:val="20"/>
          <w:szCs w:val="20"/>
        </w:rPr>
        <w:t xml:space="preserve">Nota importante: Owner Phone, Owner Email, y los contactos del Lender NO viven en registros públicos. Requieren skip-tracing pago, que es el principal costo recurrente.</w:t>
      </w:r>
    </w:p>
    <w:p>
      <w:pPr>
        <w:pStyle w:val="Heading1"/>
        <w:spacing w:after="180" w:before="360"/>
      </w:pPr>
      <w:r>
        <w:t xml:space="preserve">4. Análisis de Fuentes de Datos</w:t>
      </w:r>
    </w:p>
    <w:p>
      <w:pPr>
        <w:spacing w:after="120"/>
      </w:pPr>
      <w:r>
        <w:t xml:space="preserve">Lo bueno: 4 de las 5 fuentes son registros públicos accesibles legalmente. Lo malo: cada Clerk of Court tiene su propio sistema. Esto es el detalle por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Fuente</w:t>
            </w:r>
          </w:p>
        </w:tc>
        <w:tc>
          <w:tcPr>
            <w:tcW w:type="dxa" w:w="22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Método</w:t>
            </w:r>
          </w:p>
        </w:tc>
        <w:tc>
          <w:tcPr>
            <w:tcW w:type="dxa" w:w="22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Costo</w:t>
            </w:r>
          </w:p>
        </w:tc>
        <w:tc>
          <w:tcPr>
            <w:tcW w:type="dxa" w:w="296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Cobertura</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Miami-Dade Clerk of Court</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API oficial + bulk data</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$110/mes bulk ó $0.20/request</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Probate, Civil, Family. Acceso avanzado a Probate es gratis.</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Broward Clerk of Court</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API oficial (premium)</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Registro notariado + tarifa por uso</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Civil, Family, Probate, Felony, Traffic, Misdemeanor.</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Palm Beach Clerk of Court</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eCaseView (web) + reportes en Clerk Cart</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Reportes: por documento</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Sin API pública. Reporte semanal de foreclosures es comprable.</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County Tax Collectors</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Listas públicas descargables</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Gratis</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Tax delinquent 2025 (delinquente desde 1-abr-2026). Reportes oficiales.</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Property Appraisers (3 cond.)</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Búsqueda pública + endpoints</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Gratis</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Crítico para filtrar property type (DOR Use Code) y bedrooms/units.</w:t>
            </w:r>
          </w:p>
        </w:tc>
      </w:tr>
      <w:tr>
        <w:tc>
          <w:tcPr>
            <w:tcW w:type="dxa" w:w="20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Zillow Foreclosures</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API retirada en 2021</w:t>
            </w:r>
          </w:p>
        </w:tc>
        <w:tc>
          <w:tcPr>
            <w:tcW w:type="dxa" w:w="22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ATTOM Data ~$299/mes (alternativa)</w:t>
            </w:r>
          </w:p>
        </w:tc>
        <w:tc>
          <w:tcPr>
            <w:tcW w:type="dxa" w:w="29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Recomendación: NO scrape Zillow. La data ya está cubierta por Clerks + Tax Collectors.</w:t>
            </w:r>
          </w:p>
        </w:tc>
      </w:tr>
    </w:tbl>
    <w:p>
      <w:pPr>
        <w:spacing w:after="120"/>
      </w:pPr>
      <w:r>
        <w:t xml:space="preserve"/>
      </w:r>
    </w:p>
    <w:p>
      <w:pPr>
        <w:pStyle w:val="Heading2"/>
        <w:spacing w:after="120" w:before="280"/>
      </w:pPr>
      <w:r>
        <w:t xml:space="preserve">4.1 Aclaración sobre Zillow</w:t>
      </w:r>
    </w:p>
    <w:p>
      <w:pPr>
        <w:spacing w:after="120"/>
      </w:pPr>
      <w:r>
        <w:t xml:space="preserve">Zillow descontinuó su API pública en septiembre 2021 y sus Términos de Servicio prohíben el acceso automatizado. Aunque el scraping de datos públicos no necesariamente viola la ley federal (precedente hiQ Labs v. LinkedIn, 2022), sí viola los Términos de Zillow y arriesga IP bans y problemas legales si se redistribuye comercialmente.</w:t>
      </w:r>
    </w:p>
    <w:p>
      <w:pPr>
        <w:spacing w:after="120"/>
      </w:pPr>
      <w:r>
        <w:t xml:space="preserve">Punto clave: las foreclosures que Zillow muestra vienen de los mismos Clerks of Court que ya estamos tocando. Ir directo a la fuente es más confiable, más legal y más temprano (Zillow tiene un delay de varios días). Recomendación: descartar Zillow como fuente. Si en el futuro quieren ATTOM Data ($299/mes) para validación cruzada, es factible.</w:t>
      </w:r>
    </w:p>
    <w:p>
      <w:pPr>
        <w:pStyle w:val="Heading1"/>
        <w:spacing w:after="180" w:before="360"/>
      </w:pPr>
      <w:r>
        <w:t xml:space="preserve">5. Arquitectura Propuesta</w:t>
      </w:r>
    </w:p>
    <w:p>
      <w:pPr>
        <w:pStyle w:val="Heading2"/>
        <w:spacing w:after="120" w:before="280"/>
      </w:pPr>
      <w:r>
        <w:t xml:space="preserve">5.1 Vista de alto nivel</w:t>
      </w:r>
    </w:p>
    <w:p>
      <w:pPr>
        <w:spacing w:after="120"/>
      </w:pPr>
      <w:r>
        <w:t xml:space="preserve">Cuatro etapas de pipeline corriendo en cron diario o cada 2 días:</w:t>
      </w:r>
    </w:p>
    <w:p>
      <w:pPr>
        <w:pStyle w:val="ListParagraph"/>
        <w:numPr>
          <w:ilvl w:val="0"/>
          <w:numId w:val="3"/>
        </w:numPr>
        <w:spacing w:after="60"/>
      </w:pPr>
      <w:r>
        <w:t xml:space="preserve">INGEST. Cinco collectors (uno por condado-fuente) descargan el delta de hoy.</w:t>
      </w:r>
    </w:p>
    <w:p>
      <w:pPr>
        <w:pStyle w:val="ListParagraph"/>
        <w:numPr>
          <w:ilvl w:val="0"/>
          <w:numId w:val="3"/>
        </w:numPr>
        <w:spacing w:after="60"/>
      </w:pPr>
      <w:r>
        <w:t xml:space="preserve">ENRICH. Cruza cada match con el County Property Appraiser para obtener property type, units, bedrooms, owner of record, valor catastral.</w:t>
      </w:r>
    </w:p>
    <w:p>
      <w:pPr>
        <w:pStyle w:val="ListParagraph"/>
        <w:numPr>
          <w:ilvl w:val="0"/>
          <w:numId w:val="3"/>
        </w:numPr>
        <w:spacing w:after="60"/>
      </w:pPr>
      <w:r>
        <w:t xml:space="preserve">FILTER. Aplica reglas de 101 Advisors (incluir/excluir property types, etc.). Tira ~70–85% de los matches que no califican.</w:t>
      </w:r>
    </w:p>
    <w:p>
      <w:pPr>
        <w:pStyle w:val="ListParagraph"/>
        <w:numPr>
          <w:ilvl w:val="0"/>
          <w:numId w:val="3"/>
        </w:numPr>
        <w:spacing w:after="60"/>
      </w:pPr>
      <w:r>
        <w:t xml:space="preserve">SKIP-TRACE &amp; DELIVER. Los que pasan se enriquecen con BatchSkipTracing (phone/email) y se publican a Google Sheet + CRM webhook + email digest.</w:t>
      </w:r>
    </w:p>
    <w:p>
      <w:pPr>
        <w:pStyle w:val="Heading2"/>
        <w:spacing w:after="120" w:before="280"/>
      </w:pPr>
      <w:r>
        <w:t xml:space="preserve">5.2 Stack técnico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CEDC" w:sz="4"/>
              <w:bottom w:val="single" w:color="BFCEDC" w:sz="4"/>
              <w:right w:val="single" w:color="BFCEDC" w:sz="4"/>
            </w:tcBorders>
            <w:shd w:fill="EAF1F8" w:val="clear"/>
            <w:tcMar>
              <w:top w:type="dxa" w:w="200"/>
              <w:left w:type="dxa" w:w="240"/>
              <w:bottom w:type="dxa" w:w="200"/>
              <w:right w:type="dxa" w:w="240"/>
            </w:tcMar>
          </w:tcPr>
          <w:p>
            <w:pPr>
              <w:spacing w:after="80"/>
            </w:pPr>
            <w:r>
              <w:rPr>
                <w:b/>
                <w:bCs/>
                <w:color w:val="1F4E79"/>
                <w:sz w:val="24"/>
                <w:szCs w:val="24"/>
              </w:rPr>
              <w:t xml:space="preserve">Recomendación: Python + Google Sheets + GitHub Actions</w:t>
            </w:r>
          </w:p>
          <w:p>
            <w:pPr>
              <w:spacing w:after="60"/>
            </w:pPr>
            <w:r>
              <w:rPr>
                <w:sz w:val="22"/>
                <w:szCs w:val="22"/>
              </w:rPr>
              <w:t xml:space="preserve">• Python 3.12: librerías maduras (requests, httpx, pandas, gspread).</w:t>
            </w:r>
          </w:p>
          <w:p>
            <w:pPr>
              <w:spacing w:after="60"/>
            </w:pPr>
            <w:r>
              <w:rPr>
                <w:sz w:val="22"/>
                <w:szCs w:val="22"/>
              </w:rPr>
              <w:t xml:space="preserve">• SQLite local para historial y deduplicación.</w:t>
            </w:r>
          </w:p>
          <w:p>
            <w:pPr>
              <w:spacing w:after="60"/>
            </w:pPr>
            <w:r>
              <w:rPr>
                <w:sz w:val="22"/>
                <w:szCs w:val="22"/>
              </w:rPr>
              <w:t xml:space="preserve">• Google Sheets como UI principal (gspread API): el cliente ya vive ahí.</w:t>
            </w:r>
          </w:p>
          <w:p>
            <w:pPr>
              <w:spacing w:after="60"/>
            </w:pPr>
            <w:r>
              <w:rPr>
                <w:sz w:val="22"/>
                <w:szCs w:val="22"/>
              </w:rPr>
              <w:t xml:space="preserve">• GitHub Actions para el cron diario (gratis para repos privados con tier free).</w:t>
            </w:r>
          </w:p>
          <w:p>
            <w:pPr>
              <w:spacing w:after="60"/>
            </w:pPr>
            <w:r>
              <w:rPr>
                <w:sz w:val="22"/>
                <w:szCs w:val="22"/>
              </w:rPr>
              <w:t xml:space="preserve">• Webhook al CRM (Follow Up Boss / HubSpot / REI Reply) para push automático.</w:t>
            </w:r>
          </w:p>
          <w:p>
            <w:pPr>
              <w:spacing w:after="60"/>
            </w:pPr>
            <w:r>
              <w:rPr>
                <w:sz w:val="22"/>
                <w:szCs w:val="22"/>
              </w:rPr>
              <w:t xml:space="preserve">• Sin frontend que mantener — todo el dashboard vive en Sheets.</w:t>
            </w:r>
          </w:p>
        </w:tc>
      </w:tr>
    </w:tbl>
    <w:p>
      <w:pPr>
        <w:spacing w:after="120"/>
      </w:pPr>
      <w:r>
        <w:t xml:space="preserve"/>
      </w:r>
    </w:p>
    <w:p>
      <w:pPr>
        <w:spacing w:after="120"/>
      </w:pPr>
      <w:r>
        <w:rPr>
          <w:i/>
          <w:iCs/>
          <w:color w:val="595959"/>
          <w:sz w:val="20"/>
          <w:szCs w:val="20"/>
        </w:rPr>
        <w:t xml:space="preserve">Por qué NO Next.js / dashboard custom: la primera versión no lo necesita. El cliente ya usa Sheets y CRM. Construir un frontend agrega 2–3 semanas de trabajo y carga de mantenimiento sin valor incremental claro. Si en 3 meses piden un dashboard con métricas, se agrega después.</w:t>
      </w:r>
    </w:p>
    <w:p>
      <w:pPr>
        <w:spacing w:after="120"/>
      </w:pPr>
      <w:r>
        <w:rPr>
          <w:i/>
          <w:iCs/>
          <w:color w:val="595959"/>
          <w:sz w:val="20"/>
          <w:szCs w:val="20"/>
        </w:rPr>
        <w:t xml:space="preserve">Por qué NO no-code (Make / Zapier): los Clerks of Court no encajan bien con conectores no-code. La lógica de filtro y deduplicación es lo suficientemente específica que Python directo es más mantenible y ~10x más barato a escala.</w:t>
      </w:r>
    </w:p>
    <w:p>
      <w:pPr>
        <w:pStyle w:val="Heading2"/>
        <w:spacing w:after="120" w:before="280"/>
      </w:pPr>
      <w:r>
        <w:t xml:space="preserve">5.3 Componentes en detalle</w:t>
      </w:r>
    </w:p>
    <w:p>
      <w:pPr>
        <w:pStyle w:val="Heading3"/>
        <w:spacing w:after="80" w:before="200"/>
      </w:pPr>
      <w:r>
        <w:t xml:space="preserve">Collectors (uno por fuente)</w:t>
      </w:r>
    </w:p>
    <w:p>
      <w:pPr>
        <w:pStyle w:val="ListParagraph"/>
        <w:numPr>
          <w:ilvl w:val="0"/>
          <w:numId w:val="2"/>
        </w:numPr>
        <w:spacing w:after="60"/>
      </w:pPr>
      <w:r>
        <w:t xml:space="preserve">miami_dade_clerk.py → consume Commercial Data Services.</w:t>
      </w:r>
    </w:p>
    <w:p>
      <w:pPr>
        <w:pStyle w:val="ListParagraph"/>
        <w:numPr>
          <w:ilvl w:val="0"/>
          <w:numId w:val="2"/>
        </w:numPr>
        <w:spacing w:after="60"/>
      </w:pPr>
      <w:r>
        <w:t xml:space="preserve">broward_clerk.py → consume Broward Clerk API.</w:t>
      </w:r>
    </w:p>
    <w:p>
      <w:pPr>
        <w:pStyle w:val="ListParagraph"/>
        <w:numPr>
          <w:ilvl w:val="0"/>
          <w:numId w:val="2"/>
        </w:numPr>
        <w:spacing w:after="60"/>
      </w:pPr>
      <w:r>
        <w:t xml:space="preserve">palm_beach_clerk.py → consume eCaseView + reporte semanal de foreclosures.</w:t>
      </w:r>
    </w:p>
    <w:p>
      <w:pPr>
        <w:pStyle w:val="ListParagraph"/>
        <w:numPr>
          <w:ilvl w:val="0"/>
          <w:numId w:val="2"/>
        </w:numPr>
        <w:spacing w:after="60"/>
      </w:pPr>
      <w:r>
        <w:t xml:space="preserve">tax_delinquent.py → descarga listas de 3 Tax Collectors.</w:t>
      </w:r>
    </w:p>
    <w:p>
      <w:pPr>
        <w:pStyle w:val="ListParagraph"/>
        <w:numPr>
          <w:ilvl w:val="0"/>
          <w:numId w:val="2"/>
        </w:numPr>
        <w:spacing w:after="60"/>
      </w:pPr>
      <w:r>
        <w:t xml:space="preserve">Cada collector devuelve un DataFrame normalizado con un schema común.</w:t>
      </w:r>
    </w:p>
    <w:p>
      <w:pPr>
        <w:pStyle w:val="Heading3"/>
        <w:spacing w:after="80" w:before="200"/>
      </w:pPr>
      <w:r>
        <w:t xml:space="preserve">Enrichment layer</w:t>
      </w:r>
    </w:p>
    <w:p>
      <w:pPr>
        <w:pStyle w:val="ListParagraph"/>
        <w:numPr>
          <w:ilvl w:val="0"/>
          <w:numId w:val="2"/>
        </w:numPr>
        <w:spacing w:after="60"/>
      </w:pPr>
      <w:r>
        <w:t xml:space="preserve">property_appraiser.py → cruza la dirección / folio con cada Property Appraiser. Devuelve DOR Use Code, units, bedrooms, owner of record, market value.</w:t>
      </w:r>
    </w:p>
    <w:p>
      <w:pPr>
        <w:pStyle w:val="ListParagraph"/>
        <w:numPr>
          <w:ilvl w:val="0"/>
          <w:numId w:val="2"/>
        </w:numPr>
        <w:spacing w:after="60"/>
      </w:pPr>
      <w:r>
        <w:t xml:space="preserve">Cache local SQLite (TTL 30 días) — evita queries repetidos al mismo Folio.</w:t>
      </w:r>
    </w:p>
    <w:p>
      <w:pPr>
        <w:pStyle w:val="Heading3"/>
        <w:spacing w:after="80" w:before="200"/>
      </w:pPr>
      <w:r>
        <w:t xml:space="preserve">Filter engine</w:t>
      </w:r>
    </w:p>
    <w:p>
      <w:pPr>
        <w:pStyle w:val="ListParagraph"/>
        <w:numPr>
          <w:ilvl w:val="0"/>
          <w:numId w:val="2"/>
        </w:numPr>
        <w:spacing w:after="60"/>
      </w:pPr>
      <w:r>
        <w:t xml:space="preserve">Reglas declarativas en YAML: include_dor_codes, exclude_dor_codes, min_units, etc.</w:t>
      </w:r>
    </w:p>
    <w:p>
      <w:pPr>
        <w:pStyle w:val="ListParagraph"/>
        <w:numPr>
          <w:ilvl w:val="0"/>
          <w:numId w:val="2"/>
        </w:numPr>
        <w:spacing w:after="60"/>
      </w:pPr>
      <w:r>
        <w:t xml:space="preserve">Fácil de ajustar sin tocar código si 101 Advisors cambia criterios.</w:t>
      </w:r>
    </w:p>
    <w:p>
      <w:pPr>
        <w:pStyle w:val="Heading3"/>
        <w:spacing w:after="80" w:before="200"/>
      </w:pPr>
      <w:r>
        <w:t xml:space="preserve">Skip-tracing</w:t>
      </w:r>
    </w:p>
    <w:p>
      <w:pPr>
        <w:pStyle w:val="ListParagraph"/>
        <w:numPr>
          <w:ilvl w:val="0"/>
          <w:numId w:val="2"/>
        </w:numPr>
        <w:spacing w:after="60"/>
      </w:pPr>
      <w:r>
        <w:t xml:space="preserve">batch_skip.py → BatchSkipTracing API. Solo se llama para leads que ya pasaron el filter (ahorra dinero).</w:t>
      </w:r>
    </w:p>
    <w:p>
      <w:pPr>
        <w:pStyle w:val="ListParagraph"/>
        <w:numPr>
          <w:ilvl w:val="0"/>
          <w:numId w:val="2"/>
        </w:numPr>
        <w:spacing w:after="60"/>
      </w:pPr>
      <w:r>
        <w:t xml:space="preserve">Cache 90 días: si el mismo owner aparece de nuevo en otra propiedad, no se re-traza.</w:t>
      </w:r>
    </w:p>
    <w:p>
      <w:pPr>
        <w:pStyle w:val="Heading3"/>
        <w:spacing w:after="80" w:before="200"/>
      </w:pPr>
      <w:r>
        <w:t xml:space="preserve">Delivery</w:t>
      </w:r>
    </w:p>
    <w:p>
      <w:pPr>
        <w:pStyle w:val="ListParagraph"/>
        <w:numPr>
          <w:ilvl w:val="0"/>
          <w:numId w:val="2"/>
        </w:numPr>
        <w:spacing w:after="60"/>
      </w:pPr>
      <w:r>
        <w:t xml:space="preserve">sheets_writer.py → Tab "Today" se sobreescribe; tab "History" se anexa.</w:t>
      </w:r>
    </w:p>
    <w:p>
      <w:pPr>
        <w:pStyle w:val="ListParagraph"/>
        <w:numPr>
          <w:ilvl w:val="0"/>
          <w:numId w:val="2"/>
        </w:numPr>
        <w:spacing w:after="60"/>
      </w:pPr>
      <w:r>
        <w:t xml:space="preserve">crm_pusher.py → Webhook configurable (Follow Up Boss, HubSpot, REI Reply, etc.).</w:t>
      </w:r>
    </w:p>
    <w:p>
      <w:pPr>
        <w:pStyle w:val="ListParagraph"/>
        <w:numPr>
          <w:ilvl w:val="0"/>
          <w:numId w:val="2"/>
        </w:numPr>
        <w:spacing w:after="60"/>
      </w:pPr>
      <w:r>
        <w:t xml:space="preserve">email_digest.py → Email a las 7 AM con tabla resumen + link al Sheet.</w:t>
      </w:r>
    </w:p>
    <w:p>
      <w:pPr>
        <w:pStyle w:val="Heading3"/>
        <w:spacing w:after="80" w:before="200"/>
      </w:pPr>
      <w:r>
        <w:t xml:space="preserve">Scheduling &amp; Monitoring</w:t>
      </w:r>
    </w:p>
    <w:p>
      <w:pPr>
        <w:pStyle w:val="ListParagraph"/>
        <w:numPr>
          <w:ilvl w:val="0"/>
          <w:numId w:val="2"/>
        </w:numPr>
        <w:spacing w:after="60"/>
      </w:pPr>
      <w:r>
        <w:t xml:space="preserve">GitHub Actions: cron job diario a las 6:00 AM ET.</w:t>
      </w:r>
    </w:p>
    <w:p>
      <w:pPr>
        <w:pStyle w:val="ListParagraph"/>
        <w:numPr>
          <w:ilvl w:val="0"/>
          <w:numId w:val="2"/>
        </w:numPr>
        <w:spacing w:after="60"/>
      </w:pPr>
      <w:r>
        <w:t xml:space="preserve">Slack/Email alert si algún collector falla &gt; 2 días seguidos.</w:t>
      </w:r>
    </w:p>
    <w:p>
      <w:pPr>
        <w:pStyle w:val="ListParagraph"/>
        <w:numPr>
          <w:ilvl w:val="0"/>
          <w:numId w:val="2"/>
        </w:numPr>
        <w:spacing w:after="60"/>
      </w:pPr>
      <w:r>
        <w:t xml:space="preserve">Logs persistidos en GitHub Artifacts para debugging.</w:t>
      </w:r>
    </w:p>
    <w:p>
      <w:pPr>
        <w:pStyle w:val="Heading1"/>
        <w:spacing w:after="180" w:before="360"/>
      </w:pPr>
      <w:r>
        <w:t xml:space="preserve">6. Plan de Implementación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060"/>
        <w:gridCol w:w="2000"/>
      </w:tblGrid>
      <w:tr>
        <w:trPr>
          <w:tblHeader/>
        </w:trPr>
        <w:tc>
          <w:tcPr>
            <w:tcW w:type="dxa" w:w="14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Fase</w:t>
            </w:r>
          </w:p>
        </w:tc>
        <w:tc>
          <w:tcPr>
            <w:tcW w:type="dxa" w:w="19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Duración</w:t>
            </w:r>
          </w:p>
        </w:tc>
        <w:tc>
          <w:tcPr>
            <w:tcW w:type="dxa" w:w="406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Entregables</w:t>
            </w:r>
          </w:p>
        </w:tc>
        <w:tc>
          <w:tcPr>
            <w:tcW w:type="dxa" w:w="20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Hito de validación</w:t>
            </w:r>
          </w:p>
        </w:tc>
      </w:tr>
      <w:tr>
        <w:tc>
          <w:tcPr>
            <w:tcW w:type="dxa" w:w="14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Fase 1 — MVP Miami-Dade</w:t>
            </w:r>
          </w:p>
        </w:tc>
        <w:tc>
          <w:tcPr>
            <w:tcW w:type="dxa" w:w="19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Semanas 1–2</w:t>
            </w:r>
          </w:p>
        </w:tc>
        <w:tc>
          <w:tcPr>
            <w:tcW w:type="dxa" w:w="40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Foreclosures + Lis Pendens de Miami-Dade. Filtro property type via Property Appraiser. Skip-tracing + Google Sheet diario.</w:t>
            </w:r>
          </w:p>
        </w:tc>
        <w:tc>
          <w:tcPr>
            <w:tcW w:type="dxa" w:w="20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Cliente recibe primer Sheet con 5–20 leads viables.</w:t>
            </w:r>
          </w:p>
        </w:tc>
      </w:tr>
      <w:tr>
        <w:tc>
          <w:tcPr>
            <w:tcW w:type="dxa" w:w="14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Fase 2 — Broward + Palm Beach</w:t>
            </w:r>
          </w:p>
        </w:tc>
        <w:tc>
          <w:tcPr>
            <w:tcW w:type="dxa" w:w="19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Semana 3</w:t>
            </w:r>
          </w:p>
        </w:tc>
        <w:tc>
          <w:tcPr>
            <w:tcW w:type="dxa" w:w="40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Adapter para Broward Clerk API. Adapter Palm Beach (eCaseView + reportes).</w:t>
            </w:r>
          </w:p>
        </w:tc>
        <w:tc>
          <w:tcPr>
            <w:tcW w:type="dxa" w:w="20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Tri-county cobertura completa.</w:t>
            </w:r>
          </w:p>
        </w:tc>
      </w:tr>
      <w:tr>
        <w:tc>
          <w:tcPr>
            <w:tcW w:type="dxa" w:w="14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Fase 3 — Probate + Tax Delinquent + Liens</w:t>
            </w:r>
          </w:p>
        </w:tc>
        <w:tc>
          <w:tcPr>
            <w:tcW w:type="dxa" w:w="19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Semana 4</w:t>
            </w:r>
          </w:p>
        </w:tc>
        <w:tc>
          <w:tcPr>
            <w:tcW w:type="dxa" w:w="40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Probate cases (3 Clerks). Tax delinquent download 3 Tax Collectors. Liens search.</w:t>
            </w:r>
          </w:p>
        </w:tc>
        <w:tc>
          <w:tcPr>
            <w:tcW w:type="dxa" w:w="20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Las 5 categorías activas y filtrando.</w:t>
            </w:r>
          </w:p>
        </w:tc>
      </w:tr>
      <w:tr>
        <w:tc>
          <w:tcPr>
            <w:tcW w:type="dxa" w:w="14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Fase 4 — CRM + Polish</w:t>
            </w:r>
          </w:p>
        </w:tc>
        <w:tc>
          <w:tcPr>
            <w:tcW w:type="dxa" w:w="19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Semana 5</w:t>
            </w:r>
          </w:p>
        </w:tc>
        <w:tc>
          <w:tcPr>
            <w:tcW w:type="dxa" w:w="40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Webhook al CRM elegido. Email digest. Alertas. Documentación para handoff.</w:t>
            </w:r>
          </w:p>
        </w:tc>
        <w:tc>
          <w:tcPr>
            <w:tcW w:type="dxa" w:w="20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Listo para uso diario sin Samuel intervenir.</w:t>
            </w:r>
          </w:p>
        </w:tc>
      </w:tr>
      <w:tr>
        <w:tc>
          <w:tcPr>
            <w:tcW w:type="dxa" w:w="14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b/>
                <w:bCs/>
                <w:sz w:val="22"/>
                <w:szCs w:val="22"/>
              </w:rPr>
              <w:t xml:space="preserve">Fase 5 (opcional) — Dashboard</w:t>
            </w:r>
          </w:p>
        </w:tc>
        <w:tc>
          <w:tcPr>
            <w:tcW w:type="dxa" w:w="19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Semanas 6–7</w:t>
            </w:r>
          </w:p>
        </w:tc>
        <w:tc>
          <w:tcPr>
            <w:tcW w:type="dxa" w:w="40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Streamlit/Next.js dashboard si el cliente lo pide. Métricas: leads/día, conversion rate, ROI por fuente.</w:t>
            </w:r>
          </w:p>
        </w:tc>
        <w:tc>
          <w:tcPr>
            <w:tcW w:type="dxa" w:w="20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Solo si hay demanda real después de 4–6 semanas en producción.</w:t>
            </w:r>
          </w:p>
        </w:tc>
      </w:tr>
    </w:tbl>
    <w:p>
      <w:pPr>
        <w:spacing w:after="120"/>
      </w:pPr>
      <w:r>
        <w:t xml:space="preserve"/>
      </w:r>
    </w:p>
    <w:p>
      <w:pPr>
        <w:pStyle w:val="Heading1"/>
        <w:spacing w:after="180" w:before="360"/>
      </w:pPr>
      <w:r>
        <w:t xml:space="preserve">7. Estructura de Costos</w:t>
      </w:r>
    </w:p>
    <w:p>
      <w:pPr>
        <w:pStyle w:val="Heading2"/>
        <w:spacing w:after="120" w:before="280"/>
      </w:pPr>
      <w:r>
        <w:t xml:space="preserve">7.1 Costos recurrentes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Concepto</w:t>
            </w:r>
          </w:p>
        </w:tc>
        <w:tc>
          <w:tcPr>
            <w:tcW w:type="dxa" w:w="18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Costo</w:t>
            </w:r>
          </w:p>
        </w:tc>
        <w:tc>
          <w:tcPr>
            <w:tcW w:type="dxa" w:w="336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Notas</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Miami-Dade Commercial Data Services</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$110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Bulk data folder. Alternativa: API a $0.20/request (~$60–80 con 300–400 queries).</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Broward Clerk API</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~$30–60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Premium service, registro notariado. Tarifa por uso.</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Palm Beach Clerk reportes</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~$10–20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Reportes semanales pagos por documento.</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Tax Collectors (3 condados)</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Listas oficiales públicas, gratis.</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Property Appraisers (3 condados)</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Endpoints públicos.</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BatchSkipTracing</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$30–100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Pay-per-result (~$0.10–0.25). Estim. 200–500 nuevos leads/mes post-filtro.</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GitHub Actions (cron)</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Tier free, suficiente para 1 corrida diaria.</w:t>
            </w:r>
          </w:p>
        </w:tc>
      </w:tr>
      <w:tr>
        <w:tc>
          <w:tcPr>
            <w:tcW w:type="dxa" w:w="42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Google Sheets API</w:t>
            </w:r>
          </w:p>
        </w:tc>
        <w:tc>
          <w:tcPr>
            <w:tcW w:type="dxa" w:w="18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$0</w:t>
            </w:r>
          </w:p>
        </w:tc>
        <w:tc>
          <w:tcPr>
            <w:tcW w:type="dxa" w:w="3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Bajo el límite gratuito.</w:t>
            </w:r>
          </w:p>
        </w:tc>
      </w:tr>
      <w:tr>
        <w:tc>
          <w:tcPr>
            <w:tcW w:type="dxa" w:w="4200"/>
            <w:tcBorders>
              <w:top w:val="single" w:color="BFCEDC" w:sz="4"/>
              <w:left w:val="single" w:color="BFCEDC" w:sz="4"/>
              <w:bottom w:val="single" w:color="BFCEDC" w:sz="4"/>
              <w:right w:val="single" w:color="BFCEDC" w:sz="4"/>
            </w:tcBorders>
            <w:shd w:fill="EAF1F8" w:val="clear"/>
            <w:tcMar>
              <w:top w:type="dxa" w:w="100"/>
              <w:left w:type="dxa" w:w="140"/>
              <w:bottom w:type="dxa" w:w="100"/>
              <w:right w:type="dxa" w:w="140"/>
            </w:tcMar>
          </w:tcPr>
          <w:p>
            <w:pPr>
              <w:spacing w:after="0"/>
            </w:pPr>
            <w:r>
              <w:rPr>
                <w:b/>
                <w:bCs/>
                <w:sz w:val="22"/>
                <w:szCs w:val="22"/>
              </w:rPr>
              <w:t xml:space="preserve">TOTAL ESTIMADO</w:t>
            </w:r>
          </w:p>
        </w:tc>
        <w:tc>
          <w:tcPr>
            <w:tcW w:type="dxa" w:w="1800"/>
            <w:tcBorders>
              <w:top w:val="single" w:color="BFCEDC" w:sz="4"/>
              <w:left w:val="single" w:color="BFCEDC" w:sz="4"/>
              <w:bottom w:val="single" w:color="BFCEDC" w:sz="4"/>
              <w:right w:val="single" w:color="BFCEDC" w:sz="4"/>
            </w:tcBorders>
            <w:shd w:fill="EAF1F8" w:val="clear"/>
            <w:tcMar>
              <w:top w:type="dxa" w:w="100"/>
              <w:left w:type="dxa" w:w="140"/>
              <w:bottom w:type="dxa" w:w="100"/>
              <w:right w:type="dxa" w:w="140"/>
            </w:tcMar>
          </w:tcPr>
          <w:p>
            <w:pPr>
              <w:spacing w:after="0"/>
            </w:pPr>
            <w:r>
              <w:rPr>
                <w:b/>
                <w:bCs/>
                <w:sz w:val="22"/>
                <w:szCs w:val="22"/>
              </w:rPr>
              <w:t xml:space="preserve">$180–$290 / mes</w:t>
            </w:r>
          </w:p>
        </w:tc>
        <w:tc>
          <w:tcPr>
            <w:tcW w:type="dxa" w:w="3360"/>
            <w:tcBorders>
              <w:top w:val="single" w:color="BFCEDC" w:sz="4"/>
              <w:left w:val="single" w:color="BFCEDC" w:sz="4"/>
              <w:bottom w:val="single" w:color="BFCEDC" w:sz="4"/>
              <w:right w:val="single" w:color="BFCEDC" w:sz="4"/>
            </w:tcBorders>
            <w:shd w:fill="EAF1F8" w:val="clear"/>
            <w:tcMar>
              <w:top w:type="dxa" w:w="100"/>
              <w:left w:type="dxa" w:w="140"/>
              <w:bottom w:type="dxa" w:w="100"/>
              <w:right w:type="dxa" w:w="140"/>
            </w:tcMar>
          </w:tcPr>
          <w:p>
            <w:pPr>
              <w:spacing w:after="0"/>
            </w:pPr>
            <w:r>
              <w:rPr>
                <w:sz w:val="22"/>
                <w:szCs w:val="22"/>
              </w:rPr>
              <w:t xml:space="preserve">Encaja en el budget de $50–$200/mes con ajuste mínimo.</w:t>
            </w:r>
          </w:p>
        </w:tc>
      </w:tr>
    </w:tbl>
    <w:p>
      <w:pPr>
        <w:spacing w:after="120"/>
      </w:pPr>
      <w:r>
        <w:t xml:space="preserve"/>
      </w:r>
    </w:p>
    <w:p>
      <w:pPr>
        <w:pStyle w:val="Heading2"/>
        <w:spacing w:after="120" w:before="280"/>
      </w:pPr>
      <w:r>
        <w:t xml:space="preserve">7.2 Cómo bajar a $150/mes si es necesario</w:t>
      </w:r>
    </w:p>
    <w:p>
      <w:pPr>
        <w:pStyle w:val="ListParagraph"/>
        <w:numPr>
          <w:ilvl w:val="0"/>
          <w:numId w:val="2"/>
        </w:numPr>
        <w:spacing w:after="60"/>
      </w:pPr>
      <w:r>
        <w:t xml:space="preserve">Empezar con la API on-demand de Miami-Dade ($0.20/req) en vez del bulk folder ($110): ahorra ~$50.</w:t>
      </w:r>
    </w:p>
    <w:p>
      <w:pPr>
        <w:pStyle w:val="ListParagraph"/>
        <w:numPr>
          <w:ilvl w:val="0"/>
          <w:numId w:val="2"/>
        </w:numPr>
        <w:spacing w:after="60"/>
      </w:pPr>
      <w:r>
        <w:t xml:space="preserve">Setear cap mensual en BatchSkipTracing (ej. $50): solo se trazan los top 200 leads del mes.</w:t>
      </w:r>
    </w:p>
    <w:p>
      <w:pPr>
        <w:pStyle w:val="ListParagraph"/>
        <w:numPr>
          <w:ilvl w:val="0"/>
          <w:numId w:val="2"/>
        </w:numPr>
        <w:spacing w:after="60"/>
      </w:pPr>
      <w:r>
        <w:t xml:space="preserve">Refresh cada 2 días en lugar de diario: corta a la mitad varios costos.</w:t>
      </w:r>
    </w:p>
    <w:p>
      <w:pPr>
        <w:pStyle w:val="Heading2"/>
        <w:spacing w:after="120" w:before="280"/>
      </w:pPr>
      <w:r>
        <w:t xml:space="preserve">7.3 ROI conservador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CEDC" w:sz="4"/>
              <w:bottom w:val="single" w:color="BFCEDC" w:sz="4"/>
              <w:right w:val="single" w:color="BFCEDC" w:sz="4"/>
            </w:tcBorders>
            <w:shd w:fill="EAF1F8" w:val="clear"/>
            <w:tcMar>
              <w:top w:type="dxa" w:w="200"/>
              <w:left w:type="dxa" w:w="240"/>
              <w:bottom w:type="dxa" w:w="200"/>
              <w:right w:type="dxa" w:w="240"/>
            </w:tcMar>
          </w:tcPr>
          <w:p>
            <w:pPr>
              <w:spacing w:after="80"/>
            </w:pPr>
            <w:r>
              <w:rPr>
                <w:b/>
                <w:bCs/>
                <w:color w:val="1F4E79"/>
                <w:sz w:val="24"/>
                <w:szCs w:val="24"/>
              </w:rPr>
              <w:t xml:space="preserve">Justificación del ROI</w:t>
            </w:r>
          </w:p>
          <w:p>
            <w:pPr>
              <w:spacing w:after="60"/>
            </w:pPr>
            <w:r>
              <w:rPr>
                <w:sz w:val="22"/>
                <w:szCs w:val="22"/>
              </w:rPr>
              <w:t xml:space="preserve">• 40 min/día × 22 días hábiles = 14.6 horas/mes ahorradas.</w:t>
            </w:r>
          </w:p>
          <w:p>
            <w:pPr>
              <w:spacing w:after="60"/>
            </w:pPr>
            <w:r>
              <w:rPr>
                <w:sz w:val="22"/>
                <w:szCs w:val="22"/>
              </w:rPr>
              <w:t xml:space="preserve">• Si el costo-oportunidad de esa hora es $50–$100, son $730–$1,460/mes ahorrados.</w:t>
            </w:r>
          </w:p>
          <w:p>
            <w:pPr>
              <w:spacing w:after="60"/>
            </w:pPr>
            <w:r>
              <w:rPr>
                <w:sz w:val="22"/>
                <w:szCs w:val="22"/>
              </w:rPr>
              <w:t xml:space="preserve">• Si UN solo deal extra cierra al año por llegar antes a un lead distressed, paga la herramienta varios años.</w:t>
            </w:r>
          </w:p>
        </w:tc>
      </w:tr>
    </w:tbl>
    <w:p>
      <w:pPr>
        <w:pStyle w:val="Heading1"/>
        <w:spacing w:after="180" w:before="360"/>
      </w:pPr>
      <w:r>
        <w:t xml:space="preserve">8. Consideraciones Legales y de Cumplimiento</w:t>
      </w:r>
    </w:p>
    <w:p>
      <w:pPr>
        <w:pStyle w:val="Heading2"/>
        <w:spacing w:after="120" w:before="280"/>
      </w:pPr>
      <w:r>
        <w:t xml:space="preserve">8.1 Acceso a registros</w:t>
      </w:r>
    </w:p>
    <w:p>
      <w:pPr>
        <w:pStyle w:val="ListParagraph"/>
        <w:numPr>
          <w:ilvl w:val="0"/>
          <w:numId w:val="2"/>
        </w:numPr>
        <w:spacing w:after="60"/>
      </w:pPr>
      <w:r>
        <w:t xml:space="preserve">Florida Sunshine Law (Capítulo 119) hace públicos casi todos estos registros. El acceso es legal.</w:t>
      </w:r>
    </w:p>
    <w:p>
      <w:pPr>
        <w:pStyle w:val="ListParagraph"/>
        <w:numPr>
          <w:ilvl w:val="0"/>
          <w:numId w:val="2"/>
        </w:numPr>
        <w:spacing w:after="60"/>
      </w:pPr>
      <w:r>
        <w:t xml:space="preserve">Las APIs oficiales de Miami-Dade y Broward Clerks tienen registros formales — la actividad es trazable y legítima.</w:t>
      </w:r>
    </w:p>
    <w:p>
      <w:pPr>
        <w:pStyle w:val="ListParagraph"/>
        <w:numPr>
          <w:ilvl w:val="0"/>
          <w:numId w:val="2"/>
        </w:numPr>
        <w:spacing w:after="60"/>
      </w:pPr>
      <w:r>
        <w:t xml:space="preserve">Tax Delinquent y Property Appraiser data son públicas por estatuto.</w:t>
      </w:r>
    </w:p>
    <w:p>
      <w:pPr>
        <w:pStyle w:val="Heading2"/>
        <w:spacing w:after="120" w:before="280"/>
      </w:pPr>
      <w:r>
        <w:t xml:space="preserve">8.2 Zillow</w:t>
      </w:r>
    </w:p>
    <w:p>
      <w:pPr>
        <w:pStyle w:val="ListParagraph"/>
        <w:numPr>
          <w:ilvl w:val="0"/>
          <w:numId w:val="2"/>
        </w:numPr>
        <w:spacing w:after="60"/>
      </w:pPr>
      <w:r>
        <w:t xml:space="preserve">Recomendación firme: NO scrapear Zillow. Viola sus ToS y no aporta data que no tengamos por vías oficiales.</w:t>
      </w:r>
    </w:p>
    <w:p>
      <w:pPr>
        <w:pStyle w:val="Heading2"/>
        <w:spacing w:after="120" w:before="280"/>
      </w:pPr>
      <w:r>
        <w:t xml:space="preserve">8.3 Cold-calling: TCPA / DNC</w:t>
      </w:r>
    </w:p>
    <w:p>
      <w:pPr>
        <w:pStyle w:val="ListParagraph"/>
        <w:numPr>
          <w:ilvl w:val="0"/>
          <w:numId w:val="2"/>
        </w:numPr>
        <w:spacing w:after="60"/>
      </w:pPr>
      <w:r>
        <w:t xml:space="preserve">El equipo de 101 Advisors debe scrub los números contra el National Do Not Call Registry (gratis para business use con permiso). El sistema puede integrarse con esa scrub API en Fase 4 para pre-filtrar.</w:t>
      </w:r>
    </w:p>
    <w:p>
      <w:pPr>
        <w:pStyle w:val="ListParagraph"/>
        <w:numPr>
          <w:ilvl w:val="0"/>
          <w:numId w:val="2"/>
        </w:numPr>
        <w:spacing w:after="60"/>
      </w:pPr>
      <w:r>
        <w:t xml:space="preserve">Florida tiene reglas adicionales (Florida Telephone Solicitation Act). Importante revisar con counsel del cliente.</w:t>
      </w:r>
    </w:p>
    <w:p>
      <w:pPr>
        <w:pStyle w:val="Heading2"/>
        <w:spacing w:after="120" w:before="280"/>
      </w:pPr>
      <w:r>
        <w:t xml:space="preserve">8.4 Datos personales</w:t>
      </w:r>
    </w:p>
    <w:p>
      <w:pPr>
        <w:pStyle w:val="ListParagraph"/>
        <w:numPr>
          <w:ilvl w:val="0"/>
          <w:numId w:val="2"/>
        </w:numPr>
        <w:spacing w:after="60"/>
      </w:pPr>
      <w:r>
        <w:t xml:space="preserve">Almacenar phones/emails de owners exige cuidado: no compartir esa data fuera del CRM autorizado.</w:t>
      </w:r>
    </w:p>
    <w:p>
      <w:pPr>
        <w:pStyle w:val="ListParagraph"/>
        <w:numPr>
          <w:ilvl w:val="0"/>
          <w:numId w:val="2"/>
        </w:numPr>
        <w:spacing w:after="60"/>
      </w:pPr>
      <w:r>
        <w:t xml:space="preserve">BatchSkipTracing tiene compliance con FCRA — pero el cliente no debe usar la data para empleo, crédito o seguros.</w:t>
      </w:r>
    </w:p>
    <w:p>
      <w:pPr>
        <w:pStyle w:val="Heading1"/>
        <w:spacing w:after="180" w:before="360"/>
      </w:pPr>
      <w:r>
        <w:t xml:space="preserve">9. Riesgos &amp;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Riesgo</w:t>
            </w:r>
          </w:p>
        </w:tc>
        <w:tc>
          <w:tcPr>
            <w:tcW w:type="dxa" w:w="150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Severidad</w:t>
            </w:r>
          </w:p>
        </w:tc>
        <w:tc>
          <w:tcPr>
            <w:tcW w:type="dxa" w:w="4360"/>
            <w:tcBorders>
              <w:top w:val="single" w:color="BFCEDC" w:sz="4"/>
              <w:left w:val="single" w:color="BFCEDC" w:sz="4"/>
              <w:bottom w:val="single" w:color="BFCEDC" w:sz="4"/>
              <w:right w:val="single" w:color="BFCEDC" w:sz="4"/>
            </w:tcBorders>
            <w:shd w:fill="1F4E79" w:val="clear"/>
            <w:tcMar>
              <w:top w:type="dxa" w:w="100"/>
              <w:left w:type="dxa" w:w="140"/>
              <w:bottom w:type="dxa" w:w="100"/>
              <w:right w:type="dxa" w:w="140"/>
            </w:tcMar>
          </w:tcPr>
          <w:p>
            <w:pPr>
              <w:spacing w:after="0"/>
            </w:pPr>
            <w:r>
              <w:rPr>
                <w:b/>
                <w:bCs/>
                <w:color w:val="FFFFFF"/>
                <w:sz w:val="22"/>
                <w:szCs w:val="22"/>
              </w:rPr>
              <w:t xml:space="preserve">Mitigación</w:t>
            </w:r>
          </w:p>
        </w:tc>
      </w:tr>
      <w:tr>
        <w:tc>
          <w:tcPr>
            <w:tcW w:type="dxa" w:w="35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Palm Beach no tiene API — cambios en eCaseView rompen el collector</w:t>
            </w:r>
          </w:p>
        </w:tc>
        <w:tc>
          <w:tcPr>
            <w:tcW w:type="dxa" w:w="15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Medio</w:t>
            </w:r>
          </w:p>
        </w:tc>
        <w:tc>
          <w:tcPr>
            <w:tcW w:type="dxa" w:w="4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Selectores en config aparte; alertas de fallo; fallback al reporte semanal pago.</w:t>
            </w:r>
          </w:p>
        </w:tc>
      </w:tr>
      <w:tr>
        <w:tc>
          <w:tcPr>
            <w:tcW w:type="dxa" w:w="35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Skip-tracing devuelve teléfonos malos</w:t>
            </w:r>
          </w:p>
        </w:tc>
        <w:tc>
          <w:tcPr>
            <w:tcW w:type="dxa" w:w="15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Bajo</w:t>
            </w:r>
          </w:p>
        </w:tc>
        <w:tc>
          <w:tcPr>
            <w:tcW w:type="dxa" w:w="4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BatchSkipTracing solo cobra por matches; flag de calidad por confidence score.</w:t>
            </w:r>
          </w:p>
        </w:tc>
      </w:tr>
      <w:tr>
        <w:tc>
          <w:tcPr>
            <w:tcW w:type="dxa" w:w="35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Costo se dispara con alto volumen</w:t>
            </w:r>
          </w:p>
        </w:tc>
        <w:tc>
          <w:tcPr>
            <w:tcW w:type="dxa" w:w="15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Bajo</w:t>
            </w:r>
          </w:p>
        </w:tc>
        <w:tc>
          <w:tcPr>
            <w:tcW w:type="dxa" w:w="4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Cap mensual configurable; alertas a Samuel cuando llega al 80%.</w:t>
            </w:r>
          </w:p>
        </w:tc>
      </w:tr>
      <w:tr>
        <w:tc>
          <w:tcPr>
            <w:tcW w:type="dxa" w:w="35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Property Appraiser cambia su HTML/endpoint</w:t>
            </w:r>
          </w:p>
        </w:tc>
        <w:tc>
          <w:tcPr>
            <w:tcW w:type="dxa" w:w="15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Medio</w:t>
            </w:r>
          </w:p>
        </w:tc>
        <w:tc>
          <w:tcPr>
            <w:tcW w:type="dxa" w:w="4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Tests de schema diarios; alerta inmediata; degradación elegante (lead va igual, sin units/beds).</w:t>
            </w:r>
          </w:p>
        </w:tc>
      </w:tr>
      <w:tr>
        <w:tc>
          <w:tcPr>
            <w:tcW w:type="dxa" w:w="3500"/>
            <w:tcBorders>
              <w:top w:val="single" w:color="BFCEDC" w:sz="4"/>
              <w:left w:val="single" w:color="BFCEDC" w:sz="4"/>
              <w:bottom w:val="single" w:color="BFCEDC" w:sz="4"/>
              <w:right w:val="single" w:color="BFCEDC" w:sz="4"/>
            </w:tcBorders>
            <w:shd w:fill="F4F8FB" w:val="clear"/>
            <w:tcMar>
              <w:top w:type="dxa" w:w="100"/>
              <w:left w:type="dxa" w:w="140"/>
              <w:bottom w:type="dxa" w:w="100"/>
              <w:right w:type="dxa" w:w="140"/>
            </w:tcMar>
          </w:tcPr>
          <w:p>
            <w:pPr>
              <w:spacing w:after="0"/>
            </w:pPr>
            <w:r>
              <w:rPr>
                <w:sz w:val="22"/>
                <w:szCs w:val="22"/>
              </w:rPr>
              <w:t xml:space="preserve">Cliente cambia criterios</w:t>
            </w:r>
          </w:p>
        </w:tc>
        <w:tc>
          <w:tcPr>
            <w:tcW w:type="dxa" w:w="150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Bajo</w:t>
            </w:r>
          </w:p>
        </w:tc>
        <w:tc>
          <w:tcPr>
            <w:tcW w:type="dxa" w:w="4360"/>
            <w:tcBorders>
              <w:top w:val="single" w:color="BFCEDC" w:sz="4"/>
              <w:left w:val="single" w:color="BFCEDC" w:sz="4"/>
              <w:bottom w:val="single" w:color="BFCEDC" w:sz="4"/>
              <w:right w:val="single" w:color="BFCEDC" w:sz="4"/>
            </w:tcBorders>
            <w:tcMar>
              <w:top w:type="dxa" w:w="100"/>
              <w:left w:type="dxa" w:w="140"/>
              <w:bottom w:type="dxa" w:w="100"/>
              <w:right w:type="dxa" w:w="140"/>
            </w:tcMar>
          </w:tcPr>
          <w:p>
            <w:pPr>
              <w:spacing w:after="0"/>
            </w:pPr>
            <w:r>
              <w:rPr>
                <w:sz w:val="22"/>
                <w:szCs w:val="22"/>
              </w:rPr>
              <w:t xml:space="preserve">Reglas en YAML; cambios sin re-deploy.</w:t>
            </w:r>
          </w:p>
        </w:tc>
      </w:tr>
    </w:tbl>
    <w:p>
      <w:pPr>
        <w:spacing w:after="120"/>
      </w:pPr>
      <w:r>
        <w:t xml:space="preserve"/>
      </w:r>
    </w:p>
    <w:p>
      <w:pPr>
        <w:pStyle w:val="Heading1"/>
        <w:spacing w:after="180" w:before="360"/>
      </w:pPr>
      <w:r>
        <w:t xml:space="preserve">10. Próximos Pasos</w:t>
      </w:r>
    </w:p>
    <w:p>
      <w:pPr>
        <w:pStyle w:val="ListParagraph"/>
        <w:numPr>
          <w:ilvl w:val="0"/>
          <w:numId w:val="3"/>
        </w:numPr>
        <w:spacing w:after="60"/>
      </w:pPr>
      <w:r>
        <w:t xml:space="preserve">Confirmar con 101 Advisors el CRM destino (Follow Up Boss, HubSpot, REI Reply, otro). Decisión bloquea Fase 4.</w:t>
      </w:r>
    </w:p>
    <w:p>
      <w:pPr>
        <w:pStyle w:val="ListParagraph"/>
        <w:numPr>
          <w:ilvl w:val="0"/>
          <w:numId w:val="3"/>
        </w:numPr>
        <w:spacing w:after="60"/>
      </w:pPr>
      <w:r>
        <w:t xml:space="preserve">Iniciar registro de Commercial Data Services en Miami-Dade (proceso ~3–5 días hábiles).</w:t>
      </w:r>
    </w:p>
    <w:p>
      <w:pPr>
        <w:pStyle w:val="ListParagraph"/>
        <w:numPr>
          <w:ilvl w:val="0"/>
          <w:numId w:val="3"/>
        </w:numPr>
        <w:spacing w:after="60"/>
      </w:pPr>
      <w:r>
        <w:t xml:space="preserve">Iniciar registro notariado de API Broward (proceso ~5–7 días hábiles, requiere notaría).</w:t>
      </w:r>
    </w:p>
    <w:p>
      <w:pPr>
        <w:pStyle w:val="ListParagraph"/>
        <w:numPr>
          <w:ilvl w:val="0"/>
          <w:numId w:val="3"/>
        </w:numPr>
        <w:spacing w:after="60"/>
      </w:pPr>
      <w:r>
        <w:t xml:space="preserve">Crear cuenta BatchSkipTracing y obtener API key.</w:t>
      </w:r>
    </w:p>
    <w:p>
      <w:pPr>
        <w:pStyle w:val="ListParagraph"/>
        <w:numPr>
          <w:ilvl w:val="0"/>
          <w:numId w:val="3"/>
        </w:numPr>
        <w:spacing w:after="60"/>
      </w:pPr>
      <w:r>
        <w:t xml:space="preserve">Setup repositorio privado de GitHub con CI configurado.</w:t>
      </w:r>
    </w:p>
    <w:p>
      <w:pPr>
        <w:pStyle w:val="ListParagraph"/>
        <w:numPr>
          <w:ilvl w:val="0"/>
          <w:numId w:val="3"/>
        </w:numPr>
        <w:spacing w:after="60"/>
      </w:pPr>
      <w:r>
        <w:t xml:space="preserve">Arrancar Fase 1 (MVP Miami-Dade) en paralelo a los registros administrativos.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CEDC" w:sz="4"/>
              <w:bottom w:val="single" w:color="BFCEDC" w:sz="4"/>
              <w:right w:val="single" w:color="BFCEDC" w:sz="4"/>
            </w:tcBorders>
            <w:shd w:fill="EAF1F8" w:val="clear"/>
            <w:tcMar>
              <w:top w:type="dxa" w:w="200"/>
              <w:left w:type="dxa" w:w="240"/>
              <w:bottom w:type="dxa" w:w="200"/>
              <w:right w:type="dxa" w:w="240"/>
            </w:tcMar>
          </w:tcPr>
          <w:p>
            <w:pPr>
              <w:spacing w:after="80"/>
            </w:pPr>
            <w:r>
              <w:rPr>
                <w:b/>
                <w:bCs/>
                <w:color w:val="1F4E79"/>
                <w:sz w:val="24"/>
                <w:szCs w:val="24"/>
              </w:rPr>
              <w:t xml:space="preserve">Decisiones que necesito de Samuel para arrancar</w:t>
            </w:r>
          </w:p>
          <w:p>
            <w:pPr>
              <w:spacing w:after="60"/>
            </w:pPr>
            <w:r>
              <w:rPr>
                <w:sz w:val="22"/>
                <w:szCs w:val="22"/>
              </w:rPr>
              <w:t xml:space="preserve">1. Confirmar el CRM destino (o decidir empezar solo con Sheets en Fase 1).</w:t>
            </w:r>
          </w:p>
          <w:p>
            <w:pPr>
              <w:spacing w:after="60"/>
            </w:pPr>
            <w:r>
              <w:rPr>
                <w:sz w:val="22"/>
                <w:szCs w:val="22"/>
              </w:rPr>
              <w:t xml:space="preserve">2. Aprobar arranque de registros en Miami-Dade y Broward (demoran más que el código).</w:t>
            </w:r>
          </w:p>
          <w:p>
            <w:pPr>
              <w:spacing w:after="60"/>
            </w:pPr>
            <w:r>
              <w:rPr>
                <w:sz w:val="22"/>
                <w:szCs w:val="22"/>
              </w:rPr>
              <w:t xml:space="preserve">3. Confirmar email del cliente para el digest diario.</w:t>
            </w:r>
          </w:p>
          <w:p>
            <w:pPr>
              <w:spacing w:after="60"/>
            </w:pPr>
            <w:r>
              <w:rPr>
                <w:sz w:val="22"/>
                <w:szCs w:val="22"/>
              </w:rPr>
              <w:t xml:space="preserve">4. Validar el budget objetivo: ¿$180–$290 OK o necesita estar bajo $200 estricto?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Propuesta v1.0</w:t>
    </w:r>
    <w:r>
      <w:rPr>
        <w:sz w:val="18"/>
        <w:szCs w:val="18"/>
      </w:rPr>
      <w:t xml:space="preserve">	</w:t>
    </w: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101 Advisors — Lead Gen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Advisors - Plataforma de Lead Generation</dc:title>
  <dc:creator>Samuel Reyes</dc:creator>
  <dc:description>Propuesta tecnica para automatizacion de busqueda de propiedades distressed en South Florida</dc:description>
  <cp:lastModifiedBy>Un-named</cp:lastModifiedBy>
  <cp:revision>1</cp:revision>
  <dcterms:created xsi:type="dcterms:W3CDTF">2026-05-06T16:11:20.284Z</dcterms:created>
  <dcterms:modified xsi:type="dcterms:W3CDTF">2026-05-06T16:11:20.286Z</dcterms:modified>
</cp:coreProperties>
</file>

<file path=docProps/custom.xml><?xml version="1.0" encoding="utf-8"?>
<Properties xmlns="http://schemas.openxmlformats.org/officeDocument/2006/custom-properties" xmlns:vt="http://schemas.openxmlformats.org/officeDocument/2006/docPropsVTypes"/>
</file>