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1E5B42"/>
          <w:sz w:val="24"/>
          <w:szCs w:val="24"/>
        </w:rPr>
        <w:t xml:space="preserve">UNIVERSIDAD DE CÓRDOBA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55D"/>
          <w:sz w:val="20"/>
          <w:szCs w:val="20"/>
        </w:rPr>
        <w:t xml:space="preserve">Facultad de Ingeniería · Programa de Ingeniería de Sistemas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Adenda de correcciones al SRS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B655D"/>
          <w:sz w:val="24"/>
          <w:szCs w:val="24"/>
        </w:rPr>
        <w:t xml:space="preserve">Requisitos completados y ajustes al documento de especificación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Asignatura: Ingeniería de Software</w:t>
      </w:r>
    </w:p>
    <w:p>
      <w:pPr>
        <w:spacing w:after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Proyecto de aula: PreparIA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Manuel Esteban Díaz Restán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Samuel Darío Sáez González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Johan Andrés Parra Torres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Gabriel Esteban Arboleda Caballero</w:t>
      </w:r>
    </w:p>
    <w:p>
      <w:pPr>
        <w:spacing w:before="500"/>
        <w:jc w:val="center"/>
      </w:pPr>
      <w:r>
        <w:rPr>
          <w:rFonts w:ascii="Calibri" w:cs="Calibri" w:eastAsia="Calibri" w:hAnsi="Calibri"/>
          <w:color w:val="5B655D"/>
          <w:sz w:val="20"/>
          <w:szCs w:val="20"/>
        </w:rPr>
        <w:t xml:space="preserve">Montería, Colombia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Propósito de esta adenda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Durante la auditoría de trazabilidad entre la Especificación de Requisitos de Software y el código construido aparecieron dos clases de diferencias. Unas eran vacíos del software, y ya fueron implementadas. Otras eran errores del propio documento: casos en los que el código tomó la decisión correcta y el SRS quedó desactualizado.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Esta adenda documenta ambas cosas. La sección 1 registra los requisitos que pasaron a estar implementados; la sección 2 corrige el texto del SRS; la sección 3 recoge los cambios en el modelo de datos.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1. Requisitos completados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Estado de los siete requisitos funcionales después de las correcciones: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200"/>
        <w:gridCol w:w="3760"/>
      </w:tblGrid>
      <w:tr>
        <w:trPr>
          <w:tblHeader/>
        </w:trPr>
        <w:tc>
          <w:tcPr>
            <w:tcW w:type="dxa" w:w="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2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anterior</w:t>
            </w:r>
          </w:p>
        </w:tc>
        <w:tc>
          <w:tcPr>
            <w:tcW w:type="dxa" w:w="37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Estado actual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Autenticación de usuarios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 — se añadió cierre de sesión por inactividad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estudiantes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 — se capturan institución educativa, ciudad y teléfono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Gestión de perfiles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cumple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 — perfil propio y panel de administración de cuentas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Carga de contenido educativo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 — CRUD de preguntas y material, restringido a administradores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Realización de simulacros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 — cronómetro anclado a hora absoluta y bloqueo de copiado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Realización de exámenes estáticos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cumple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 — examen de nivelación con preguntas fijas</w:t>
            </w:r>
          </w:p>
        </w:tc>
      </w:tr>
      <w:tr>
        <w:tc>
          <w:tcPr>
            <w:tcW w:type="dxa" w:w="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RF-07</w:t>
            </w:r>
          </w:p>
        </w:tc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Seguimiento del progreso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Casos de uso del actor Administrador: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9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4.7 Generar reportes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Panel de reportes con resumen, rendimiento por estudiante, preguntas con mayor índice de error, descarga en CSV e impresión a PDF desde el navegador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4.8 Gestionar contenidos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Pestañas de Preguntas y Material en el panel de administración; las rutas de escritura exigen rol de administrador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4.9 Gestionar usuarios</w:t>
            </w:r>
          </w:p>
        </w:tc>
        <w:tc>
          <w:tcPr>
            <w:tcW w:type="dxa" w:w="6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Listado con búsqueda y filtros, edición, activación y desactivación de cuentas, y eliminación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2. Correcciones al texto del SRS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En los cinco puntos siguientes el software es correcto y el documento debe ajustarse.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5"/>
          <w:szCs w:val="25"/>
        </w:rPr>
        <w:t xml:space="preserve">2.1 Sección 7.2, RF-01 — Medio de autenticación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Dice</w:t>
            </w:r>
          </w:p>
        </w:tc>
        <w:tc>
          <w:tcPr>
            <w:tcW w:type="dxa" w:w="2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decir</w:t>
            </w:r>
          </w:p>
        </w:tc>
        <w:tc>
          <w:tcPr>
            <w:tcW w:type="dxa" w:w="37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«iniciar sesión con nombre de usuario y contraseña»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«iniciar sesión con correo electrónico y contraseña»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correo es único por diseño de la tabla usuario, evita colisiones de nombres y permite recuperar la cuenta. Es la práctica estándar en plataformas educativas.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5"/>
          <w:szCs w:val="25"/>
        </w:rPr>
        <w:t xml:space="preserve">2.2 Sección 6.4 — Restricción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Dice</w:t>
            </w:r>
          </w:p>
        </w:tc>
        <w:tc>
          <w:tcPr>
            <w:tcW w:type="dxa" w:w="2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decir</w:t>
            </w:r>
          </w:p>
        </w:tc>
        <w:tc>
          <w:tcPr>
            <w:tcW w:type="dxa" w:w="37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«se usará únicamente HTML, CSS, JAVASCRIPT y PostgreSQL»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«se usará JavaScript en cliente y servidor (Node.js con Express), sin frameworks de interfaz, y PostgreSQL como único motor de datos»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frontend efectivamente no usa frameworks. El backend necesita un entorno de ejecución, y ese entorno también es JavaScript, de modo que el espíritu de la restricción se mantiene: un solo lenguaje en todo el proyecto.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5"/>
          <w:szCs w:val="25"/>
        </w:rPr>
        <w:t xml:space="preserve">2.3 Sección 7.3, Mantenibilidad — Estructura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Dice</w:t>
            </w:r>
          </w:p>
        </w:tc>
        <w:tc>
          <w:tcPr>
            <w:tcW w:type="dxa" w:w="28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decir</w:t>
            </w:r>
          </w:p>
        </w:tc>
        <w:tc>
          <w:tcPr>
            <w:tcW w:type="dxa" w:w="37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«Carpetas organizadas: /public, /views, /db»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«Backend organizado en capas (routes, controllers, services, repositories) y frontend separado por páginas»</w:t>
            </w:r>
          </w:p>
        </w:tc>
        <w:tc>
          <w:tcPr>
            <w:tcW w:type="dxa" w:w="37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estructura construida separa responsabilidades mejor que la propuesta original y facilita las pruebas unitarias que exige el plan de pruebas.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5"/>
          <w:szCs w:val="25"/>
        </w:rPr>
        <w:t xml:space="preserve">2.4 Sección 7.3, Disponibilidad — Criterios alcanzables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Los tres criterios de disponibilidad (95 % de actividad, 99 % en semanas previas al examen y reinicio automático en menos de 5 minutos) no son verificables sobre la infraestructura gratuita en la que está desplegado el proyecto: el servicio se suspende por inactividad y el arranque en frío tarda alrededor de un minuto.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Dice</w:t>
            </w:r>
          </w:p>
        </w:tc>
        <w:tc>
          <w:tcPr>
            <w:tcW w:type="dxa" w:w="51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Debe decir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de actividad: la plataforma está disponible 95 % del tiempo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Tiempo de actividad: la plataforma responde correctamente en el 95 % de las peticiones recibidas, sin contar el arranque en frío propio del plan gratuito de despliegue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Recuperación ante caída: el sistema se reinicia automáticamente en menos de 5 minutos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Recuperación ante caída: el sistema se reinicia automáticamente sin intervención manual; el tiempo de reactivación depende del proveedor de despliegue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 en horas pico: 99 % en semanas pre-examen</w:t>
            </w:r>
          </w:p>
        </w:tc>
        <w:tc>
          <w:tcPr>
            <w:tcW w:type="dxa" w:w="51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Disponibilidad en horas pico: se documenta como objetivo de una futura fase con despliegue de pago, fuera del alcance de esta entrega</w:t>
            </w:r>
          </w:p>
        </w:tc>
      </w:tr>
    </w:tbl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Alternativa igualmente válida: dejar los criterios como están y declararlos explícitamente fuera del alcance de la entrega académica, igual que se hizo con los módulos de Matemáticas y Lectura Crítica.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C2C2C"/>
          <w:sz w:val="25"/>
          <w:szCs w:val="25"/>
        </w:rPr>
        <w:t xml:space="preserve">2.5 Sección 5.3 — Alcance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El alcance debe mencionar dos elementos que la versión original omitía y que sí forman parte del sistema entregado: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 examen estático de nivelación (RF-06), que asigna al estudiante un nivel académico a partir de un conjunto fijo de preguntas.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 panel de administración, interfaz web propia del actor Administrador, desde donde se gestionan cuentas, banco de preguntas, material de estudio y reportes.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3. Cambios en el modelo de datos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Tres ajustes al esquema, todos aplicados mediante migraciones de Knex y reversibles: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Migración</w:t>
            </w:r>
          </w:p>
        </w:tc>
        <w:tc>
          <w:tcPr>
            <w:tcW w:type="dxa" w:w="340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Cambio</w:t>
            </w:r>
          </w:p>
        </w:tc>
        <w:tc>
          <w:tcPr>
            <w:tcW w:type="dxa" w:w="3960"/>
            <w:shd w:fill="E2EDE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20260905000001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 la tabla contenido_nodo si no existe y migra los datos de material_estudio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código ya usaba esta tabla, pero no estaba ni en schema.sql ni en ninguna migración: existía solo en la base de datos de desarrollo. Sin ella, una instalación limpia falla al abrir el material de estudio.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20260905000002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Añade telefono a perfil_estudiante y asegura institucion y ciudad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de contacto e institución educativa exigidos por RF-02.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20260905000003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Añade ultima_actividad a sesion_usuario e indexa token_hash</w:t>
            </w:r>
          </w:p>
        </w:tc>
        <w:tc>
          <w:tcPr>
            <w:tcW w:type="dxa" w:w="39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Permite medir la inactividad y cerrar la sesión a los 30 minutos, como pide el requisito no funcional de seguridad.</w:t>
            </w:r>
          </w:p>
        </w:tc>
      </w:tr>
    </w:tbl>
    <w:p>
      <w:pPr>
        <w:pBdr>
          <w:left w:val="single" w:color="B4761A" w:sz="12" w:space="8"/>
        </w:pBdr>
        <w:shd w:fill="FFF6E0" w:val="clear"/>
        <w:spacing w:after="180" w:before="120" w:line="276"/>
        <w:ind w:left="215"/>
      </w:pPr>
      <w:r>
        <w:rPr>
          <w:rFonts w:ascii="Calibri" w:cs="Calibri" w:eastAsia="Calibri" w:hAnsi="Calibri"/>
          <w:sz w:val="21"/>
          <w:szCs w:val="21"/>
        </w:rPr>
        <w:t xml:space="preserve">El diagrama relacional del capítulo II debe actualizarse para incluir contenido_nodo y los campos nuevos de perfil_estudiante y sesion_usuario.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E5B42"/>
          <w:sz w:val="30"/>
          <w:szCs w:val="30"/>
        </w:rPr>
        <w:t xml:space="preserve">4. Trabajo pendiente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Estas tareas quedan fuera de las correcciones aplicadas y siguen en la lista del proyecto: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Ejecutar y documentar los 50 casos de prueba comprometidos en el capítulo III. No hay evidencia de ejecución de ninguno.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Medir efectivamente los criterios de rendimiento: tiempo de respuesta bajo 2 segundos y consultas a la base de datos bajo 500 milisegundos.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Prueba de resistencia con 10 usuarios concurrentes, tal como describe el escenario del plan de pruebas.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Verificación de la interfaz en dispositivos móviles reales, especialmente la pantalla de simulacro.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2026-09-05T20:11:08.798Z</dcterms:created>
  <dcterms:modified xsi:type="dcterms:W3CDTF">2026-09-05T20:11:08.798Z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