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A97D37">
      <w:pPr>
        <w:pStyle w:val="7"/>
        <w:spacing w:after="280"/>
        <w:jc w:val="center"/>
        <w:rPr>
          <w:rFonts w:hint="default" w:eastAsia="Noto Sans SC"/>
          <w:lang w:val="en-US" w:eastAsia="zh-CN"/>
        </w:rPr>
      </w:pPr>
      <w:r>
        <w:rPr>
          <w:rFonts w:hint="eastAsia"/>
          <w:lang w:val="en-US" w:eastAsia="zh-CN"/>
        </w:rPr>
        <w:t>任务要求</w:t>
      </w:r>
    </w:p>
    <w:p w14:paraId="6B720147">
      <w:pPr>
        <w:pStyle w:val="8"/>
        <w:rPr>
          <w:rFonts w:hint="default" w:ascii="Noto Sans SC" w:hAnsi="Noto Sans SC" w:eastAsia="Noto Sans SC"/>
          <w:b w:val="0"/>
          <w:color w:val="000000"/>
          <w:sz w:val="22"/>
          <w:lang w:val="en-US" w:eastAsia="zh-CN"/>
        </w:rPr>
      </w:pPr>
      <w:r>
        <w:rPr>
          <w:rFonts w:hint="eastAsia"/>
          <w:b/>
          <w:color w:val="000000"/>
          <w:sz w:val="30"/>
          <w:lang w:val="en-US" w:eastAsia="zh-CN"/>
        </w:rPr>
        <w:t>执行任务清单</w:t>
      </w:r>
    </w:p>
    <w:p w14:paraId="7597EA51">
      <w:pPr>
        <w:pStyle w:val="11"/>
        <w:numPr>
          <w:ilvl w:val="0"/>
          <w:numId w:val="1"/>
        </w:numPr>
        <w:spacing w:after="60"/>
        <w:ind w:left="425" w:leftChars="0" w:hanging="425" w:firstLineChars="0"/>
        <w:rPr>
          <w:rFonts w:ascii="Noto Sans SC" w:hAnsi="Noto Sans SC" w:eastAsia="Noto Sans SC"/>
          <w:b/>
          <w:bCs/>
          <w:color w:val="000000"/>
          <w:sz w:val="22"/>
        </w:rPr>
      </w:pPr>
      <w:r>
        <w:rPr>
          <w:rFonts w:hint="eastAsia" w:ascii="Noto Sans SC" w:hAnsi="Noto Sans SC" w:eastAsia="Noto Sans SC"/>
          <w:b/>
          <w:bCs/>
          <w:color w:val="000000"/>
          <w:sz w:val="22"/>
          <w:lang w:val="en-US" w:eastAsia="zh-CN"/>
        </w:rPr>
        <w:t>报告（</w:t>
      </w:r>
      <w:r>
        <w:rPr>
          <w:rFonts w:ascii="Noto Sans SC" w:hAnsi="Noto Sans SC" w:eastAsia="Noto Sans SC"/>
          <w:b/>
          <w:bCs/>
          <w:color w:val="000000"/>
          <w:sz w:val="22"/>
        </w:rPr>
        <w:t>规范的Word报告及参考文献</w:t>
      </w:r>
      <w:r>
        <w:rPr>
          <w:rFonts w:hint="eastAsia" w:ascii="Noto Sans SC" w:hAnsi="Noto Sans SC" w:eastAsia="Noto Sans SC"/>
          <w:b/>
          <w:bCs/>
          <w:color w:val="000000"/>
          <w:sz w:val="22"/>
          <w:lang w:eastAsia="zh-CN"/>
        </w:rPr>
        <w:t>）</w:t>
      </w:r>
      <w:r>
        <w:rPr>
          <w:rFonts w:ascii="Noto Sans SC" w:hAnsi="Noto Sans SC" w:eastAsia="Noto Sans SC"/>
          <w:b/>
          <w:bCs/>
          <w:color w:val="000000"/>
          <w:sz w:val="22"/>
        </w:rPr>
        <w:t>；</w:t>
      </w:r>
    </w:p>
    <w:p w14:paraId="60C78222">
      <w:pPr>
        <w:pStyle w:val="11"/>
        <w:numPr>
          <w:ilvl w:val="0"/>
          <w:numId w:val="1"/>
        </w:numPr>
        <w:spacing w:after="60"/>
        <w:ind w:left="425" w:leftChars="0" w:hanging="425" w:firstLineChars="0"/>
        <w:rPr>
          <w:rFonts w:hint="eastAsia" w:ascii="Noto Sans SC" w:hAnsi="Noto Sans SC" w:eastAsia="Noto Sans SC"/>
          <w:b/>
          <w:bCs/>
          <w:color w:val="000000"/>
          <w:sz w:val="22"/>
          <w:lang w:val="en-US" w:eastAsia="zh-CN"/>
        </w:rPr>
      </w:pPr>
      <w:r>
        <w:rPr>
          <w:rFonts w:ascii="Noto Sans SC" w:hAnsi="Noto Sans SC" w:eastAsia="Noto Sans SC"/>
          <w:b/>
          <w:bCs/>
          <w:color w:val="000000"/>
          <w:sz w:val="22"/>
        </w:rPr>
        <w:t>系统架构图、工作流程图和图谱结构图；</w:t>
      </w:r>
    </w:p>
    <w:p w14:paraId="3819C2F0">
      <w:pPr>
        <w:pStyle w:val="11"/>
        <w:numPr>
          <w:ilvl w:val="0"/>
          <w:numId w:val="1"/>
        </w:numPr>
        <w:spacing w:after="60"/>
        <w:ind w:left="425" w:leftChars="0" w:hanging="425" w:firstLineChars="0"/>
        <w:rPr>
          <w:rFonts w:hint="default" w:ascii="Noto Sans SC" w:hAnsi="Noto Sans SC" w:eastAsia="Noto Sans SC"/>
          <w:b/>
          <w:bCs/>
          <w:color w:val="0000FF"/>
          <w:sz w:val="22"/>
          <w:lang w:val="en-US" w:eastAsia="zh-CN"/>
        </w:rPr>
      </w:pPr>
      <w:r>
        <w:rPr>
          <w:rFonts w:hint="eastAsia" w:ascii="Noto Sans SC" w:hAnsi="Noto Sans SC" w:eastAsia="Noto Sans SC"/>
          <w:b/>
          <w:bCs/>
          <w:color w:val="0000FF"/>
          <w:sz w:val="22"/>
          <w:lang w:val="en-US" w:eastAsia="zh-CN"/>
        </w:rPr>
        <w:t>欢迎感兴趣并有余力的同学，参与真实Agent搭建：</w:t>
      </w:r>
    </w:p>
    <w:p w14:paraId="70309784">
      <w:pPr>
        <w:pStyle w:val="11"/>
        <w:numPr>
          <w:ilvl w:val="0"/>
          <w:numId w:val="2"/>
        </w:numPr>
        <w:spacing w:after="60"/>
        <w:ind w:left="425" w:leftChars="0" w:hanging="425" w:firstLineChars="0"/>
      </w:pPr>
      <w:r>
        <w:rPr>
          <w:rFonts w:ascii="Noto Sans SC" w:hAnsi="Noto Sans SC" w:eastAsia="Noto Sans SC"/>
          <w:b w:val="0"/>
          <w:color w:val="000000"/>
          <w:sz w:val="22"/>
        </w:rPr>
        <w:t>论文解析、清洗、切分与证据编号结果；</w:t>
      </w:r>
    </w:p>
    <w:p w14:paraId="5A708DB5">
      <w:pPr>
        <w:pStyle w:val="11"/>
        <w:numPr>
          <w:ilvl w:val="0"/>
          <w:numId w:val="2"/>
        </w:numPr>
        <w:spacing w:after="60"/>
        <w:ind w:left="425" w:leftChars="0" w:hanging="425" w:firstLineChars="0"/>
      </w:pPr>
      <w:r>
        <w:rPr>
          <w:rFonts w:ascii="Noto Sans SC" w:hAnsi="Noto Sans SC" w:eastAsia="Noto Sans SC"/>
          <w:b w:val="0"/>
          <w:color w:val="000000"/>
          <w:sz w:val="22"/>
        </w:rPr>
        <w:t>知识图谱节点、关系和字段数据字典；</w:t>
      </w:r>
    </w:p>
    <w:p w14:paraId="07589F7B">
      <w:pPr>
        <w:pStyle w:val="11"/>
        <w:numPr>
          <w:ilvl w:val="0"/>
          <w:numId w:val="2"/>
        </w:numPr>
        <w:spacing w:after="60"/>
        <w:ind w:left="425" w:leftChars="0" w:hanging="425" w:firstLineChars="0"/>
      </w:pPr>
      <w:r>
        <w:rPr>
          <w:rFonts w:ascii="Noto Sans SC" w:hAnsi="Noto Sans SC" w:eastAsia="Noto Sans SC"/>
          <w:b w:val="0"/>
          <w:color w:val="000000"/>
          <w:sz w:val="22"/>
        </w:rPr>
        <w:t>LangGraph工作流、Agent提示词和结构化输出Schema；</w:t>
      </w:r>
    </w:p>
    <w:p w14:paraId="55DB44F6">
      <w:pPr>
        <w:pStyle w:val="11"/>
        <w:numPr>
          <w:ilvl w:val="0"/>
          <w:numId w:val="2"/>
        </w:numPr>
        <w:spacing w:after="60"/>
        <w:ind w:left="425" w:leftChars="0" w:hanging="425" w:firstLineChars="0"/>
      </w:pPr>
      <w:r>
        <w:rPr>
          <w:rFonts w:ascii="Noto Sans SC" w:hAnsi="Noto Sans SC" w:eastAsia="Noto Sans SC"/>
          <w:b w:val="0"/>
          <w:color w:val="000000"/>
          <w:sz w:val="22"/>
        </w:rPr>
        <w:t>候选池、实验结果接口、规则校验和Memory写回代码；</w:t>
      </w:r>
    </w:p>
    <w:p w14:paraId="2A2A9059">
      <w:pPr>
        <w:pStyle w:val="11"/>
        <w:numPr>
          <w:ilvl w:val="0"/>
          <w:numId w:val="2"/>
        </w:numPr>
        <w:spacing w:after="60"/>
        <w:ind w:left="425" w:leftChars="0" w:hanging="425" w:firstLineChars="0"/>
      </w:pPr>
      <w:r>
        <w:rPr>
          <w:rFonts w:hint="eastAsia" w:ascii="Noto Sans SC" w:hAnsi="Noto Sans SC" w:eastAsia="Noto Sans SC"/>
          <w:b w:val="0"/>
          <w:color w:val="000000"/>
          <w:sz w:val="22"/>
          <w:lang w:val="en-US" w:eastAsia="zh-CN"/>
        </w:rPr>
        <w:t>消融</w:t>
      </w:r>
      <w:r>
        <w:rPr>
          <w:rFonts w:ascii="Noto Sans SC" w:hAnsi="Noto Sans SC" w:eastAsia="Noto Sans SC"/>
          <w:b w:val="0"/>
          <w:color w:val="000000"/>
          <w:sz w:val="22"/>
        </w:rPr>
        <w:t>实验原始日志、结果表和绘图代码；</w:t>
      </w:r>
    </w:p>
    <w:p w14:paraId="33BF024B">
      <w:pPr>
        <w:pStyle w:val="11"/>
        <w:numPr>
          <w:ilvl w:val="0"/>
          <w:numId w:val="2"/>
        </w:numPr>
        <w:spacing w:after="60"/>
        <w:ind w:left="425" w:leftChars="0" w:hanging="425" w:firstLineChars="0"/>
      </w:pPr>
      <w:r>
        <w:rPr>
          <w:rFonts w:ascii="Noto Sans SC" w:hAnsi="Noto Sans SC" w:eastAsia="Noto Sans SC"/>
          <w:b w:val="0"/>
          <w:color w:val="000000"/>
          <w:sz w:val="22"/>
        </w:rPr>
        <w:t>成功案例、失败案例及完整证据链。</w:t>
      </w:r>
    </w:p>
    <w:p w14:paraId="2B0BB254">
      <w:pPr>
        <w:pStyle w:val="8"/>
        <w:rPr>
          <w:rFonts w:hint="default" w:ascii="Noto Sans SC" w:hAnsi="Noto Sans SC" w:eastAsia="Noto Sans SC"/>
          <w:b/>
          <w:color w:val="000000"/>
          <w:sz w:val="30"/>
          <w:lang w:val="en-US" w:eastAsia="zh-CN"/>
        </w:rPr>
      </w:pPr>
      <w:r>
        <w:rPr>
          <w:rFonts w:hint="eastAsia"/>
          <w:b/>
          <w:color w:val="000000"/>
          <w:sz w:val="30"/>
          <w:lang w:val="en-US" w:eastAsia="zh-CN"/>
        </w:rPr>
        <w:t>Agent搭建指南（同时结合参考报告中相关模块</w:t>
      </w:r>
      <w:bookmarkStart w:id="0" w:name="_GoBack"/>
      <w:bookmarkEnd w:id="0"/>
      <w:r>
        <w:rPr>
          <w:rFonts w:hint="eastAsia"/>
          <w:b/>
          <w:color w:val="000000"/>
          <w:sz w:val="30"/>
          <w:lang w:val="en-US" w:eastAsia="zh-CN"/>
        </w:rPr>
        <w:t>信息）：</w:t>
      </w:r>
    </w:p>
    <w:p w14:paraId="46595160">
      <w:pPr>
        <w:pStyle w:val="8"/>
      </w:pPr>
      <w:r>
        <w:rPr>
          <w:rFonts w:ascii="Noto Sans SC" w:hAnsi="Noto Sans SC" w:eastAsia="Noto Sans SC"/>
          <w:b/>
          <w:color w:val="000000"/>
          <w:sz w:val="30"/>
        </w:rPr>
        <w:t>一 项目定位</w:t>
      </w:r>
    </w:p>
    <w:p w14:paraId="6C677F39">
      <w:r>
        <w:rPr>
          <w:rFonts w:ascii="Noto Sans SC" w:hAnsi="Noto Sans SC" w:eastAsia="Noto Sans SC"/>
          <w:b w:val="0"/>
          <w:color w:val="000000"/>
          <w:sz w:val="22"/>
        </w:rPr>
        <w:t>本项目面向抗反向电流HER催化剂研发，重点搭建能够连接领域文献、历史实验和候选设计的科研决策Agent。自动化实验平台作为实验执行的承接系统，接收Agent生成的结构化实验任务，完成材料制备与电化学测试，并将结果返回决策端；比赛工作的重点在</w:t>
      </w:r>
      <w:r>
        <w:rPr>
          <w:rFonts w:ascii="Noto Sans SC" w:hAnsi="Noto Sans SC" w:eastAsia="Noto Sans SC"/>
          <w:b w:val="0"/>
          <w:color w:val="0000FF"/>
          <w:sz w:val="22"/>
        </w:rPr>
        <w:t>Agent工作流、文献知识库和图谱科研记忆</w:t>
      </w:r>
      <w:r>
        <w:rPr>
          <w:rFonts w:ascii="Noto Sans SC" w:hAnsi="Noto Sans SC" w:eastAsia="Noto Sans SC"/>
          <w:b w:val="0"/>
          <w:color w:val="000000"/>
          <w:sz w:val="22"/>
        </w:rPr>
        <w:t>。</w:t>
      </w:r>
    </w:p>
    <w:p w14:paraId="620227CD">
      <w:r>
        <w:rPr>
          <w:rFonts w:ascii="Noto Sans SC" w:hAnsi="Noto Sans SC" w:eastAsia="Noto Sans SC"/>
          <w:b w:val="0"/>
          <w:color w:val="000000"/>
          <w:sz w:val="22"/>
        </w:rPr>
        <w:t>当前系统以212种多元素合金组成为候选池，以固定运行条件下的槽电压作为HER综合性能代理指标。</w:t>
      </w:r>
      <w:r>
        <w:rPr>
          <w:rFonts w:ascii="Noto Sans SC" w:hAnsi="Noto Sans SC" w:eastAsia="Noto Sans SC"/>
          <w:b w:val="0"/>
          <w:color w:val="0000FF"/>
          <w:sz w:val="22"/>
        </w:rPr>
        <w:t>Agent只能读取候选组成，不能预先查看测试结果；提交候选后，由实验结果接口返回对应槽电压。</w:t>
      </w:r>
    </w:p>
    <w:p w14:paraId="4E9B7601">
      <w:pPr>
        <w:pStyle w:val="8"/>
      </w:pPr>
      <w:r>
        <w:rPr>
          <w:rFonts w:ascii="Noto Sans SC" w:hAnsi="Noto Sans SC" w:eastAsia="Noto Sans SC"/>
          <w:b/>
          <w:color w:val="000000"/>
          <w:sz w:val="30"/>
        </w:rPr>
        <w:t>二 核心工作流程</w:t>
      </w:r>
    </w:p>
    <w:p w14:paraId="270DFE42">
      <w:r>
        <w:rPr>
          <w:rFonts w:ascii="Noto Sans SC" w:hAnsi="Noto Sans SC" w:eastAsia="Noto Sans SC"/>
          <w:b w:val="0"/>
          <w:color w:val="000000"/>
          <w:sz w:val="22"/>
        </w:rPr>
        <w:t>系统不预置基础实验结果，第一轮直接由文献知识完成冷启动。实验结果从第一轮开始逐步写入图谱科研记忆，第二轮及以后同时利用文献证据和历史实验进行候选选择。</w:t>
      </w:r>
    </w:p>
    <w:p w14:paraId="01E88DF3">
      <w:r>
        <w:rPr>
          <w:rFonts w:ascii="Noto Sans SC" w:hAnsi="Noto Sans SC" w:eastAsia="Noto Sans SC"/>
          <w:b w:val="0"/>
          <w:color w:val="000000"/>
          <w:sz w:val="22"/>
        </w:rPr>
        <w:t>文献冷启动 → 文献与图谱检索 → 候选设计 → 规则校验 → 实验任务下发 → 结果返回 → 结果诊断 → 科研记忆更新 → 下一轮候选设计</w:t>
      </w:r>
    </w:p>
    <w:p w14:paraId="1480AC06">
      <w:r>
        <w:rPr>
          <w:rFonts w:ascii="Noto Sans SC" w:hAnsi="Noto Sans SC" w:eastAsia="Noto Sans SC"/>
          <w:b w:val="0"/>
          <w:color w:val="000000"/>
          <w:sz w:val="22"/>
        </w:rPr>
        <w:t>Agent不承担精确槽电压预测模型的训练，主要输出下一轮候选、预期改善方向、选择理由、引用证据和参考实验；槽电压查询、组成校验、指标计算和结果写回由确定性程序完成。</w:t>
      </w:r>
    </w:p>
    <w:p w14:paraId="05D30003">
      <w:pPr>
        <w:pStyle w:val="8"/>
      </w:pPr>
      <w:r>
        <w:rPr>
          <w:rFonts w:ascii="Noto Sans SC" w:hAnsi="Noto Sans SC" w:eastAsia="Noto Sans SC"/>
          <w:b/>
          <w:color w:val="000000"/>
          <w:sz w:val="30"/>
        </w:rPr>
        <w:t>三 科研记忆设计</w:t>
      </w:r>
    </w:p>
    <w:p w14:paraId="6C9848D9">
      <w:r>
        <w:rPr>
          <w:rFonts w:ascii="Noto Sans SC" w:hAnsi="Noto Sans SC" w:eastAsia="Noto Sans SC"/>
          <w:b w:val="0"/>
          <w:color w:val="000000"/>
          <w:sz w:val="22"/>
        </w:rPr>
        <w:t>科研记忆由</w:t>
      </w:r>
      <w:r>
        <w:rPr>
          <w:rFonts w:ascii="Noto Sans SC" w:hAnsi="Noto Sans SC" w:eastAsia="Noto Sans SC"/>
          <w:b w:val="0"/>
          <w:color w:val="0000FF"/>
          <w:sz w:val="22"/>
        </w:rPr>
        <w:t>文献知识库和知识图谱</w:t>
      </w:r>
      <w:r>
        <w:rPr>
          <w:rFonts w:ascii="Noto Sans SC" w:hAnsi="Noto Sans SC" w:eastAsia="Noto Sans SC"/>
          <w:b w:val="0"/>
          <w:color w:val="000000"/>
          <w:sz w:val="22"/>
        </w:rPr>
        <w:t>共同组成。文献知识库保存可追溯的原始证据片段，知识图谱负责关联材料、元素、实验、结果和决策。图谱统一划分为</w:t>
      </w:r>
      <w:r>
        <w:rPr>
          <w:rFonts w:ascii="Noto Sans SC" w:hAnsi="Noto Sans SC" w:eastAsia="Noto Sans SC"/>
          <w:b w:val="0"/>
          <w:color w:val="0000FF"/>
          <w:sz w:val="22"/>
        </w:rPr>
        <w:t>三个子图</w:t>
      </w:r>
      <w:r>
        <w:rPr>
          <w:rFonts w:ascii="Noto Sans SC" w:hAnsi="Noto Sans SC" w:eastAsia="Noto Sans SC"/>
          <w:b w:val="0"/>
          <w:color w:val="000000"/>
          <w:sz w:val="22"/>
        </w:rPr>
        <w:t>：</w:t>
      </w:r>
    </w:p>
    <w:tbl>
      <w:tblPr>
        <w:tblStyle w:val="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4"/>
        <w:gridCol w:w="3067"/>
        <w:gridCol w:w="3035"/>
      </w:tblGrid>
      <w:tr w14:paraId="0AD4490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6DD2F7">
            <w:pPr>
              <w:jc w:val="center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子图</w:t>
            </w:r>
          </w:p>
        </w:tc>
        <w:tc>
          <w:tcPr>
            <w:tcW w:w="2769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4EA1B6">
            <w:pPr>
              <w:jc w:val="center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主要内容</w:t>
            </w:r>
          </w:p>
        </w:tc>
        <w:tc>
          <w:tcPr>
            <w:tcW w:w="2769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C0997B">
            <w:pPr>
              <w:jc w:val="center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核心作用</w:t>
            </w:r>
          </w:p>
        </w:tc>
      </w:tr>
      <w:tr w14:paraId="6DFE03A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5AE3E2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文献知识子图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671206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论文、证据片段、元素、材料、条件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2E3A29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支持文献冷启动和证据追溯</w:t>
            </w:r>
          </w:p>
        </w:tc>
      </w:tr>
      <w:tr w14:paraId="7C3FEA5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C6EB3D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实验事实子图</w:t>
            </w:r>
          </w:p>
        </w:tc>
        <w:tc>
          <w:tcPr>
            <w:tcW w:w="3515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F0E2C9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实验、材料组成、槽电压、结果诊断</w:t>
            </w:r>
          </w:p>
        </w:tc>
        <w:tc>
          <w:tcPr>
            <w:tcW w:w="3515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2C0E99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保存成功与失败实验事实</w:t>
            </w:r>
          </w:p>
        </w:tc>
      </w:tr>
      <w:tr w14:paraId="65B1634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EB0630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决策轨迹子图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79DF85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候选选择、检索依据、预期方向、后续建议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CFF728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说明实验为何被选择以及如何影响下一轮</w:t>
            </w:r>
          </w:p>
        </w:tc>
      </w:tr>
    </w:tbl>
    <w:p w14:paraId="565D5EA0">
      <w:pPr>
        <w:spacing w:after="0"/>
      </w:pPr>
    </w:p>
    <w:p w14:paraId="1C56FC19">
      <w:pPr>
        <w:pStyle w:val="8"/>
      </w:pPr>
      <w:r>
        <w:rPr>
          <w:rFonts w:ascii="Noto Sans SC" w:hAnsi="Noto Sans SC" w:eastAsia="Noto Sans SC"/>
          <w:b/>
          <w:color w:val="000000"/>
          <w:sz w:val="30"/>
        </w:rPr>
        <w:t>四 主要任务</w:t>
      </w:r>
    </w:p>
    <w:p w14:paraId="28815007">
      <w:pPr>
        <w:pStyle w:val="11"/>
        <w:numPr>
          <w:ilvl w:val="0"/>
          <w:numId w:val="3"/>
        </w:numPr>
        <w:spacing w:after="60"/>
        <w:ind w:left="425" w:leftChars="0" w:hanging="425" w:firstLineChars="0"/>
      </w:pPr>
      <w:r>
        <w:rPr>
          <w:rFonts w:ascii="Noto Sans SC" w:hAnsi="Noto Sans SC" w:eastAsia="Noto Sans SC"/>
          <w:b w:val="0"/>
          <w:color w:val="000000"/>
          <w:sz w:val="22"/>
        </w:rPr>
        <w:t>建设HER及抗反向电流相关</w:t>
      </w:r>
      <w:r>
        <w:rPr>
          <w:rFonts w:ascii="Noto Sans SC" w:hAnsi="Noto Sans SC" w:eastAsia="Noto Sans SC"/>
          <w:b w:val="0"/>
          <w:color w:val="0000FF"/>
          <w:sz w:val="22"/>
        </w:rPr>
        <w:t>文献知识库</w:t>
      </w:r>
      <w:r>
        <w:rPr>
          <w:rFonts w:ascii="Noto Sans SC" w:hAnsi="Noto Sans SC" w:eastAsia="Noto Sans SC"/>
          <w:b w:val="0"/>
          <w:color w:val="000000"/>
          <w:sz w:val="22"/>
        </w:rPr>
        <w:t>，完成论文解析、清洗、分层切分、混合召回、重排和证据定位。</w:t>
      </w:r>
    </w:p>
    <w:p w14:paraId="01BB279E">
      <w:pPr>
        <w:pStyle w:val="11"/>
        <w:numPr>
          <w:ilvl w:val="0"/>
          <w:numId w:val="3"/>
        </w:numPr>
        <w:spacing w:after="60"/>
        <w:ind w:left="425" w:leftChars="0" w:hanging="425" w:firstLineChars="0"/>
      </w:pPr>
      <w:r>
        <w:rPr>
          <w:rFonts w:hint="eastAsia" w:ascii="Noto Sans SC" w:hAnsi="Noto Sans SC" w:eastAsia="Noto Sans SC"/>
          <w:b w:val="0"/>
          <w:color w:val="000000"/>
          <w:sz w:val="22"/>
          <w:lang w:val="en-US" w:eastAsia="zh-CN"/>
        </w:rPr>
        <w:t>基于neo4j等</w:t>
      </w:r>
      <w:r>
        <w:rPr>
          <w:rFonts w:ascii="Noto Sans SC" w:hAnsi="Noto Sans SC" w:eastAsia="Noto Sans SC"/>
          <w:b w:val="0"/>
          <w:color w:val="000000"/>
          <w:sz w:val="22"/>
        </w:rPr>
        <w:t>设计</w:t>
      </w:r>
      <w:r>
        <w:rPr>
          <w:rFonts w:ascii="Noto Sans SC" w:hAnsi="Noto Sans SC" w:eastAsia="Noto Sans SC"/>
          <w:b w:val="0"/>
          <w:color w:val="0000FF"/>
          <w:sz w:val="22"/>
        </w:rPr>
        <w:t>文献知识、实验事实和决策轨迹三个图谱子图</w:t>
      </w:r>
      <w:r>
        <w:rPr>
          <w:rFonts w:ascii="Noto Sans SC" w:hAnsi="Noto Sans SC" w:eastAsia="Noto Sans SC"/>
          <w:b w:val="0"/>
          <w:color w:val="000000"/>
          <w:sz w:val="22"/>
        </w:rPr>
        <w:t>，明确节点、关系、字段及写回规则。</w:t>
      </w:r>
    </w:p>
    <w:p w14:paraId="6513911A">
      <w:pPr>
        <w:pStyle w:val="11"/>
        <w:numPr>
          <w:ilvl w:val="0"/>
          <w:numId w:val="3"/>
        </w:numPr>
        <w:spacing w:after="60"/>
        <w:ind w:left="425" w:leftChars="0" w:hanging="425" w:firstLineChars="0"/>
      </w:pPr>
      <w:r>
        <w:rPr>
          <w:rFonts w:ascii="Noto Sans SC" w:hAnsi="Noto Sans SC" w:eastAsia="Noto Sans SC"/>
          <w:b w:val="0"/>
          <w:color w:val="0000FF"/>
          <w:sz w:val="22"/>
        </w:rPr>
        <w:t>使用LangGraph搭建单Agent闭环</w:t>
      </w:r>
      <w:r>
        <w:rPr>
          <w:rFonts w:ascii="Noto Sans SC" w:hAnsi="Noto Sans SC" w:eastAsia="Noto Sans SC"/>
          <w:b w:val="0"/>
          <w:color w:val="auto"/>
          <w:sz w:val="22"/>
        </w:rPr>
        <w:t>，组织</w:t>
      </w:r>
      <w:r>
        <w:rPr>
          <w:rFonts w:ascii="Noto Sans SC" w:hAnsi="Noto Sans SC" w:eastAsia="Noto Sans SC"/>
          <w:b w:val="0"/>
          <w:color w:val="000000"/>
          <w:sz w:val="22"/>
        </w:rPr>
        <w:t>检索、设计、校验、诊断和记忆更新节点。</w:t>
      </w:r>
    </w:p>
    <w:p w14:paraId="64F4ABD8">
      <w:pPr>
        <w:pStyle w:val="11"/>
        <w:numPr>
          <w:ilvl w:val="0"/>
          <w:numId w:val="3"/>
        </w:numPr>
        <w:spacing w:after="60"/>
        <w:ind w:left="425" w:leftChars="0" w:hanging="425" w:firstLineChars="0"/>
      </w:pPr>
      <w:r>
        <w:rPr>
          <w:rFonts w:ascii="Noto Sans SC" w:hAnsi="Noto Sans SC" w:eastAsia="Noto Sans SC"/>
          <w:b w:val="0"/>
          <w:color w:val="000000"/>
          <w:sz w:val="22"/>
        </w:rPr>
        <w:t>使用Python实现候选池读取、结构化实验任务、隐藏结果查询、指标计算及结果写回。</w:t>
      </w:r>
    </w:p>
    <w:p w14:paraId="6602A521">
      <w:pPr>
        <w:pStyle w:val="11"/>
        <w:numPr>
          <w:ilvl w:val="0"/>
          <w:numId w:val="3"/>
        </w:numPr>
        <w:spacing w:after="60"/>
        <w:ind w:left="425" w:leftChars="0" w:hanging="425" w:firstLineChars="0"/>
      </w:pPr>
      <w:r>
        <w:rPr>
          <w:rFonts w:ascii="Noto Sans SC" w:hAnsi="Noto Sans SC" w:eastAsia="Noto Sans SC"/>
          <w:b w:val="0"/>
          <w:color w:val="000000"/>
          <w:sz w:val="22"/>
        </w:rPr>
        <w:t>展示文献证据、实验轨迹、图谱更新过程和历史最佳槽电压变化。</w:t>
      </w:r>
    </w:p>
    <w:p w14:paraId="55A28B25">
      <w:pPr>
        <w:pStyle w:val="11"/>
        <w:numPr>
          <w:ilvl w:val="0"/>
          <w:numId w:val="3"/>
        </w:numPr>
        <w:spacing w:after="60"/>
        <w:ind w:left="425" w:leftChars="0" w:hanging="425" w:firstLineChars="0"/>
      </w:pPr>
      <w:r>
        <w:rPr>
          <w:rFonts w:ascii="Noto Sans SC" w:hAnsi="Noto Sans SC" w:eastAsia="Noto Sans SC"/>
          <w:b w:val="0"/>
          <w:bCs w:val="0"/>
          <w:color w:val="000000"/>
          <w:sz w:val="22"/>
        </w:rPr>
        <w:t>开展</w:t>
      </w:r>
      <w:r>
        <w:rPr>
          <w:rFonts w:ascii="Noto Sans SC" w:hAnsi="Noto Sans SC" w:eastAsia="Noto Sans SC"/>
          <w:b w:val="0"/>
          <w:color w:val="0000FF"/>
          <w:sz w:val="22"/>
        </w:rPr>
        <w:t>消融实验</w:t>
      </w:r>
      <w:r>
        <w:rPr>
          <w:rFonts w:ascii="Noto Sans SC" w:hAnsi="Noto Sans SC" w:eastAsia="Noto Sans SC"/>
          <w:b w:val="0"/>
          <w:color w:val="000000"/>
          <w:sz w:val="22"/>
        </w:rPr>
        <w:t>，比较随机搜索、仅文献Agent和文献加实验Memory Agent的筛选效率。</w:t>
      </w:r>
    </w:p>
    <w:p w14:paraId="2BF0BA6F">
      <w:pPr>
        <w:pStyle w:val="8"/>
        <w:rPr>
          <w:rFonts w:hint="eastAsia" w:eastAsia="Noto Sans SC"/>
          <w:lang w:val="en-US" w:eastAsia="zh-CN"/>
        </w:rPr>
      </w:pPr>
      <w:r>
        <w:rPr>
          <w:rFonts w:ascii="Noto Sans SC" w:hAnsi="Noto Sans SC" w:eastAsia="Noto Sans SC"/>
          <w:b/>
          <w:color w:val="000000"/>
          <w:sz w:val="30"/>
        </w:rPr>
        <w:t>五 验证内容与评价指标</w:t>
      </w:r>
      <w:r>
        <w:rPr>
          <w:rFonts w:hint="eastAsia"/>
          <w:b/>
          <w:color w:val="000000"/>
          <w:sz w:val="30"/>
          <w:lang w:eastAsia="zh-CN"/>
        </w:rPr>
        <w:t>（</w:t>
      </w:r>
      <w:r>
        <w:rPr>
          <w:rFonts w:hint="eastAsia"/>
          <w:b/>
          <w:color w:val="000000"/>
          <w:sz w:val="30"/>
          <w:lang w:val="en-US" w:eastAsia="zh-CN"/>
        </w:rPr>
        <w:t>可选几项</w:t>
      </w:r>
      <w:r>
        <w:rPr>
          <w:rFonts w:hint="eastAsia"/>
          <w:b/>
          <w:color w:val="000000"/>
          <w:sz w:val="30"/>
          <w:lang w:eastAsia="zh-CN"/>
        </w:rPr>
        <w:t>）</w:t>
      </w:r>
    </w:p>
    <w:p w14:paraId="6395F0F6">
      <w:r>
        <w:rPr>
          <w:rFonts w:ascii="Noto Sans SC" w:hAnsi="Noto Sans SC" w:eastAsia="Noto Sans SC"/>
          <w:b w:val="0"/>
          <w:color w:val="000000"/>
          <w:sz w:val="22"/>
        </w:rPr>
        <w:t>验证核心是：图谱科研记忆能否帮助Agent利用前几轮实验反馈，更快从候选空间中发现低槽电压组成。</w:t>
      </w:r>
    </w:p>
    <w:tbl>
      <w:tblPr>
        <w:tblStyle w:val="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5206"/>
      </w:tblGrid>
      <w:tr w14:paraId="1C24BCC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EFC0DB">
            <w:pPr>
              <w:jc w:val="center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评价维度</w:t>
            </w:r>
          </w:p>
        </w:tc>
        <w:tc>
          <w:tcPr>
            <w:tcW w:w="4153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7ACAC8">
            <w:pPr>
              <w:jc w:val="center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指标</w:t>
            </w:r>
          </w:p>
        </w:tc>
      </w:tr>
      <w:tr w14:paraId="051C0B4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572052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筛选效率</w:t>
            </w:r>
          </w:p>
        </w:tc>
        <w:tc>
          <w:tcPr>
            <w:tcW w:w="64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195850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达到Top 10%候选所需实验次数</w:t>
            </w:r>
          </w:p>
        </w:tc>
      </w:tr>
      <w:tr w14:paraId="186662E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4E37C9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优化过程</w:t>
            </w:r>
          </w:p>
        </w:tc>
        <w:tc>
          <w:tcPr>
            <w:tcW w:w="6463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47280B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历史最佳槽电压随实验轮次的变化</w:t>
            </w:r>
          </w:p>
        </w:tc>
      </w:tr>
      <w:tr w14:paraId="5DE3365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A2C747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判断质量</w:t>
            </w:r>
          </w:p>
        </w:tc>
        <w:tc>
          <w:tcPr>
            <w:tcW w:w="64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008901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下一候选可能改善的方向判断准确率</w:t>
            </w:r>
          </w:p>
        </w:tc>
      </w:tr>
      <w:tr w14:paraId="6EE4E9D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BBB364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搜索质量</w:t>
            </w:r>
          </w:p>
        </w:tc>
        <w:tc>
          <w:tcPr>
            <w:tcW w:w="6463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E18F6F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Top 10%候选发现数量与重复实验率</w:t>
            </w:r>
          </w:p>
        </w:tc>
      </w:tr>
      <w:tr w14:paraId="18E1F6E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263866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可信性</w:t>
            </w:r>
          </w:p>
        </w:tc>
        <w:tc>
          <w:tcPr>
            <w:tcW w:w="64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E78A32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决策证据可追溯率</w:t>
            </w:r>
          </w:p>
        </w:tc>
      </w:tr>
      <w:tr w14:paraId="4150A8B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997ADB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消融效果</w:t>
            </w:r>
          </w:p>
        </w:tc>
        <w:tc>
          <w:tcPr>
            <w:tcW w:w="6463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BB5FE5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完整Memory Agent相对随机搜索和仅文献Agent的提升</w:t>
            </w:r>
          </w:p>
        </w:tc>
      </w:tr>
    </w:tbl>
    <w:p w14:paraId="79D8CB47">
      <w:pPr>
        <w:pStyle w:val="11"/>
        <w:spacing w:after="6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D17DB5"/>
    <w:multiLevelType w:val="singleLevel"/>
    <w:tmpl w:val="9AD17DB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A360066C"/>
    <w:multiLevelType w:val="singleLevel"/>
    <w:tmpl w:val="A360066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FCCF925"/>
    <w:multiLevelType w:val="singleLevel"/>
    <w:tmpl w:val="AFCCF92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CD7934"/>
    <w:rsid w:val="07092752"/>
    <w:rsid w:val="10CD7934"/>
    <w:rsid w:val="194505FE"/>
    <w:rsid w:val="2267669D"/>
    <w:rsid w:val="2E162837"/>
    <w:rsid w:val="38871C41"/>
    <w:rsid w:val="3A232826"/>
    <w:rsid w:val="3C5568A5"/>
    <w:rsid w:val="3F9F728D"/>
    <w:rsid w:val="407A5DA9"/>
    <w:rsid w:val="4A3E412A"/>
    <w:rsid w:val="4A9500E9"/>
    <w:rsid w:val="4C021358"/>
    <w:rsid w:val="5368573F"/>
    <w:rsid w:val="577949F3"/>
    <w:rsid w:val="5A02755C"/>
    <w:rsid w:val="696B1F82"/>
    <w:rsid w:val="702E7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20" w:line="324" w:lineRule="auto"/>
      <w:jc w:val="both"/>
    </w:pPr>
    <w:rPr>
      <w:rFonts w:asciiTheme="minorHAnsi" w:hAnsiTheme="minorHAnsi" w:eastAsiaTheme="minorEastAsia" w:cstheme="minorBidi"/>
      <w:color w:val="000000"/>
      <w:kern w:val="2"/>
      <w:sz w:val="22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  <w:style w:type="paragraph" w:customStyle="1" w:styleId="7">
    <w:name w:val="Title"/>
    <w:basedOn w:val="1"/>
    <w:qFormat/>
    <w:uiPriority w:val="0"/>
    <w:pPr>
      <w:spacing w:before="0" w:after="120"/>
    </w:pPr>
    <w:rPr>
      <w:rFonts w:ascii="Noto Sans SC" w:hAnsi="Noto Sans SC" w:eastAsia="Noto Sans SC"/>
      <w:b/>
      <w:color w:val="000000"/>
      <w:sz w:val="36"/>
    </w:rPr>
  </w:style>
  <w:style w:type="paragraph" w:customStyle="1" w:styleId="8">
    <w:name w:val="heading 1"/>
    <w:basedOn w:val="1"/>
    <w:qFormat/>
    <w:uiPriority w:val="0"/>
    <w:pPr>
      <w:spacing w:before="200" w:after="120"/>
    </w:pPr>
    <w:rPr>
      <w:rFonts w:ascii="Noto Sans SC" w:hAnsi="Noto Sans SC" w:eastAsia="Noto Sans SC"/>
      <w:b/>
      <w:color w:val="000000"/>
      <w:sz w:val="30"/>
    </w:rPr>
  </w:style>
  <w:style w:type="paragraph" w:customStyle="1" w:styleId="9">
    <w:name w:val="heading 2"/>
    <w:basedOn w:val="1"/>
    <w:qFormat/>
    <w:uiPriority w:val="0"/>
    <w:pPr>
      <w:spacing w:before="200" w:after="120"/>
    </w:pPr>
    <w:rPr>
      <w:rFonts w:ascii="Noto Sans SC" w:hAnsi="Noto Sans SC" w:eastAsia="Noto Sans SC"/>
      <w:b/>
      <w:color w:val="000000"/>
      <w:sz w:val="26"/>
    </w:rPr>
  </w:style>
  <w:style w:type="paragraph" w:customStyle="1" w:styleId="10">
    <w:name w:val="heading 3"/>
    <w:basedOn w:val="1"/>
    <w:qFormat/>
    <w:uiPriority w:val="0"/>
    <w:pPr>
      <w:spacing w:before="200" w:after="120"/>
    </w:pPr>
    <w:rPr>
      <w:rFonts w:ascii="Noto Sans SC" w:hAnsi="Noto Sans SC" w:eastAsia="Noto Sans SC"/>
      <w:b/>
      <w:color w:val="000000"/>
      <w:sz w:val="23"/>
    </w:rPr>
  </w:style>
  <w:style w:type="paragraph" w:customStyle="1" w:styleId="11">
    <w:name w:val="List Bullet"/>
    <w:basedOn w:val="1"/>
    <w:qFormat/>
    <w:uiPriority w:val="0"/>
  </w:style>
  <w:style w:type="paragraph" w:customStyle="1" w:styleId="12">
    <w:name w:val="List Bullet 2"/>
    <w:basedOn w:val="11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1205</Words>
  <Characters>1325</Characters>
  <Lines>0</Lines>
  <Paragraphs>0</Paragraphs>
  <TotalTime>4</TotalTime>
  <ScaleCrop>false</ScaleCrop>
  <LinksUpToDate>false</LinksUpToDate>
  <CharactersWithSpaces>1350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2026-10-15T05:40:00Z</dcterms:created>
  <dc:creator>刘莉霜</dc:creator>
  <cp:lastModifiedBy>刘莉霜</cp:lastModifiedBy>
  <dcterms:modified xsi:type="dcterms:W3CDTF">2026-10-15T09:47:12Z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FD89BCEE781B41E4AF3D6913BF73E27E_13</vt:lpwstr>
  </property>
  <property fmtid="{D5CDD505-2E9C-101B-9397-08002B2CF9AE}" pid="4" name="KSOTemplateDocerSaveRecord">
    <vt:lpwstr>eyJoZGlkIjoiZDRkODllOTBkMjIyMWUxZjQ3NmFlYTUwMGU0NGJmYzciLCJ1c2VySWQiOiIxNzMxOTMzMzYwIn0=</vt:lpwstr>
  </property>
</Properties>
</file>