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7A36D">
      <w:pPr>
        <w:pStyle w:val="13"/>
        <w:spacing w:after="280"/>
        <w:jc w:val="center"/>
      </w:pPr>
      <w:r>
        <w:rPr>
          <w:rFonts w:ascii="Noto Sans SC" w:hAnsi="Noto Sans SC" w:eastAsia="Noto Sans SC"/>
          <w:b/>
          <w:color w:val="000000"/>
          <w:sz w:val="36"/>
        </w:rPr>
        <w:t>面向抗反向电流HER催化剂研发的智能筛选Agent</w:t>
      </w:r>
    </w:p>
    <w:p w14:paraId="167CCF28">
      <w:r>
        <w:rPr>
          <w:rFonts w:ascii="Noto Sans SC" w:hAnsi="Noto Sans SC" w:eastAsia="Noto Sans SC"/>
          <w:b w:val="0"/>
          <w:color w:val="000000"/>
          <w:sz w:val="22"/>
        </w:rPr>
        <w:t>本框架用于指导比赛报告撰写，报告重点是科研决策Agent的搭建，自动化实验平台仅作为实验任务的承接和结果返回系统。</w:t>
      </w:r>
    </w:p>
    <w:p w14:paraId="183A7F6F">
      <w:pPr>
        <w:pStyle w:val="2"/>
      </w:pPr>
      <w:r>
        <w:rPr>
          <w:rFonts w:ascii="Noto Sans SC" w:hAnsi="Noto Sans SC" w:eastAsia="Noto Sans SC"/>
          <w:b/>
          <w:color w:val="000000"/>
          <w:sz w:val="30"/>
        </w:rPr>
        <w:t>一 项目总体描述</w:t>
      </w:r>
    </w:p>
    <w:p w14:paraId="1627393F">
      <w:r>
        <w:rPr>
          <w:rFonts w:ascii="Noto Sans SC" w:hAnsi="Noto Sans SC" w:eastAsia="Noto Sans SC"/>
          <w:b w:val="0"/>
          <w:color w:val="000000"/>
          <w:sz w:val="22"/>
        </w:rPr>
        <w:t>本项目面向抗反向电流HER催化剂研发，构建由</w:t>
      </w:r>
      <w:r>
        <w:rPr>
          <w:rFonts w:ascii="Noto Sans SC" w:hAnsi="Noto Sans SC" w:eastAsia="Noto Sans SC"/>
          <w:b/>
          <w:bCs/>
          <w:color w:val="000000"/>
          <w:sz w:val="22"/>
        </w:rPr>
        <w:t>科研决策Agent、图谱科研记忆和自动化实验平台</w:t>
      </w:r>
      <w:r>
        <w:rPr>
          <w:rFonts w:ascii="Noto Sans SC" w:hAnsi="Noto Sans SC" w:eastAsia="Noto Sans SC"/>
          <w:b w:val="0"/>
          <w:color w:val="000000"/>
          <w:sz w:val="22"/>
        </w:rPr>
        <w:t>组成的实验反馈闭环。科研决策Agent从领域文献中获取元素性质、合金协同作用和候选设计依据，生成下一轮催化剂组成及结构化实验任务；自动化实验平台承接材料制备与电化学测试，并将结果返回决策端。</w:t>
      </w:r>
    </w:p>
    <w:p w14:paraId="3E652D2B">
      <w:r>
        <w:rPr>
          <w:rFonts w:ascii="Noto Sans SC" w:hAnsi="Noto Sans SC" w:eastAsia="Noto Sans SC"/>
          <w:b w:val="0"/>
          <w:color w:val="000000"/>
          <w:sz w:val="22"/>
        </w:rPr>
        <w:t>系统将每轮实验的材料组成、测试结果、文献依据、选择理由和诊断结论写入图谱科研记忆。随着实验开展，Agent能够检索并复用成功和失败经验，持续调整后续候选方案。</w:t>
      </w:r>
      <w:r>
        <w:rPr>
          <w:rFonts w:ascii="Noto Sans SC" w:hAnsi="Noto Sans SC" w:eastAsia="Noto Sans SC"/>
          <w:b/>
          <w:bCs/>
          <w:color w:val="000000"/>
          <w:sz w:val="22"/>
        </w:rPr>
        <w:t>总体流程：</w:t>
      </w:r>
      <w:r>
        <w:rPr>
          <w:rFonts w:ascii="Noto Sans SC" w:hAnsi="Noto Sans SC" w:eastAsia="Noto Sans SC"/>
          <w:b w:val="0"/>
          <w:color w:val="000000"/>
          <w:sz w:val="22"/>
        </w:rPr>
        <w:t>文献知识获取 → 文献与图谱检索 → 候选材料设计 → 规则校验 → 实验任务下发 → 结果返回 → 结果诊断 → 科研记忆更新 → 下一轮实验设计。</w:t>
      </w:r>
    </w:p>
    <w:p w14:paraId="5830E533">
      <w:pPr>
        <w:pStyle w:val="2"/>
      </w:pPr>
      <w:r>
        <w:rPr>
          <w:rFonts w:hint="eastAsia"/>
          <w:b/>
          <w:color w:val="000000"/>
          <w:sz w:val="30"/>
          <w:lang w:val="en-US" w:eastAsia="zh-CN"/>
        </w:rPr>
        <w:t>二</w:t>
      </w:r>
      <w:r>
        <w:rPr>
          <w:rFonts w:ascii="Noto Sans SC" w:hAnsi="Noto Sans SC" w:eastAsia="Noto Sans SC"/>
          <w:b/>
          <w:color w:val="000000"/>
          <w:sz w:val="30"/>
        </w:rPr>
        <w:t xml:space="preserve"> 报告章节规划</w:t>
      </w:r>
    </w:p>
    <w:p w14:paraId="6E12C420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第一章 研究背景与意义</w:t>
      </w:r>
    </w:p>
    <w:p w14:paraId="33695317">
      <w:r>
        <w:rPr>
          <w:rFonts w:ascii="Noto Sans SC" w:hAnsi="Noto Sans SC" w:eastAsia="Noto Sans SC"/>
          <w:b w:val="0"/>
          <w:color w:val="000000"/>
          <w:sz w:val="22"/>
        </w:rPr>
        <w:t>本章从抗反向电流HER催化剂研发需求出发，说明人工筛选和固定策略科研Agent的局限，引出实验反馈驱动的图谱科研记忆。建议包含以下内容：</w:t>
      </w:r>
    </w:p>
    <w:p w14:paraId="00FC14EC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可再生能源波动与碱性水电解频繁启停；</w:t>
      </w:r>
    </w:p>
    <w:p w14:paraId="4398D85D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反向电流导致阴极氧化、结构变化和HER性能衰减；</w:t>
      </w:r>
    </w:p>
    <w:p w14:paraId="546C3DF5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材料元素、组成比例和制备条件形成较大的实验空间；</w:t>
      </w:r>
    </w:p>
    <w:p w14:paraId="168B2C2D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自动化实验平台提高执行效率，但仍需要可靠的科研决策Agent；</w:t>
      </w:r>
    </w:p>
    <w:p w14:paraId="7F135ED6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现有Agent难以跨轮组织文献证据、历史实验和失败经验；</w:t>
      </w:r>
    </w:p>
    <w:p w14:paraId="50437201">
      <w:pPr>
        <w:pStyle w:val="14"/>
        <w:numPr>
          <w:ilvl w:val="0"/>
          <w:numId w:val="1"/>
        </w:numPr>
        <w:spacing w:after="60"/>
        <w:ind w:left="420" w:leftChars="0" w:hanging="420" w:firstLineChars="0"/>
      </w:pPr>
      <w:r>
        <w:rPr>
          <w:rFonts w:ascii="Noto Sans SC" w:hAnsi="Noto Sans SC" w:eastAsia="Noto Sans SC"/>
          <w:b w:val="0"/>
          <w:color w:val="000000"/>
          <w:sz w:val="22"/>
        </w:rPr>
        <w:t>图谱科研记忆对证据追溯、相似实验检索和候选设计的作用。</w:t>
      </w:r>
    </w:p>
    <w:p w14:paraId="2475DF2E">
      <w:pPr>
        <w:rPr>
          <w:b/>
          <w:bCs/>
        </w:rPr>
      </w:pPr>
      <w:r>
        <w:rPr>
          <w:rFonts w:ascii="Noto Sans SC" w:hAnsi="Noto Sans SC" w:eastAsia="Noto Sans SC"/>
          <w:b w:val="0"/>
          <w:color w:val="000000"/>
          <w:sz w:val="22"/>
        </w:rPr>
        <w:t>本章应形成</w:t>
      </w:r>
      <w:r>
        <w:rPr>
          <w:rFonts w:ascii="Noto Sans SC" w:hAnsi="Noto Sans SC" w:eastAsia="Noto Sans SC"/>
          <w:b/>
          <w:bCs/>
          <w:color w:val="0000FF"/>
          <w:sz w:val="22"/>
        </w:rPr>
        <w:t>研究背景和</w:t>
      </w:r>
      <w:bookmarkStart w:id="0" w:name="_GoBack"/>
      <w:r>
        <w:rPr>
          <w:rFonts w:ascii="Noto Sans SC" w:hAnsi="Noto Sans SC" w:eastAsia="Noto Sans SC"/>
          <w:b/>
          <w:bCs/>
          <w:color w:val="0000FF"/>
          <w:sz w:val="22"/>
        </w:rPr>
        <w:t>国内外研究</w:t>
      </w:r>
      <w:bookmarkEnd w:id="0"/>
      <w:r>
        <w:rPr>
          <w:rFonts w:ascii="Noto Sans SC" w:hAnsi="Noto Sans SC" w:eastAsia="Noto Sans SC"/>
          <w:b/>
          <w:bCs/>
          <w:color w:val="0000FF"/>
          <w:sz w:val="22"/>
        </w:rPr>
        <w:t>现状素材，并为每项关键结论保留论文、DOI、页码和证据编号</w:t>
      </w:r>
      <w:r>
        <w:rPr>
          <w:rFonts w:ascii="Noto Sans SC" w:hAnsi="Noto Sans SC" w:eastAsia="Noto Sans SC"/>
          <w:b/>
          <w:bCs/>
          <w:color w:val="000000"/>
          <w:sz w:val="22"/>
        </w:rPr>
        <w:t>。</w:t>
      </w:r>
    </w:p>
    <w:p w14:paraId="160BBB88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第二章 研究目标与系统总体设计</w:t>
      </w:r>
    </w:p>
    <w:p w14:paraId="1DAE58D6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2.1 总体目标</w:t>
      </w:r>
    </w:p>
    <w:p w14:paraId="60830E45">
      <w:r>
        <w:rPr>
          <w:rFonts w:ascii="Noto Sans SC" w:hAnsi="Noto Sans SC" w:eastAsia="Noto Sans SC"/>
          <w:b w:val="0"/>
          <w:color w:val="000000"/>
          <w:sz w:val="22"/>
        </w:rPr>
        <w:t>构建图谱科研记忆驱动的催化剂智能筛选Agent，使其能够根据文献知识和实验反馈完成候选选择、规则校验、实验任务生成、结果诊断和下一轮方案更新。</w:t>
      </w:r>
    </w:p>
    <w:p w14:paraId="72FAC4DC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2.2 系统组成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3591"/>
        <w:gridCol w:w="2435"/>
      </w:tblGrid>
      <w:tr w14:paraId="4967E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8F63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组成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60A8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主要功能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19951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本次重点</w:t>
            </w:r>
          </w:p>
        </w:tc>
      </w:tr>
      <w:tr w14:paraId="2EA9A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6FB3C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科研决策Agent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9EC6C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检索证据、选择候选、调用工具、诊断结果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9A2A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重点实现</w:t>
            </w:r>
          </w:p>
        </w:tc>
      </w:tr>
      <w:tr w14:paraId="669B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DA783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图谱科研记忆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249D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组织文献、实验和决策轨迹</w:t>
            </w:r>
          </w:p>
        </w:tc>
        <w:tc>
          <w:tcPr>
            <w:tcW w:w="260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292C6C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核心创新</w:t>
            </w:r>
          </w:p>
        </w:tc>
      </w:tr>
      <w:tr w14:paraId="25A79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C9B9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实验执行系统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9FD8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承接实验任务并返回测试结果</w:t>
            </w:r>
          </w:p>
        </w:tc>
        <w:tc>
          <w:tcPr>
            <w:tcW w:w="26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68D4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简要描述和接口定义</w:t>
            </w:r>
          </w:p>
        </w:tc>
      </w:tr>
    </w:tbl>
    <w:p w14:paraId="564F76CF">
      <w:pPr>
        <w:spacing w:after="0"/>
      </w:pPr>
    </w:p>
    <w:p w14:paraId="5E02F436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2.3 系统输入与输出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6"/>
        <w:gridCol w:w="5370"/>
      </w:tblGrid>
      <w:tr w14:paraId="2F9B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F7A1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类别</w:t>
            </w:r>
          </w:p>
        </w:tc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15E84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内容</w:t>
            </w:r>
          </w:p>
        </w:tc>
      </w:tr>
      <w:tr w14:paraId="1598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8CAA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输入</w:t>
            </w:r>
          </w:p>
        </w:tc>
        <w:tc>
          <w:tcPr>
            <w:tcW w:w="71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D536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催化剂领域文献、未测试候选、设备约束、第二轮以后已完成的实验</w:t>
            </w:r>
          </w:p>
        </w:tc>
      </w:tr>
      <w:tr w14:paraId="7B176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0145A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输出</w:t>
            </w:r>
          </w:p>
        </w:tc>
        <w:tc>
          <w:tcPr>
            <w:tcW w:w="7143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E3EC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下一轮候选、文献依据、参考实验、预期方向、结构化实验任务和诊断结论</w:t>
            </w:r>
          </w:p>
        </w:tc>
      </w:tr>
    </w:tbl>
    <w:p w14:paraId="12FAFE68">
      <w:pPr>
        <w:spacing w:after="0"/>
      </w:pPr>
    </w:p>
    <w:p w14:paraId="233E8E2E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第三章 文献知识库构建与证据召回</w:t>
      </w:r>
    </w:p>
    <w:p w14:paraId="67E7D9B0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3.1 论文解析与清洗</w:t>
      </w:r>
    </w:p>
    <w:p w14:paraId="51AA8C2F">
      <w:r>
        <w:rPr>
          <w:rFonts w:ascii="Noto Sans SC" w:hAnsi="Noto Sans SC" w:eastAsia="Noto Sans SC"/>
          <w:b w:val="0"/>
          <w:color w:val="000000"/>
          <w:sz w:val="22"/>
        </w:rPr>
        <w:t>使用MinerU等工具解析论文PDF，提取题目、作者、年份、DOI、摘要、章节、表格、图注、材料组成、实验条件、性能指标和结论；清理页眉页脚、重复文本、乱码、错误换行和单位格式，同时保留章节与页码。</w:t>
      </w:r>
    </w:p>
    <w:p w14:paraId="1BDF818F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3.2 分层切分与证据编号</w:t>
      </w:r>
    </w:p>
    <w:p w14:paraId="2010571D">
      <w:r>
        <w:rPr>
          <w:rFonts w:ascii="Noto Sans SC" w:hAnsi="Noto Sans SC" w:eastAsia="Noto Sans SC"/>
          <w:b w:val="0"/>
          <w:color w:val="000000"/>
          <w:sz w:val="22"/>
        </w:rPr>
        <w:t>采用“论文—章节—证据片段”的分层结构。每个证据片段保留paper_id、section、page、evidence_id和正文内容，保证材料组成、测试条件和性能结论尽量处于同一片段。</w:t>
      </w:r>
    </w:p>
    <w:p w14:paraId="01EA982D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3.3 混合召回与重排</w:t>
      </w:r>
    </w:p>
    <w:p w14:paraId="2F5ACF6D">
      <w:r>
        <w:rPr>
          <w:rFonts w:ascii="Noto Sans SC" w:hAnsi="Noto Sans SC" w:eastAsia="Noto Sans SC"/>
          <w:b w:val="0"/>
          <w:color w:val="000000"/>
          <w:sz w:val="22"/>
        </w:rPr>
        <w:t>采用关键词检索、向量检索和元数据过滤相结合的方式召回候选片段，再使用重排模型获得Top-K证据。技术路线需要在实际实现后固定，不在报告中同时罗列多个未采用的数据库。推荐围绕现有文献流水线说明MinerU、清洗模块、BGE-M3、OpenViking或确定采用的向量库及重排模型。</w:t>
      </w:r>
    </w:p>
    <w:p w14:paraId="6AE03C8E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3.4 检索结果格式</w:t>
      </w:r>
    </w:p>
    <w:p w14:paraId="6649146F">
      <w:r>
        <w:rPr>
          <w:rFonts w:ascii="Noto Sans SC" w:hAnsi="Noto Sans SC" w:eastAsia="Noto Sans SC"/>
          <w:b w:val="0"/>
          <w:color w:val="000000"/>
          <w:sz w:val="22"/>
        </w:rPr>
        <w:t>每条召回结果至少包含论文信息、原文片段、章节、页码、证据编号、检索得分和适用条件。Agent必须基于召回证据生成候选理由，不得只输出无来源结论。</w:t>
      </w:r>
    </w:p>
    <w:p w14:paraId="1DA7E823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第四章 图谱科研记忆设计</w:t>
      </w:r>
    </w:p>
    <w:p w14:paraId="030D8715">
      <w:r>
        <w:rPr>
          <w:rFonts w:ascii="Noto Sans SC" w:hAnsi="Noto Sans SC" w:eastAsia="Noto Sans SC"/>
          <w:b w:val="0"/>
          <w:color w:val="000000"/>
          <w:sz w:val="22"/>
        </w:rPr>
        <w:t>科研记忆由可追溯的文献证据库和三个相互关联的图谱子图组成。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3712"/>
        <w:gridCol w:w="2443"/>
      </w:tblGrid>
      <w:tr w14:paraId="03FDB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877A7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子图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AA98C">
            <w:pPr>
              <w:jc w:val="center"/>
            </w:pPr>
            <w:r>
              <w:rPr>
                <w:rFonts w:ascii="Noto Sans SC" w:hAnsi="Noto Sans SC" w:eastAsia="Noto Sans SC"/>
                <w:b/>
                <w:color w:val="E54C5E" w:themeColor="accent6"/>
                <w:sz w:val="21"/>
                <w:highlight w:val="none"/>
                <w14:textFill>
                  <w14:solidFill>
                    <w14:schemeClr w14:val="accent6"/>
                  </w14:solidFill>
                </w14:textFill>
              </w:rPr>
              <w:t>节点</w:t>
            </w: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示例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770A9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作用</w:t>
            </w:r>
          </w:p>
        </w:tc>
      </w:tr>
      <w:tr w14:paraId="32DFB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AE0D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文献知识子图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9E325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Paper、Evidence、Element、Material、Condition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84A2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保存结构化文献事实和原始证据</w:t>
            </w:r>
          </w:p>
        </w:tc>
      </w:tr>
      <w:tr w14:paraId="5A2AE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5F3A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实验事实子图</w:t>
            </w:r>
          </w:p>
        </w:tc>
        <w:tc>
          <w:tcPr>
            <w:tcW w:w="419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25AA3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Experiment、Material、Condition、Result、Diagnosis</w:t>
            </w:r>
          </w:p>
        </w:tc>
        <w:tc>
          <w:tcPr>
            <w:tcW w:w="283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9D10C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保存实验条件、结果及成功失败诊断</w:t>
            </w:r>
          </w:p>
        </w:tc>
      </w:tr>
      <w:tr w14:paraId="6A55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AC79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决策轨迹子图</w:t>
            </w:r>
          </w:p>
        </w:tc>
        <w:tc>
          <w:tcPr>
            <w:tcW w:w="41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E9910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Decision、Evidence、Experiment、Suggestion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BB012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记录候选为何被选择以及如何影响下一轮</w:t>
            </w:r>
          </w:p>
        </w:tc>
      </w:tr>
    </w:tbl>
    <w:p w14:paraId="3BB1D76B">
      <w:pPr>
        <w:spacing w:after="0"/>
      </w:pPr>
    </w:p>
    <w:p w14:paraId="454FC9EE">
      <w:pPr>
        <w:pStyle w:val="4"/>
        <w:rPr>
          <w:rFonts w:hint="default" w:eastAsia="Noto Sans SC"/>
          <w:lang w:val="en-US" w:eastAsia="zh-CN"/>
        </w:rPr>
      </w:pPr>
      <w:r>
        <w:rPr>
          <w:rFonts w:ascii="Noto Sans SC" w:hAnsi="Noto Sans SC" w:eastAsia="Noto Sans SC"/>
          <w:b/>
          <w:color w:val="000000"/>
          <w:sz w:val="23"/>
        </w:rPr>
        <w:t>4.1 主要关系</w:t>
      </w:r>
      <w:r>
        <w:rPr>
          <w:rFonts w:hint="eastAsia"/>
          <w:b/>
          <w:color w:val="E54C5E" w:themeColor="accent6"/>
          <w:sz w:val="23"/>
          <w:lang w:eastAsia="zh-CN"/>
          <w14:textFill>
            <w14:solidFill>
              <w14:schemeClr w14:val="accent6"/>
            </w14:solidFill>
          </w14:textFill>
        </w:rPr>
        <w:t>（</w:t>
      </w:r>
      <w:r>
        <w:rPr>
          <w:rFonts w:hint="eastAsia"/>
          <w:b/>
          <w:color w:val="E54C5E" w:themeColor="accent6"/>
          <w:sz w:val="23"/>
          <w:lang w:val="en-US" w:eastAsia="zh-CN"/>
          <w14:textFill>
            <w14:solidFill>
              <w14:schemeClr w14:val="accent6"/>
            </w14:solidFill>
          </w14:textFill>
        </w:rPr>
        <w:t>边</w:t>
      </w:r>
      <w:r>
        <w:rPr>
          <w:rFonts w:hint="eastAsia"/>
          <w:b/>
          <w:color w:val="E54C5E" w:themeColor="accent6"/>
          <w:sz w:val="23"/>
          <w:lang w:eastAsia="zh-CN"/>
          <w14:textFill>
            <w14:solidFill>
              <w14:schemeClr w14:val="accent6"/>
            </w14:solidFill>
          </w14:textFill>
        </w:rPr>
        <w:t>）</w:t>
      </w:r>
      <w:r>
        <w:rPr>
          <w:rFonts w:hint="eastAsia"/>
          <w:b/>
          <w:color w:val="E54C5E" w:themeColor="accent6"/>
          <w:sz w:val="23"/>
          <w:lang w:val="en-US" w:eastAsia="zh-CN"/>
          <w14:textFill>
            <w14:solidFill>
              <w14:schemeClr w14:val="accent6"/>
            </w14:solidFill>
          </w14:textFill>
        </w:rPr>
        <w:t>示例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5"/>
        <w:gridCol w:w="4591"/>
      </w:tblGrid>
      <w:tr w14:paraId="657EC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59879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关系</w:t>
            </w:r>
          </w:p>
        </w:tc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8E03C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含义</w:t>
            </w:r>
          </w:p>
        </w:tc>
      </w:tr>
      <w:tr w14:paraId="5A5EA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87C4A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Paper CONTAINS Evidence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A119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论文包含证据片段</w:t>
            </w:r>
          </w:p>
        </w:tc>
      </w:tr>
      <w:tr w14:paraId="1791C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058D4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Evidence SUPPORTS Material</w:t>
            </w:r>
          </w:p>
        </w:tc>
        <w:tc>
          <w:tcPr>
            <w:tcW w:w="498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4B28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证据支持某材料或设计判断</w:t>
            </w:r>
          </w:p>
        </w:tc>
      </w:tr>
      <w:tr w14:paraId="162E2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3200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Material CONTAINS Element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B8BE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材料包含某元素及比例</w:t>
            </w:r>
          </w:p>
        </w:tc>
      </w:tr>
      <w:tr w14:paraId="127C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69A5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Experiment TESTS Material</w:t>
            </w:r>
          </w:p>
        </w:tc>
        <w:tc>
          <w:tcPr>
            <w:tcW w:w="498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EE13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实验验证某候选组成</w:t>
            </w:r>
          </w:p>
        </w:tc>
      </w:tr>
      <w:tr w14:paraId="10438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7524E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Experiment USES Condition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34BD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实验在指定条件下执行</w:t>
            </w:r>
          </w:p>
        </w:tc>
      </w:tr>
      <w:tr w14:paraId="688C5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9BAA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Experiment PRODUCES Result</w:t>
            </w:r>
          </w:p>
        </w:tc>
        <w:tc>
          <w:tcPr>
            <w:tcW w:w="498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6583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实验产生槽电压等测试结果</w:t>
            </w:r>
          </w:p>
        </w:tc>
      </w:tr>
      <w:tr w14:paraId="3C31B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4FE2A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Decision REFERENCES Evidence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8517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候选决策引用文献证据</w:t>
            </w:r>
          </w:p>
        </w:tc>
      </w:tr>
      <w:tr w14:paraId="009B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255A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Decision REFERENCES Experiment</w:t>
            </w:r>
          </w:p>
        </w:tc>
        <w:tc>
          <w:tcPr>
            <w:tcW w:w="498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FFBF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候选决策参考历史实验</w:t>
            </w:r>
          </w:p>
        </w:tc>
      </w:tr>
      <w:tr w14:paraId="2B00F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DDE7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Diagnosis ANALYZES Result</w:t>
            </w:r>
          </w:p>
        </w:tc>
        <w:tc>
          <w:tcPr>
            <w:tcW w:w="498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BF335A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诊断分析实验结果并形成建议</w:t>
            </w:r>
          </w:p>
        </w:tc>
      </w:tr>
    </w:tbl>
    <w:p w14:paraId="432CB039">
      <w:pPr>
        <w:spacing w:after="0"/>
      </w:pPr>
    </w:p>
    <w:p w14:paraId="07E9AFD7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4.2 写入与检索规则</w:t>
      </w:r>
    </w:p>
    <w:p w14:paraId="70A561EE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文献事实必须关联原文证据编号，不允许只有大模型生成结论；</w:t>
      </w:r>
    </w:p>
    <w:p w14:paraId="29A61AB4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实验结果由程序写入，Agent不能修改原始数值；</w:t>
      </w:r>
    </w:p>
    <w:p w14:paraId="2691F54A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候选决策必须保存检索到的证据、历史实验和选择理由；</w:t>
      </w:r>
    </w:p>
    <w:p w14:paraId="36708F21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诊断既记录成功经验，也记录失败原因和下一轮调整建议；</w:t>
      </w:r>
    </w:p>
    <w:p w14:paraId="390C9088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相似实验检索综合考虑共有元素、组成比例、测试条件和目标指标。</w:t>
      </w:r>
    </w:p>
    <w:p w14:paraId="68BB3297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第五章 科研决策Agent与工具设计</w:t>
      </w:r>
    </w:p>
    <w:p w14:paraId="4FFC78FB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5.1 Agent内部节点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3380"/>
        <w:gridCol w:w="2725"/>
      </w:tblGrid>
      <w:tr w14:paraId="5AFA2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7715C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节点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FB3C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职责</w:t>
            </w:r>
          </w:p>
        </w:tc>
        <w:tc>
          <w:tcPr>
            <w:tcW w:w="2769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172AA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实现方式</w:t>
            </w:r>
          </w:p>
        </w:tc>
      </w:tr>
      <w:tr w14:paraId="260E9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08F9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文献检索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C036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召回相关论文证据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B42F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检索Skill与知识库Tool</w:t>
            </w:r>
          </w:p>
        </w:tc>
      </w:tr>
      <w:tr w14:paraId="470C4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5A97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Memory检索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8E13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检索相似实验和历史决策</w:t>
            </w:r>
          </w:p>
        </w:tc>
        <w:tc>
          <w:tcPr>
            <w:tcW w:w="317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3E41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Neo4j查询Tool</w:t>
            </w:r>
          </w:p>
        </w:tc>
      </w:tr>
      <w:tr w14:paraId="7BAD2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4326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候选设计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430E3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生成下一候选及选择理由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7691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大模型推理节点</w:t>
            </w:r>
          </w:p>
        </w:tc>
      </w:tr>
      <w:tr w14:paraId="0179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4EB62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规则校验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D211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检查候选存在性、比例和设备约束</w:t>
            </w:r>
          </w:p>
        </w:tc>
        <w:tc>
          <w:tcPr>
            <w:tcW w:w="317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E76FE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确定性代码</w:t>
            </w:r>
          </w:p>
        </w:tc>
      </w:tr>
      <w:tr w14:paraId="1A975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1111C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任务生成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1430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生成结构化实验任务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55C7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Schema约束输出</w:t>
            </w:r>
          </w:p>
        </w:tc>
      </w:tr>
      <w:tr w14:paraId="08A8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07FD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结果接收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9DC5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获取槽电压及运行状态</w:t>
            </w:r>
          </w:p>
        </w:tc>
        <w:tc>
          <w:tcPr>
            <w:tcW w:w="317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AFC4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实验结果Tool</w:t>
            </w:r>
          </w:p>
        </w:tc>
      </w:tr>
      <w:tr w14:paraId="6306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AB6F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结果诊断</w:t>
            </w:r>
          </w:p>
        </w:tc>
        <w:tc>
          <w:tcPr>
            <w:tcW w:w="40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3B8B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判断是否改善并提出后续建议</w:t>
            </w:r>
          </w:p>
        </w:tc>
        <w:tc>
          <w:tcPr>
            <w:tcW w:w="317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B39FE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大模型加程序指标</w:t>
            </w:r>
          </w:p>
        </w:tc>
      </w:tr>
      <w:tr w14:paraId="25B9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163D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Memory写回</w:t>
            </w:r>
          </w:p>
        </w:tc>
        <w:tc>
          <w:tcPr>
            <w:tcW w:w="408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C4566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保存实验事实和决策轨迹</w:t>
            </w:r>
          </w:p>
        </w:tc>
        <w:tc>
          <w:tcPr>
            <w:tcW w:w="3175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868E4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确定性代码</w:t>
            </w:r>
          </w:p>
        </w:tc>
      </w:tr>
    </w:tbl>
    <w:p w14:paraId="4A542759">
      <w:pPr>
        <w:spacing w:after="0"/>
      </w:pPr>
    </w:p>
    <w:p w14:paraId="3A1892CE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5.2 第一轮文献冷启动</w:t>
      </w:r>
    </w:p>
    <w:p w14:paraId="5047A1F8">
      <w:r>
        <w:rPr>
          <w:rFonts w:ascii="Noto Sans SC" w:hAnsi="Noto Sans SC" w:eastAsia="Noto Sans SC"/>
          <w:b w:val="0"/>
          <w:color w:val="000000"/>
          <w:sz w:val="22"/>
        </w:rPr>
        <w:t>系统检索HER相关文献，提取元素性质和合金协同证据，从候选池中选择第一组材料，经过规则校验后生成实验任务。结果返回后，程序写入第一条实验事实及对应决策轨迹。</w:t>
      </w:r>
    </w:p>
    <w:p w14:paraId="5747F0AC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5.3 后续轮次</w:t>
      </w:r>
    </w:p>
    <w:p w14:paraId="2F8F1AB2">
      <w:r>
        <w:rPr>
          <w:rFonts w:ascii="Noto Sans SC" w:hAnsi="Noto Sans SC" w:eastAsia="Noto Sans SC"/>
          <w:b w:val="0"/>
          <w:color w:val="000000"/>
          <w:sz w:val="22"/>
        </w:rPr>
        <w:t>从第二轮开始，Agent同时检索文献知识和历史实验，比较相似候选的组成与结果，利用成功和失败经验生成下一轮候选，并在结果返回后更新图谱。</w:t>
      </w:r>
    </w:p>
    <w:p w14:paraId="36DEA8B8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5.4 结构化输出</w:t>
      </w:r>
    </w:p>
    <w:p w14:paraId="03E67138">
      <w:r>
        <w:rPr>
          <w:rFonts w:ascii="Noto Sans SC" w:hAnsi="Noto Sans SC" w:eastAsia="Noto Sans SC"/>
          <w:b w:val="0"/>
          <w:color w:val="000000"/>
          <w:sz w:val="22"/>
        </w:rPr>
        <w:t>候选设计输出至少包括selected_composition、expected_direction、evidence_ids、retrieved_experiment_ids、reason和confidence。Agent不训练精确槽电压预测模型，重点是候选选择和改善方向判断。</w:t>
      </w:r>
    </w:p>
    <w:p w14:paraId="6B22B2C4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第六章 数据与闭环验证设计</w:t>
      </w:r>
    </w:p>
    <w:p w14:paraId="1795F487">
      <w:pPr>
        <w:pStyle w:val="4"/>
        <w:rPr>
          <w:rFonts w:hint="default" w:eastAsia="Noto Sans SC"/>
          <w:lang w:val="en-US" w:eastAsia="zh-CN"/>
        </w:rPr>
      </w:pPr>
      <w:r>
        <w:rPr>
          <w:rFonts w:ascii="Noto Sans SC" w:hAnsi="Noto Sans SC" w:eastAsia="Noto Sans SC"/>
          <w:b/>
          <w:color w:val="000000"/>
          <w:sz w:val="23"/>
        </w:rPr>
        <w:t>6.1 数据设置</w:t>
      </w:r>
      <w:r>
        <w:rPr>
          <w:rFonts w:hint="eastAsia"/>
          <w:b/>
          <w:color w:val="000000"/>
          <w:sz w:val="23"/>
          <w:lang w:eastAsia="zh-CN"/>
        </w:rPr>
        <w:t>（</w:t>
      </w:r>
      <w:r>
        <w:rPr>
          <w:rFonts w:hint="eastAsia"/>
          <w:b/>
          <w:color w:val="000000"/>
          <w:sz w:val="23"/>
          <w:lang w:val="en-US" w:eastAsia="zh-CN"/>
        </w:rPr>
        <w:t>可以适当修改）</w:t>
      </w:r>
    </w:p>
    <w:p w14:paraId="07DA8076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候选池包含212种多元素合金组成；</w:t>
      </w:r>
    </w:p>
    <w:p w14:paraId="0924CA33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Agent可见字段为composition，不可见字段为cell_voltage_V；</w:t>
      </w:r>
    </w:p>
    <w:p w14:paraId="28FC89EA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提交候选后，实验结果接口返回对应槽电压；</w:t>
      </w:r>
    </w:p>
    <w:p w14:paraId="431B0E68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槽电压为固定运行条件下的HER综合性能代理指标，优化方向为越低越好；</w:t>
      </w:r>
    </w:p>
    <w:p w14:paraId="62EB3FAC">
      <w:pPr>
        <w:pStyle w:val="4"/>
      </w:pPr>
      <w:r>
        <w:rPr>
          <w:rFonts w:ascii="Noto Sans SC" w:hAnsi="Noto Sans SC" w:eastAsia="Noto Sans SC"/>
          <w:b/>
          <w:color w:val="000000"/>
          <w:sz w:val="23"/>
        </w:rPr>
        <w:t>6.2 对照与消融实验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789"/>
        <w:gridCol w:w="1883"/>
        <w:gridCol w:w="2793"/>
      </w:tblGrid>
      <w:tr w14:paraId="66AE8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E255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方法</w:t>
            </w:r>
          </w:p>
        </w:tc>
        <w:tc>
          <w:tcPr>
            <w:tcW w:w="20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75B2C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文献知识</w:t>
            </w:r>
          </w:p>
        </w:tc>
        <w:tc>
          <w:tcPr>
            <w:tcW w:w="20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BB96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实验Memory</w:t>
            </w:r>
          </w:p>
        </w:tc>
        <w:tc>
          <w:tcPr>
            <w:tcW w:w="20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65C08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目的</w:t>
            </w:r>
          </w:p>
        </w:tc>
      </w:tr>
      <w:tr w14:paraId="0BFBF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6F573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随机搜索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02750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否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EA0A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否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50AB8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提供无策略基线</w:t>
            </w:r>
          </w:p>
        </w:tc>
      </w:tr>
      <w:tr w14:paraId="42F97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5DB62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仅文献Agent</w:t>
            </w:r>
          </w:p>
        </w:tc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B160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是</w:t>
            </w:r>
          </w:p>
        </w:tc>
        <w:tc>
          <w:tcPr>
            <w:tcW w:w="170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8F03E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否</w:t>
            </w:r>
          </w:p>
        </w:tc>
        <w:tc>
          <w:tcPr>
            <w:tcW w:w="328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8DEA4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验证只有文献冷启动时的效果</w:t>
            </w:r>
          </w:p>
        </w:tc>
      </w:tr>
      <w:tr w14:paraId="1BB15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17E5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完整Memory Agent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08C45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是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1FA6A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是</w:t>
            </w:r>
          </w:p>
        </w:tc>
        <w:tc>
          <w:tcPr>
            <w:tcW w:w="32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CD8D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验证实验反馈与图谱记忆的增益</w:t>
            </w:r>
          </w:p>
        </w:tc>
      </w:tr>
    </w:tbl>
    <w:p w14:paraId="1005CFF6">
      <w:pPr>
        <w:spacing w:after="0"/>
      </w:pPr>
    </w:p>
    <w:p w14:paraId="1BF51BBE">
      <w:pPr>
        <w:pStyle w:val="4"/>
        <w:rPr>
          <w:rFonts w:hint="default" w:eastAsia="Noto Sans SC"/>
          <w:lang w:val="en-US" w:eastAsia="zh-CN"/>
        </w:rPr>
      </w:pPr>
      <w:r>
        <w:rPr>
          <w:rFonts w:ascii="Noto Sans SC" w:hAnsi="Noto Sans SC" w:eastAsia="Noto Sans SC"/>
          <w:b/>
          <w:color w:val="000000"/>
          <w:sz w:val="23"/>
        </w:rPr>
        <w:t>6.3 评价指标</w:t>
      </w:r>
      <w:r>
        <w:rPr>
          <w:rFonts w:hint="eastAsia"/>
          <w:b/>
          <w:color w:val="000000"/>
          <w:sz w:val="23"/>
          <w:lang w:eastAsia="zh-CN"/>
        </w:rPr>
        <w:t>（</w:t>
      </w:r>
      <w:r>
        <w:rPr>
          <w:rFonts w:hint="eastAsia"/>
          <w:b/>
          <w:color w:val="000000"/>
          <w:sz w:val="23"/>
          <w:lang w:val="en-US" w:eastAsia="zh-CN"/>
        </w:rPr>
        <w:t>可选几项）</w:t>
      </w:r>
    </w:p>
    <w:p w14:paraId="7C9D6AF4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历史最佳槽电压随实验轮次的变化；</w:t>
      </w:r>
    </w:p>
    <w:p w14:paraId="11564F0C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达到Top 10%候选所需实验次数；</w:t>
      </w:r>
    </w:p>
    <w:p w14:paraId="4002C180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固定实验预算内发现的Top 10%候选数量；</w:t>
      </w:r>
    </w:p>
    <w:p w14:paraId="5E741F0A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改善方向判断准确率；</w:t>
      </w:r>
    </w:p>
    <w:p w14:paraId="6C01166B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重复实验率；</w:t>
      </w:r>
    </w:p>
    <w:p w14:paraId="120D18D9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决策证据可追溯率。</w:t>
      </w:r>
    </w:p>
    <w:p w14:paraId="172191D5">
      <w:pPr>
        <w:pStyle w:val="3"/>
      </w:pPr>
      <w:r>
        <w:rPr>
          <w:rFonts w:ascii="Noto Sans SC" w:hAnsi="Noto Sans SC" w:eastAsia="Noto Sans SC"/>
          <w:b/>
          <w:color w:val="000000"/>
          <w:sz w:val="26"/>
        </w:rPr>
        <w:t>第七章 结果与讨论</w:t>
      </w:r>
    </w:p>
    <w:p w14:paraId="30E779C2">
      <w:r>
        <w:rPr>
          <w:rFonts w:ascii="Noto Sans SC" w:hAnsi="Noto Sans SC" w:eastAsia="Noto Sans SC"/>
          <w:b w:val="0"/>
          <w:color w:val="000000"/>
          <w:sz w:val="22"/>
        </w:rPr>
        <w:t>本章应围绕“实验Memory是否提高筛选效率”组织结果，至少包含以下图表和案例：</w:t>
      </w:r>
    </w:p>
    <w:p w14:paraId="0C4CFA40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三种方法的历史最佳槽电压曲线；</w:t>
      </w:r>
    </w:p>
    <w:p w14:paraId="488198B5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达到Top 10%候选所需实验次数对比；</w:t>
      </w:r>
    </w:p>
    <w:p w14:paraId="66DD81CC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每轮候选、选择依据、返回结果和是否刷新最佳值的轨迹表；</w:t>
      </w:r>
    </w:p>
    <w:p w14:paraId="36449944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文献知识子图、实验事实子图和决策轨迹子图的增长过程；</w:t>
      </w:r>
    </w:p>
    <w:p w14:paraId="49839B9F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一个成功选择案例和一个失败后调整的案例；</w:t>
      </w:r>
    </w:p>
    <w:p w14:paraId="5718182F">
      <w:pPr>
        <w:pStyle w:val="14"/>
        <w:spacing w:after="60"/>
      </w:pPr>
      <w:r>
        <w:rPr>
          <w:rFonts w:ascii="Noto Sans SC" w:hAnsi="Noto Sans SC" w:eastAsia="Noto Sans SC"/>
          <w:b w:val="0"/>
          <w:color w:val="000000"/>
          <w:sz w:val="22"/>
        </w:rPr>
        <w:t>检索证据、历史实验、候选理由和真实结果组成的完整证据链。</w:t>
      </w:r>
    </w:p>
    <w:p w14:paraId="01082C94">
      <w:r>
        <w:rPr>
          <w:rFonts w:ascii="Noto Sans SC" w:hAnsi="Noto Sans SC" w:eastAsia="Noto Sans SC"/>
          <w:b w:val="0"/>
          <w:color w:val="000000"/>
          <w:sz w:val="22"/>
        </w:rPr>
        <w:t>结果讨论需要解释具体哪条文献证据或历史实验影响了候选选择，以及失败实验如何改变后续决策，不能只陈述完整Agent优于基线。</w:t>
      </w:r>
    </w:p>
    <w:p w14:paraId="4CD170DC">
      <w:pPr>
        <w:pStyle w:val="2"/>
      </w:pPr>
      <w:r>
        <w:rPr>
          <w:rFonts w:ascii="Noto Sans SC" w:hAnsi="Noto Sans SC" w:eastAsia="Noto Sans SC"/>
          <w:b/>
          <w:color w:val="000000"/>
          <w:sz w:val="30"/>
        </w:rPr>
        <w:t>五 统一用语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53"/>
      </w:tblGrid>
      <w:tr w14:paraId="0098D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ABEC1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统一使用</w:t>
            </w:r>
          </w:p>
        </w:tc>
        <w:tc>
          <w:tcPr>
            <w:tcW w:w="4153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27294">
            <w:pPr>
              <w:jc w:val="center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避免使用</w:t>
            </w:r>
          </w:p>
        </w:tc>
      </w:tr>
      <w:tr w14:paraId="2FDD5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296F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固定运行条件下的槽电压或HER综合性能代理指标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38A6B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将2.24至3.26 V直接称为HER过电位</w:t>
            </w:r>
          </w:p>
        </w:tc>
      </w:tr>
      <w:tr w14:paraId="4436E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9DDC7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文献冷启动</w:t>
            </w:r>
          </w:p>
        </w:tc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C3CD1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少量基础实验初始化</w:t>
            </w:r>
          </w:p>
        </w:tc>
      </w:tr>
      <w:tr w14:paraId="5135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69B24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实验结果接口或实验执行系统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6518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实验模拟工具</w:t>
            </w:r>
          </w:p>
        </w:tc>
      </w:tr>
      <w:tr w14:paraId="33D2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D7FE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候选选择和改善方向判断</w:t>
            </w:r>
          </w:p>
        </w:tc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C6C9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精确性能预测模型</w:t>
            </w:r>
          </w:p>
        </w:tc>
      </w:tr>
      <w:tr w14:paraId="28579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2FE3F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单Agent内部功能节点</w:t>
            </w:r>
          </w:p>
        </w:tc>
        <w:tc>
          <w:tcPr>
            <w:tcW w:w="447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AB395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已经实现完整多Agent系统</w:t>
            </w:r>
          </w:p>
        </w:tc>
      </w:tr>
      <w:tr w14:paraId="45D90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1AF29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面向抗反向电流研发</w:t>
            </w:r>
          </w:p>
        </w:tc>
        <w:tc>
          <w:tcPr>
            <w:tcW w:w="4479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E5E1D"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已验证抗反向电流性能</w:t>
            </w:r>
          </w:p>
        </w:tc>
      </w:tr>
    </w:tbl>
    <w:p w14:paraId="69F616F3">
      <w:pPr>
        <w:spacing w:after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2B70D9"/>
    <w:multiLevelType w:val="singleLevel"/>
    <w:tmpl w:val="672B70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134487"/>
    <w:rsid w:val="37082601"/>
    <w:rsid w:val="56134487"/>
    <w:rsid w:val="699B2AD1"/>
    <w:rsid w:val="7904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24" w:lineRule="auto"/>
      <w:jc w:val="both"/>
    </w:pPr>
    <w:rPr>
      <w:rFonts w:asciiTheme="minorHAnsi" w:hAnsiTheme="minorHAnsi" w:eastAsiaTheme="minorEastAsia" w:cstheme="minorBidi"/>
      <w:color w:val="000000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200" w:beforeAutospacing="1" w:after="120" w:afterAutospacing="1"/>
      <w:jc w:val="left"/>
    </w:pPr>
    <w:rPr>
      <w:rFonts w:hint="eastAsia" w:ascii="Noto Sans SC" w:hAnsi="Noto Sans SC" w:eastAsia="Noto Sans SC" w:cs="宋体"/>
      <w:b/>
      <w:bCs/>
      <w:color w:val="000000"/>
      <w:kern w:val="44"/>
      <w:sz w:val="30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00" w:beforeAutospacing="1" w:after="120" w:afterAutospacing="1"/>
      <w:jc w:val="left"/>
    </w:pPr>
    <w:rPr>
      <w:rFonts w:hint="eastAsia" w:ascii="Noto Sans SC" w:hAnsi="Noto Sans SC" w:eastAsia="Noto Sans SC" w:cs="宋体"/>
      <w:b/>
      <w:bCs/>
      <w:color w:val="000000"/>
      <w:kern w:val="0"/>
      <w:sz w:val="2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00" w:beforeAutospacing="1" w:after="120" w:afterAutospacing="1"/>
      <w:jc w:val="left"/>
    </w:pPr>
    <w:rPr>
      <w:rFonts w:hint="eastAsia" w:ascii="Noto Sans SC" w:hAnsi="Noto Sans SC" w:eastAsia="Noto Sans SC" w:cs="宋体"/>
      <w:b/>
      <w:bCs/>
      <w:color w:val="000000"/>
      <w:kern w:val="0"/>
      <w:sz w:val="23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paragraph" w:customStyle="1" w:styleId="13">
    <w:name w:val="Title"/>
    <w:basedOn w:val="1"/>
    <w:uiPriority w:val="0"/>
    <w:pPr>
      <w:spacing w:before="0" w:after="120"/>
    </w:pPr>
    <w:rPr>
      <w:rFonts w:ascii="Noto Sans SC" w:hAnsi="Noto Sans SC" w:eastAsia="Noto Sans SC"/>
      <w:b/>
      <w:color w:val="000000"/>
      <w:sz w:val="36"/>
    </w:rPr>
  </w:style>
  <w:style w:type="paragraph" w:customStyle="1" w:styleId="14">
    <w:name w:val="List Bullet"/>
    <w:basedOn w:val="1"/>
    <w:uiPriority w:val="0"/>
  </w:style>
  <w:style w:type="paragraph" w:customStyle="1" w:styleId="15">
    <w:name w:val="List Bullet 2"/>
    <w:basedOn w:val="14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2152</Words>
  <Characters>2632</Characters>
  <Lines>0</Lines>
  <Paragraphs>0</Paragraphs>
  <TotalTime>49</TotalTime>
  <ScaleCrop>false</ScaleCrop>
  <LinksUpToDate>false</LinksUpToDate>
  <CharactersWithSpaces>2685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2026-10-15T05:56:00Z</dcterms:created>
  <dc:creator>刘莉霜</dc:creator>
  <cp:lastModifiedBy>刘莉霜</cp:lastModifiedBy>
  <dcterms:modified xsi:type="dcterms:W3CDTF">2026-10-15T09:37:18Z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70EA6EEBED3E4C028777A82E86DEB258_13</vt:lpwstr>
  </property>
  <property fmtid="{D5CDD505-2E9C-101B-9397-08002B2CF9AE}" pid="4" name="KSOTemplateDocerSaveRecord">
    <vt:lpwstr>eyJoZGlkIjoiZDRkODllOTBkMjIyMWUxZjQ3NmFlYTUwMGU0NGJmYzciLCJ1c2VySWQiOiIxNzMxOTMzMzYwIn0=</vt:lpwstr>
  </property>
</Properties>
</file>