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013" w:rsidRDefault="002C2013" w:rsidP="002C2013">
      <w:pPr>
        <w:jc w:val="right"/>
      </w:pPr>
      <w:r>
        <w:t>Sam Veverka</w:t>
      </w:r>
    </w:p>
    <w:p w:rsidR="002C2013" w:rsidRDefault="002C2013" w:rsidP="002C2013">
      <w:pPr>
        <w:jc w:val="right"/>
      </w:pPr>
      <w:r>
        <w:t>Econ 835 Replication Project</w:t>
      </w:r>
    </w:p>
    <w:p w:rsidR="006F4A67" w:rsidRPr="006F4A67" w:rsidRDefault="006F4A67" w:rsidP="002C2013">
      <w:pPr>
        <w:jc w:val="center"/>
        <w:rPr>
          <w:b/>
          <w:sz w:val="28"/>
        </w:rPr>
      </w:pPr>
    </w:p>
    <w:p w:rsidR="002C2013" w:rsidRPr="00F12ADF" w:rsidRDefault="006F4A67" w:rsidP="002C2013">
      <w:pPr>
        <w:jc w:val="center"/>
        <w:rPr>
          <w:b/>
          <w:sz w:val="32"/>
        </w:rPr>
      </w:pPr>
      <w:r w:rsidRPr="00F12ADF">
        <w:rPr>
          <w:b/>
          <w:sz w:val="32"/>
        </w:rPr>
        <w:t>A Replication of Further Evidence on the Integration of REIT, Bond, and Stock Returns</w:t>
      </w:r>
    </w:p>
    <w:p w:rsidR="006F4A67" w:rsidRDefault="006F4A67"/>
    <w:p w:rsidR="00F12ADF" w:rsidRDefault="00F12ADF" w:rsidP="00451F5B">
      <w:pPr>
        <w:rPr>
          <w:b/>
          <w:sz w:val="28"/>
        </w:rPr>
      </w:pPr>
      <w:r>
        <w:rPr>
          <w:b/>
          <w:sz w:val="28"/>
        </w:rPr>
        <w:t>Abstract</w:t>
      </w:r>
    </w:p>
    <w:p w:rsidR="00F12ADF" w:rsidRPr="00F12ADF" w:rsidRDefault="00F12ADF" w:rsidP="00F12ADF">
      <w:pPr>
        <w:spacing w:line="480" w:lineRule="auto"/>
        <w:ind w:firstLine="720"/>
      </w:pPr>
      <w:r>
        <w:rPr>
          <w:sz w:val="28"/>
        </w:rPr>
        <w:tab/>
      </w:r>
      <w:r>
        <w:t xml:space="preserve">This paper attempts to replicate the paper “Further Evidence on the Integration of REIT, Bond, and Stock Returns.” By authors John L. Glascock, </w:t>
      </w:r>
      <w:proofErr w:type="spellStart"/>
      <w:r>
        <w:t>Chiuling</w:t>
      </w:r>
      <w:proofErr w:type="spellEnd"/>
      <w:r>
        <w:t xml:space="preserve"> Lu, and Raymond W. So. The work uses cointegration and vector error correction models to investigate how integrations between REITs and selected indices change over time.</w:t>
      </w:r>
      <w:r w:rsidR="003F436E">
        <w:t xml:space="preserve"> </w:t>
      </w:r>
      <w:bookmarkStart w:id="0" w:name="_GoBack"/>
      <w:bookmarkEnd w:id="0"/>
    </w:p>
    <w:p w:rsidR="00451F5B" w:rsidRDefault="00451F5B" w:rsidP="00451F5B">
      <w:r w:rsidRPr="00451F5B">
        <w:rPr>
          <w:b/>
          <w:sz w:val="28"/>
        </w:rPr>
        <w:t>1.</w:t>
      </w:r>
      <w:r>
        <w:rPr>
          <w:b/>
          <w:sz w:val="28"/>
        </w:rPr>
        <w:t xml:space="preserve"> </w:t>
      </w:r>
      <w:r w:rsidRPr="00451F5B">
        <w:rPr>
          <w:b/>
          <w:sz w:val="28"/>
        </w:rPr>
        <w:t>Introduction</w:t>
      </w:r>
    </w:p>
    <w:p w:rsidR="009669D4" w:rsidRDefault="009669D4" w:rsidP="00324641">
      <w:pPr>
        <w:spacing w:line="480" w:lineRule="auto"/>
        <w:ind w:firstLine="720"/>
      </w:pPr>
      <w:r w:rsidRPr="009669D4">
        <w:t>A Real Estate Investment Trust, or REIT, is a financial security that invests solely in real estate, either through property, mortgages on properties, or a combination of the two. REITs are appealing mainly because by securitizing real estate, REITs lower the investment cost and increase the liquidity of real estate. Hence, the introduction of REITs made investing in real estate available for a much larger market than was possible before. Like stocks and other securities, REITs are traded on major stock exchanges such as the NYSE and the NASDAQ</w:t>
      </w:r>
      <w:r>
        <w:t>.</w:t>
      </w:r>
    </w:p>
    <w:p w:rsidR="009669D4" w:rsidRDefault="009669D4" w:rsidP="00324641">
      <w:pPr>
        <w:spacing w:line="480" w:lineRule="auto"/>
        <w:ind w:firstLine="720"/>
      </w:pPr>
      <w:r w:rsidRPr="009669D4">
        <w:t>There has been substantial research on the relationship between the stock market and the REIT market, dating back to the 1960s. The central research question has been whether REITs, which are bundled real estate income but traded like stocks, perform more like the real estate market or the stock market. This question is important because REITs are commonly marketed as a security that can help diversify a portfolio heavily invested in stocks. If REIT prices behave just like stock prices do, or are cointegrated, they may not be a very good diversification technique.</w:t>
      </w:r>
    </w:p>
    <w:p w:rsidR="005138CF" w:rsidRDefault="005138CF" w:rsidP="00324641">
      <w:pPr>
        <w:spacing w:line="480" w:lineRule="auto"/>
        <w:ind w:firstLine="720"/>
      </w:pPr>
      <w:r>
        <w:lastRenderedPageBreak/>
        <w:t xml:space="preserve">Before </w:t>
      </w:r>
      <w:r w:rsidR="00F12ADF">
        <w:t>the Glascock, Lu, and So</w:t>
      </w:r>
      <w:r>
        <w:t xml:space="preserve"> paper, much of the literature found mixed </w:t>
      </w:r>
      <w:r w:rsidR="00F12ADF">
        <w:t>answers</w:t>
      </w:r>
      <w:r>
        <w:t xml:space="preserve"> to the question of whether REITs were cointegrated with stocks or indices such as CPI. Glascock, Lu, and </w:t>
      </w:r>
      <w:proofErr w:type="gramStart"/>
      <w:r>
        <w:t>So</w:t>
      </w:r>
      <w:proofErr w:type="gramEnd"/>
      <w:r>
        <w:t xml:space="preserve"> argue that </w:t>
      </w:r>
      <w:r w:rsidR="00F12ADF">
        <w:t xml:space="preserve">the prior mixed answers </w:t>
      </w:r>
      <w:r>
        <w:t>should be expected, as cointegration of REITs depends on what time period the REIT data is from.</w:t>
      </w:r>
      <w:r w:rsidR="00B92821">
        <w:t xml:space="preserve"> Specifically, the authors argue that before 1993, </w:t>
      </w:r>
      <w:r w:rsidR="00F12ADF">
        <w:t xml:space="preserve">the year </w:t>
      </w:r>
      <w:r w:rsidR="00B92821">
        <w:t>when REITs increased drastically in market capitalization at least partly due to a 1993 tax reform act which change</w:t>
      </w:r>
      <w:r w:rsidR="00F12ADF">
        <w:t>d</w:t>
      </w:r>
      <w:r w:rsidR="00B92821">
        <w:t xml:space="preserve"> the investment structure of REITs to more closely resemble a stock fund than real estate investment. The authors test this hypothesis by testing REIT and stock market cointegration before and after 1992. </w:t>
      </w:r>
      <w:r w:rsidR="00927D42">
        <w:t>The</w:t>
      </w:r>
      <w:r w:rsidR="00B92821">
        <w:t xml:space="preserve"> authors </w:t>
      </w:r>
      <w:r w:rsidR="00927D42">
        <w:t>also test the hypothesis for consistency with other literature by also investigating</w:t>
      </w:r>
      <w:r w:rsidR="00B92821">
        <w:t xml:space="preserve"> cointegration between REITs and </w:t>
      </w:r>
      <w:r w:rsidR="00F12ADF">
        <w:t>un</w:t>
      </w:r>
      <w:r w:rsidR="00927D42">
        <w:t xml:space="preserve">securitized </w:t>
      </w:r>
      <w:r w:rsidR="00B92821">
        <w:t>real estate, bonds, and inflation.</w:t>
      </w:r>
      <w:r w:rsidR="00927D42">
        <w:t xml:space="preserve"> </w:t>
      </w:r>
      <w:r w:rsidR="00F12ADF">
        <w:t>The reasoning behind the inclusion of each of these indices, summarized</w:t>
      </w:r>
      <w:r w:rsidR="00927D42">
        <w:t>,</w:t>
      </w:r>
      <w:r w:rsidR="00F12ADF">
        <w:t xml:space="preserve"> is that</w:t>
      </w:r>
      <w:r w:rsidR="00927D42">
        <w:t xml:space="preserve"> when REITs do not act like stocks, they should act like </w:t>
      </w:r>
      <w:r w:rsidR="00F12ADF">
        <w:t>un</w:t>
      </w:r>
      <w:r w:rsidR="00927D42">
        <w:t>securitized real estate. REITs must pay out 95% of their income as dividends, so they should resemble bonds</w:t>
      </w:r>
      <w:r w:rsidR="00F12ADF">
        <w:t>, at least before 1992</w:t>
      </w:r>
      <w:r w:rsidR="00927D42">
        <w:t xml:space="preserve">. Also </w:t>
      </w:r>
      <w:r w:rsidR="00F12ADF">
        <w:t>un</w:t>
      </w:r>
      <w:r w:rsidR="00927D42">
        <w:t>securitized real estate positively correlate with inflation, where REITs have been observed as having a negative relationship with inflation. If the authors’ hypothesis that 1992 was a pivotal year for REITs, there should be cointegration between REITs and inflation before 1992</w:t>
      </w:r>
      <w:r w:rsidR="00C851C0">
        <w:t xml:space="preserve"> but not after</w:t>
      </w:r>
      <w:r w:rsidR="00927D42">
        <w:t>.</w:t>
      </w:r>
    </w:p>
    <w:p w:rsidR="005138CF" w:rsidRPr="005138CF" w:rsidRDefault="00451F5B" w:rsidP="005138CF">
      <w:pPr>
        <w:spacing w:line="480" w:lineRule="auto"/>
        <w:rPr>
          <w:b/>
          <w:sz w:val="28"/>
        </w:rPr>
      </w:pPr>
      <w:r>
        <w:rPr>
          <w:b/>
          <w:sz w:val="28"/>
        </w:rPr>
        <w:t xml:space="preserve">2. </w:t>
      </w:r>
      <w:r w:rsidR="005138CF" w:rsidRPr="005138CF">
        <w:rPr>
          <w:b/>
          <w:sz w:val="28"/>
        </w:rPr>
        <w:t>Data</w:t>
      </w:r>
    </w:p>
    <w:p w:rsidR="00256E5F" w:rsidRDefault="00256E5F" w:rsidP="00A8660A">
      <w:pPr>
        <w:spacing w:line="480" w:lineRule="auto"/>
        <w:ind w:firstLine="720"/>
      </w:pPr>
      <w:r>
        <w:t xml:space="preserve">There are </w:t>
      </w:r>
      <w:r w:rsidR="00324641">
        <w:t>ten</w:t>
      </w:r>
      <w:r>
        <w:t xml:space="preserve"> </w:t>
      </w:r>
      <w:r w:rsidR="00324641">
        <w:t>series</w:t>
      </w:r>
      <w:r>
        <w:t xml:space="preserve"> from f</w:t>
      </w:r>
      <w:r w:rsidR="00324641">
        <w:t>ive</w:t>
      </w:r>
      <w:r>
        <w:t xml:space="preserve"> different sources used in the</w:t>
      </w:r>
      <w:r w:rsidR="00C851C0">
        <w:t xml:space="preserve"> Glascock, Lu, and </w:t>
      </w:r>
      <w:proofErr w:type="gramStart"/>
      <w:r w:rsidR="00C851C0">
        <w:t>So</w:t>
      </w:r>
      <w:proofErr w:type="gramEnd"/>
      <w:r>
        <w:t xml:space="preserve"> paper. Monthly data on the REIT Total </w:t>
      </w:r>
      <w:r w:rsidR="00776B64">
        <w:t>Return and Share Price Index</w:t>
      </w:r>
      <w:r w:rsidR="00324641">
        <w:t xml:space="preserve"> for all REITs, mortgage REITs, and equity REITs </w:t>
      </w:r>
      <w:r w:rsidR="00E574D4">
        <w:t xml:space="preserve">come from the NAREIT’s “REIT Handbook.” The S&amp;P 500 Index data is from the CRSP database. The paper uses the Salomon 10 </w:t>
      </w:r>
      <w:r w:rsidR="00324641">
        <w:t xml:space="preserve">year </w:t>
      </w:r>
      <w:r w:rsidR="00E574D4">
        <w:t>Treasury Year Benchmark Indices</w:t>
      </w:r>
      <w:r w:rsidR="00927D42">
        <w:t>, a metric for bonds,</w:t>
      </w:r>
      <w:r w:rsidR="00E574D4">
        <w:t xml:space="preserve"> and the NCREIF Property index: </w:t>
      </w:r>
      <w:r w:rsidR="00324641">
        <w:t xml:space="preserve">both </w:t>
      </w:r>
      <w:r w:rsidR="00E574D4">
        <w:t>of which were acquired from a Bloomberg terminals. Finally, the paper uses the seasonally adjusted Consumer Price Index (CPISA) which is produced by the Federal Reserve Bank of St. Louis.</w:t>
      </w:r>
    </w:p>
    <w:p w:rsidR="00E574D4" w:rsidRDefault="00C851C0" w:rsidP="00A8660A">
      <w:pPr>
        <w:spacing w:line="480" w:lineRule="auto"/>
        <w:ind w:firstLine="720"/>
      </w:pPr>
      <w:r>
        <w:lastRenderedPageBreak/>
        <w:t>This replication will be using</w:t>
      </w:r>
      <w:r w:rsidR="00E574D4">
        <w:t xml:space="preserve"> three of the same data </w:t>
      </w:r>
      <w:r w:rsidR="00324641">
        <w:t>sources</w:t>
      </w:r>
      <w:r w:rsidR="00E574D4">
        <w:t xml:space="preserve"> and will be substituting for the other two</w:t>
      </w:r>
      <w:r>
        <w:t>. M</w:t>
      </w:r>
      <w:r w:rsidR="00E574D4">
        <w:t>onthly data on the REIT Total Return and Share Prices Indices</w:t>
      </w:r>
      <w:r>
        <w:t xml:space="preserve"> has been obtained</w:t>
      </w:r>
      <w:r w:rsidR="00E574D4">
        <w:t xml:space="preserve"> from the NAREIT website. </w:t>
      </w:r>
      <w:r>
        <w:t>M</w:t>
      </w:r>
      <w:r w:rsidR="00E574D4">
        <w:t>onthly S&amp;P 500 Index data and the Consumer Price Index data</w:t>
      </w:r>
      <w:r>
        <w:t xml:space="preserve"> have been obtained</w:t>
      </w:r>
      <w:r w:rsidR="00E574D4">
        <w:t xml:space="preserve"> from FRED, the Federal Reserve Economic Data</w:t>
      </w:r>
      <w:r w:rsidR="00324641">
        <w:t xml:space="preserve"> website</w:t>
      </w:r>
      <w:r w:rsidR="00E574D4">
        <w:t xml:space="preserve"> set up by the Federal Reserve Bank of St. Louis.</w:t>
      </w:r>
      <w:r>
        <w:t xml:space="preserve"> Salomon no longer exists, so the 1 </w:t>
      </w:r>
      <w:r w:rsidR="00E574D4">
        <w:t>and 10 year treasury benchmarks generated by FRED</w:t>
      </w:r>
      <w:r>
        <w:t xml:space="preserve"> will be used</w:t>
      </w:r>
      <w:r w:rsidR="00E574D4">
        <w:t xml:space="preserve">. The NCREIF Property index requires a fee to use, so </w:t>
      </w:r>
      <w:r w:rsidR="0076731F">
        <w:t>FRED’s</w:t>
      </w:r>
      <w:r w:rsidR="00191ECD">
        <w:t xml:space="preserve"> Real Residential Property Prices Index </w:t>
      </w:r>
      <w:r>
        <w:t xml:space="preserve">will be substituted </w:t>
      </w:r>
      <w:r w:rsidR="00191ECD">
        <w:t>(QUSR)</w:t>
      </w:r>
      <w:r w:rsidR="0076731F">
        <w:t>.</w:t>
      </w:r>
    </w:p>
    <w:tbl>
      <w:tblPr>
        <w:tblStyle w:val="TableGrid"/>
        <w:tblW w:w="0" w:type="auto"/>
        <w:tblLook w:val="04A0" w:firstRow="1" w:lastRow="0" w:firstColumn="1" w:lastColumn="0" w:noHBand="0" w:noVBand="1"/>
      </w:tblPr>
      <w:tblGrid>
        <w:gridCol w:w="3865"/>
        <w:gridCol w:w="1530"/>
        <w:gridCol w:w="2160"/>
        <w:gridCol w:w="1795"/>
      </w:tblGrid>
      <w:tr w:rsidR="00CB6501" w:rsidTr="00191ECD">
        <w:tc>
          <w:tcPr>
            <w:tcW w:w="3865" w:type="dxa"/>
            <w:tcBorders>
              <w:bottom w:val="single" w:sz="4" w:space="0" w:color="auto"/>
              <w:right w:val="nil"/>
            </w:tcBorders>
          </w:tcPr>
          <w:p w:rsidR="00CB6501" w:rsidRPr="00191ECD" w:rsidRDefault="00CB6501" w:rsidP="00191ECD">
            <w:pPr>
              <w:rPr>
                <w:b/>
              </w:rPr>
            </w:pPr>
            <w:r w:rsidRPr="00191ECD">
              <w:rPr>
                <w:b/>
              </w:rPr>
              <w:t>Data Series</w:t>
            </w:r>
          </w:p>
        </w:tc>
        <w:tc>
          <w:tcPr>
            <w:tcW w:w="1530" w:type="dxa"/>
            <w:tcBorders>
              <w:left w:val="nil"/>
              <w:bottom w:val="single" w:sz="4" w:space="0" w:color="auto"/>
              <w:right w:val="nil"/>
            </w:tcBorders>
          </w:tcPr>
          <w:p w:rsidR="00CB6501" w:rsidRPr="00191ECD" w:rsidRDefault="005778CC" w:rsidP="00191ECD">
            <w:pPr>
              <w:rPr>
                <w:b/>
              </w:rPr>
            </w:pPr>
            <w:r w:rsidRPr="00191ECD">
              <w:rPr>
                <w:b/>
              </w:rPr>
              <w:t>Source</w:t>
            </w:r>
          </w:p>
        </w:tc>
        <w:tc>
          <w:tcPr>
            <w:tcW w:w="2160" w:type="dxa"/>
            <w:tcBorders>
              <w:left w:val="nil"/>
              <w:bottom w:val="single" w:sz="4" w:space="0" w:color="auto"/>
              <w:right w:val="nil"/>
            </w:tcBorders>
          </w:tcPr>
          <w:p w:rsidR="00CB6501" w:rsidRPr="00191ECD" w:rsidRDefault="005778CC" w:rsidP="00191ECD">
            <w:pPr>
              <w:rPr>
                <w:b/>
              </w:rPr>
            </w:pPr>
            <w:r w:rsidRPr="00191ECD">
              <w:rPr>
                <w:b/>
              </w:rPr>
              <w:t>Duration</w:t>
            </w:r>
          </w:p>
        </w:tc>
        <w:tc>
          <w:tcPr>
            <w:tcW w:w="1795" w:type="dxa"/>
            <w:tcBorders>
              <w:left w:val="nil"/>
              <w:bottom w:val="single" w:sz="4" w:space="0" w:color="auto"/>
            </w:tcBorders>
          </w:tcPr>
          <w:p w:rsidR="00CB6501" w:rsidRPr="00191ECD" w:rsidRDefault="005778CC" w:rsidP="00191ECD">
            <w:pPr>
              <w:rPr>
                <w:b/>
              </w:rPr>
            </w:pPr>
            <w:r w:rsidRPr="00191ECD">
              <w:rPr>
                <w:b/>
              </w:rPr>
              <w:t>Type</w:t>
            </w:r>
          </w:p>
        </w:tc>
      </w:tr>
      <w:tr w:rsidR="00CB6501" w:rsidTr="00191ECD">
        <w:tc>
          <w:tcPr>
            <w:tcW w:w="3865" w:type="dxa"/>
            <w:tcBorders>
              <w:bottom w:val="nil"/>
              <w:right w:val="nil"/>
            </w:tcBorders>
          </w:tcPr>
          <w:p w:rsidR="00CB6501" w:rsidRDefault="005778CC" w:rsidP="00191ECD">
            <w:r>
              <w:t>Consumer Price Index</w:t>
            </w:r>
          </w:p>
        </w:tc>
        <w:tc>
          <w:tcPr>
            <w:tcW w:w="1530" w:type="dxa"/>
            <w:tcBorders>
              <w:left w:val="nil"/>
              <w:bottom w:val="nil"/>
              <w:right w:val="nil"/>
            </w:tcBorders>
          </w:tcPr>
          <w:p w:rsidR="00CB6501" w:rsidRDefault="005778CC" w:rsidP="00191ECD">
            <w:r>
              <w:t>FRED</w:t>
            </w:r>
          </w:p>
        </w:tc>
        <w:tc>
          <w:tcPr>
            <w:tcW w:w="2160" w:type="dxa"/>
            <w:tcBorders>
              <w:left w:val="nil"/>
              <w:bottom w:val="nil"/>
              <w:right w:val="nil"/>
            </w:tcBorders>
          </w:tcPr>
          <w:p w:rsidR="00CB6501" w:rsidRDefault="005778CC" w:rsidP="00191ECD">
            <w:r>
              <w:t>01/1972 –</w:t>
            </w:r>
            <w:r w:rsidR="00191ECD">
              <w:t xml:space="preserve"> 12/1996</w:t>
            </w:r>
          </w:p>
        </w:tc>
        <w:tc>
          <w:tcPr>
            <w:tcW w:w="1795" w:type="dxa"/>
            <w:tcBorders>
              <w:left w:val="nil"/>
              <w:bottom w:val="nil"/>
            </w:tcBorders>
          </w:tcPr>
          <w:p w:rsidR="00CB6501" w:rsidRDefault="005778CC" w:rsidP="00191ECD">
            <w:r>
              <w:t>Monthly</w:t>
            </w:r>
          </w:p>
        </w:tc>
      </w:tr>
      <w:tr w:rsidR="00CB6501" w:rsidTr="00191ECD">
        <w:tc>
          <w:tcPr>
            <w:tcW w:w="3865" w:type="dxa"/>
            <w:tcBorders>
              <w:top w:val="nil"/>
              <w:bottom w:val="nil"/>
              <w:right w:val="nil"/>
            </w:tcBorders>
          </w:tcPr>
          <w:p w:rsidR="00CB6501" w:rsidRDefault="005778CC" w:rsidP="00191ECD">
            <w:r>
              <w:t>REIT Share Price Index</w:t>
            </w:r>
          </w:p>
        </w:tc>
        <w:tc>
          <w:tcPr>
            <w:tcW w:w="1530" w:type="dxa"/>
            <w:tcBorders>
              <w:top w:val="nil"/>
              <w:left w:val="nil"/>
              <w:bottom w:val="nil"/>
              <w:right w:val="nil"/>
            </w:tcBorders>
          </w:tcPr>
          <w:p w:rsidR="00CB6501" w:rsidRDefault="005778CC" w:rsidP="00191ECD">
            <w:r>
              <w:t>NAREIT</w:t>
            </w:r>
          </w:p>
        </w:tc>
        <w:tc>
          <w:tcPr>
            <w:tcW w:w="2160" w:type="dxa"/>
            <w:tcBorders>
              <w:top w:val="nil"/>
              <w:left w:val="nil"/>
              <w:bottom w:val="nil"/>
              <w:right w:val="nil"/>
            </w:tcBorders>
          </w:tcPr>
          <w:p w:rsidR="00CB6501" w:rsidRDefault="005778CC" w:rsidP="00191ECD">
            <w:r>
              <w:t>01/1972 – 12/1996</w:t>
            </w:r>
          </w:p>
        </w:tc>
        <w:tc>
          <w:tcPr>
            <w:tcW w:w="1795" w:type="dxa"/>
            <w:tcBorders>
              <w:top w:val="nil"/>
              <w:left w:val="nil"/>
              <w:bottom w:val="nil"/>
            </w:tcBorders>
          </w:tcPr>
          <w:p w:rsidR="00CB6501" w:rsidRDefault="005778CC" w:rsidP="00191ECD">
            <w:r>
              <w:t>Monthly</w:t>
            </w:r>
          </w:p>
        </w:tc>
      </w:tr>
      <w:tr w:rsidR="005778CC" w:rsidTr="00191ECD">
        <w:tc>
          <w:tcPr>
            <w:tcW w:w="3865" w:type="dxa"/>
            <w:tcBorders>
              <w:top w:val="nil"/>
              <w:bottom w:val="nil"/>
              <w:right w:val="nil"/>
            </w:tcBorders>
          </w:tcPr>
          <w:p w:rsidR="005778CC" w:rsidRDefault="005778CC" w:rsidP="00191ECD">
            <w:r>
              <w:t>REIT Total Return Index</w:t>
            </w:r>
          </w:p>
        </w:tc>
        <w:tc>
          <w:tcPr>
            <w:tcW w:w="1530" w:type="dxa"/>
            <w:tcBorders>
              <w:top w:val="nil"/>
              <w:left w:val="nil"/>
              <w:bottom w:val="nil"/>
              <w:right w:val="nil"/>
            </w:tcBorders>
          </w:tcPr>
          <w:p w:rsidR="005778CC" w:rsidRDefault="005778CC" w:rsidP="00191ECD">
            <w:r>
              <w:t>NAREIT</w:t>
            </w:r>
          </w:p>
        </w:tc>
        <w:tc>
          <w:tcPr>
            <w:tcW w:w="2160" w:type="dxa"/>
            <w:tcBorders>
              <w:top w:val="nil"/>
              <w:left w:val="nil"/>
              <w:bottom w:val="nil"/>
              <w:right w:val="nil"/>
            </w:tcBorders>
          </w:tcPr>
          <w:p w:rsidR="005778CC" w:rsidRDefault="005778CC" w:rsidP="00191ECD">
            <w:r>
              <w:t>01/1972 – 12/1996</w:t>
            </w:r>
          </w:p>
        </w:tc>
        <w:tc>
          <w:tcPr>
            <w:tcW w:w="1795" w:type="dxa"/>
            <w:tcBorders>
              <w:top w:val="nil"/>
              <w:left w:val="nil"/>
              <w:bottom w:val="nil"/>
            </w:tcBorders>
          </w:tcPr>
          <w:p w:rsidR="005778CC" w:rsidRDefault="005778CC" w:rsidP="00191ECD">
            <w:r>
              <w:t>Monthly</w:t>
            </w:r>
          </w:p>
        </w:tc>
      </w:tr>
      <w:tr w:rsidR="005778CC" w:rsidTr="00191ECD">
        <w:tc>
          <w:tcPr>
            <w:tcW w:w="3865" w:type="dxa"/>
            <w:tcBorders>
              <w:top w:val="nil"/>
              <w:bottom w:val="nil"/>
              <w:right w:val="nil"/>
            </w:tcBorders>
          </w:tcPr>
          <w:p w:rsidR="005778CC" w:rsidRDefault="00191ECD" w:rsidP="00191ECD">
            <w:r>
              <w:t>Real Residential Property Prices Index (QUSR)</w:t>
            </w:r>
          </w:p>
        </w:tc>
        <w:tc>
          <w:tcPr>
            <w:tcW w:w="1530" w:type="dxa"/>
            <w:tcBorders>
              <w:top w:val="nil"/>
              <w:left w:val="nil"/>
              <w:bottom w:val="nil"/>
              <w:right w:val="nil"/>
            </w:tcBorders>
          </w:tcPr>
          <w:p w:rsidR="005778CC" w:rsidRDefault="00191ECD" w:rsidP="00191ECD">
            <w:r>
              <w:t>FRED</w:t>
            </w:r>
          </w:p>
        </w:tc>
        <w:tc>
          <w:tcPr>
            <w:tcW w:w="2160" w:type="dxa"/>
            <w:tcBorders>
              <w:top w:val="nil"/>
              <w:left w:val="nil"/>
              <w:bottom w:val="nil"/>
              <w:right w:val="nil"/>
            </w:tcBorders>
          </w:tcPr>
          <w:p w:rsidR="005778CC" w:rsidRDefault="00191ECD" w:rsidP="00191ECD">
            <w:r>
              <w:t>12/1977 –  12/1996</w:t>
            </w:r>
          </w:p>
        </w:tc>
        <w:tc>
          <w:tcPr>
            <w:tcW w:w="1795" w:type="dxa"/>
            <w:tcBorders>
              <w:top w:val="nil"/>
              <w:left w:val="nil"/>
              <w:bottom w:val="nil"/>
            </w:tcBorders>
          </w:tcPr>
          <w:p w:rsidR="005778CC" w:rsidRDefault="005778CC" w:rsidP="00191ECD">
            <w:r>
              <w:t>Quarterly</w:t>
            </w:r>
          </w:p>
        </w:tc>
      </w:tr>
      <w:tr w:rsidR="005778CC" w:rsidTr="00191ECD">
        <w:tc>
          <w:tcPr>
            <w:tcW w:w="3865" w:type="dxa"/>
            <w:tcBorders>
              <w:top w:val="nil"/>
              <w:bottom w:val="nil"/>
              <w:right w:val="nil"/>
            </w:tcBorders>
          </w:tcPr>
          <w:p w:rsidR="005778CC" w:rsidRDefault="00191ECD" w:rsidP="00191ECD">
            <w:r>
              <w:t>10-Year Treasury Index (DGS10)</w:t>
            </w:r>
          </w:p>
        </w:tc>
        <w:tc>
          <w:tcPr>
            <w:tcW w:w="1530" w:type="dxa"/>
            <w:tcBorders>
              <w:top w:val="nil"/>
              <w:left w:val="nil"/>
              <w:bottom w:val="nil"/>
              <w:right w:val="nil"/>
            </w:tcBorders>
          </w:tcPr>
          <w:p w:rsidR="005778CC" w:rsidRDefault="00191ECD" w:rsidP="00191ECD">
            <w:r>
              <w:t>FRED</w:t>
            </w:r>
          </w:p>
        </w:tc>
        <w:tc>
          <w:tcPr>
            <w:tcW w:w="2160" w:type="dxa"/>
            <w:tcBorders>
              <w:top w:val="nil"/>
              <w:left w:val="nil"/>
              <w:bottom w:val="nil"/>
              <w:right w:val="nil"/>
            </w:tcBorders>
          </w:tcPr>
          <w:p w:rsidR="005778CC" w:rsidRDefault="00191ECD" w:rsidP="00191ECD">
            <w:r>
              <w:t>1/1980 – 12/1996</w:t>
            </w:r>
          </w:p>
        </w:tc>
        <w:tc>
          <w:tcPr>
            <w:tcW w:w="1795" w:type="dxa"/>
            <w:tcBorders>
              <w:top w:val="nil"/>
              <w:left w:val="nil"/>
              <w:bottom w:val="nil"/>
            </w:tcBorders>
          </w:tcPr>
          <w:p w:rsidR="005778CC" w:rsidRDefault="005778CC" w:rsidP="00191ECD">
            <w:r>
              <w:t>Monthly</w:t>
            </w:r>
          </w:p>
        </w:tc>
      </w:tr>
      <w:tr w:rsidR="00191ECD" w:rsidTr="00191ECD">
        <w:tc>
          <w:tcPr>
            <w:tcW w:w="3865" w:type="dxa"/>
            <w:tcBorders>
              <w:top w:val="nil"/>
              <w:right w:val="nil"/>
            </w:tcBorders>
          </w:tcPr>
          <w:p w:rsidR="00191ECD" w:rsidRDefault="00191ECD" w:rsidP="00191ECD">
            <w:r>
              <w:t>S&amp;P 500</w:t>
            </w:r>
          </w:p>
        </w:tc>
        <w:tc>
          <w:tcPr>
            <w:tcW w:w="1530" w:type="dxa"/>
            <w:tcBorders>
              <w:top w:val="nil"/>
              <w:left w:val="nil"/>
              <w:right w:val="nil"/>
            </w:tcBorders>
          </w:tcPr>
          <w:p w:rsidR="00191ECD" w:rsidRDefault="00191ECD" w:rsidP="00191ECD">
            <w:r>
              <w:t>Yahoo Finance</w:t>
            </w:r>
          </w:p>
        </w:tc>
        <w:tc>
          <w:tcPr>
            <w:tcW w:w="2160" w:type="dxa"/>
            <w:tcBorders>
              <w:top w:val="nil"/>
              <w:left w:val="nil"/>
              <w:right w:val="nil"/>
            </w:tcBorders>
          </w:tcPr>
          <w:p w:rsidR="00191ECD" w:rsidRDefault="00191ECD" w:rsidP="00191ECD">
            <w:r>
              <w:t>01/1972 – 12/1996</w:t>
            </w:r>
          </w:p>
        </w:tc>
        <w:tc>
          <w:tcPr>
            <w:tcW w:w="1795" w:type="dxa"/>
            <w:tcBorders>
              <w:top w:val="nil"/>
              <w:left w:val="nil"/>
            </w:tcBorders>
          </w:tcPr>
          <w:p w:rsidR="00191ECD" w:rsidRDefault="00191ECD" w:rsidP="00191ECD">
            <w:r>
              <w:t>Monthly</w:t>
            </w:r>
          </w:p>
        </w:tc>
      </w:tr>
    </w:tbl>
    <w:p w:rsidR="00CB6501" w:rsidRDefault="00CB6501" w:rsidP="00A8660A">
      <w:pPr>
        <w:spacing w:line="480" w:lineRule="auto"/>
        <w:ind w:firstLine="720"/>
      </w:pPr>
    </w:p>
    <w:p w:rsidR="00A0443A" w:rsidRDefault="00451F5B" w:rsidP="00A0443A">
      <w:pPr>
        <w:spacing w:line="480" w:lineRule="auto"/>
        <w:rPr>
          <w:b/>
          <w:sz w:val="28"/>
        </w:rPr>
      </w:pPr>
      <w:r>
        <w:rPr>
          <w:b/>
          <w:sz w:val="28"/>
        </w:rPr>
        <w:t xml:space="preserve">3. </w:t>
      </w:r>
      <w:r w:rsidR="00A0443A">
        <w:rPr>
          <w:b/>
          <w:sz w:val="28"/>
        </w:rPr>
        <w:t>Methodology</w:t>
      </w:r>
    </w:p>
    <w:p w:rsidR="00A0443A" w:rsidRDefault="00A0443A" w:rsidP="00A0443A">
      <w:pPr>
        <w:spacing w:line="480" w:lineRule="auto"/>
      </w:pPr>
      <w:r>
        <w:rPr>
          <w:sz w:val="24"/>
        </w:rPr>
        <w:tab/>
      </w:r>
      <w:r>
        <w:t>Glascock, Lu, and So use the Augmented Dickey-</w:t>
      </w:r>
      <w:proofErr w:type="gramStart"/>
      <w:r>
        <w:t>Fuller(</w:t>
      </w:r>
      <w:proofErr w:type="gramEnd"/>
      <w:r>
        <w:t>ADF) and Phillips-</w:t>
      </w:r>
      <w:proofErr w:type="spellStart"/>
      <w:r>
        <w:t>Perron</w:t>
      </w:r>
      <w:proofErr w:type="spellEnd"/>
      <w:r>
        <w:t xml:space="preserve">(PP) </w:t>
      </w:r>
      <w:r w:rsidR="006A390E">
        <w:t xml:space="preserve">unit root </w:t>
      </w:r>
      <w:r>
        <w:t>tests to test for the existence of cointegration.</w:t>
      </w:r>
      <w:r w:rsidR="006A390E">
        <w:t xml:space="preserve"> </w:t>
      </w:r>
      <w:r w:rsidR="0096790E">
        <w:t>When investigating c</w:t>
      </w:r>
      <w:r w:rsidR="006A390E">
        <w:t xml:space="preserve">ointegration, one must first test </w:t>
      </w:r>
      <w:r w:rsidR="00C851C0">
        <w:t xml:space="preserve">if </w:t>
      </w:r>
      <w:r w:rsidR="006A390E">
        <w:t xml:space="preserve">the level series have unit root present. </w:t>
      </w:r>
      <w:r w:rsidR="0096790E">
        <w:t>O</w:t>
      </w:r>
      <w:r w:rsidR="006A390E">
        <w:t xml:space="preserve">ne is looking for </w:t>
      </w:r>
      <w:r w:rsidR="00C851C0">
        <w:t xml:space="preserve">the level </w:t>
      </w:r>
      <w:r w:rsidR="006A390E">
        <w:t xml:space="preserve">series to be integrated of the same level, 1, and a linear combination of the series to be integrated of level 0, or stationary. So, the unit root test </w:t>
      </w:r>
      <w:r w:rsidR="0096790E">
        <w:t xml:space="preserve">is </w:t>
      </w:r>
      <w:r w:rsidR="006A390E">
        <w:t>first applied to all the level series</w:t>
      </w:r>
      <w:r w:rsidR="0096790E">
        <w:t xml:space="preserve">. If unit root is present among two of the variables, then </w:t>
      </w:r>
      <w:r w:rsidR="00C851C0">
        <w:t>the researcher</w:t>
      </w:r>
      <w:r w:rsidR="0096790E">
        <w:t xml:space="preserve"> regresses one variable upon the other and applies the unit root test to the regression.</w:t>
      </w:r>
      <w:r w:rsidR="00C851C0">
        <w:t xml:space="preserve"> The</w:t>
      </w:r>
      <w:r w:rsidR="0096790E">
        <w:t xml:space="preserve"> ADF and PP </w:t>
      </w:r>
      <w:r w:rsidR="00C851C0">
        <w:t xml:space="preserve">equations </w:t>
      </w:r>
      <w:r w:rsidR="0096790E">
        <w:t xml:space="preserve">used in the </w:t>
      </w:r>
      <w:r w:rsidR="00C851C0">
        <w:t>replication</w:t>
      </w:r>
      <w:r w:rsidR="0096790E">
        <w:t xml:space="preserve"> are of the standard functional form and are detailed in Glascock, Lu, and So.</w:t>
      </w:r>
    </w:p>
    <w:p w:rsidR="0096790E" w:rsidRDefault="0096790E" w:rsidP="00A0443A">
      <w:pPr>
        <w:spacing w:line="480" w:lineRule="auto"/>
      </w:pPr>
      <w:r>
        <w:tab/>
        <w:t>The authors also use error-correction models</w:t>
      </w:r>
      <w:r w:rsidR="001B2C90">
        <w:t xml:space="preserve"> (ECM)</w:t>
      </w:r>
      <w:r>
        <w:t xml:space="preserve"> to establish Granger causality between series. Error correction model</w:t>
      </w:r>
      <w:r w:rsidR="00C851C0">
        <w:t>s</w:t>
      </w:r>
      <w:r w:rsidR="0071206E">
        <w:t xml:space="preserve"> are standard VAR equations with an extra error correction term which </w:t>
      </w:r>
      <w:r w:rsidR="0071206E">
        <w:lastRenderedPageBreak/>
        <w:t xml:space="preserve">captures </w:t>
      </w:r>
      <w:r w:rsidR="00C851C0">
        <w:t xml:space="preserve">a series’ </w:t>
      </w:r>
      <w:r w:rsidR="0071206E">
        <w:t xml:space="preserve">fluctuations and deviations from </w:t>
      </w:r>
      <w:r w:rsidR="00C851C0">
        <w:t xml:space="preserve">the error </w:t>
      </w:r>
      <w:r w:rsidR="0071206E">
        <w:t>equilibrium. Theoretically, error correction models are appropriate for cointegrated series as they capture both short term and long term effects of each series on the other.</w:t>
      </w:r>
    </w:p>
    <w:p w:rsidR="00DF5661" w:rsidRDefault="00DF5661" w:rsidP="00A0443A">
      <w:pPr>
        <w:spacing w:line="480" w:lineRule="auto"/>
      </w:pPr>
      <w:r>
        <w:tab/>
        <w:t xml:space="preserve">The only way this replication differs from the original work is </w:t>
      </w:r>
      <w:r w:rsidR="00C851C0">
        <w:t xml:space="preserve">in </w:t>
      </w:r>
      <w:r>
        <w:t>the estimation of error correction models. This replication</w:t>
      </w:r>
      <w:r w:rsidR="00C30D62">
        <w:t xml:space="preserve"> uses the trace statistic method of testing for cointegration as well as the ADF and PP. This difference will not be displayed in the results but was used in estimating the error correction model. Also, e</w:t>
      </w:r>
      <w:r>
        <w:t xml:space="preserve">very </w:t>
      </w:r>
      <w:r w:rsidR="00C851C0">
        <w:t xml:space="preserve">error correction </w:t>
      </w:r>
      <w:r>
        <w:t xml:space="preserve">model in the original paper includes two lagged terms of differenced variables where the replication will only use one. This is because estimations of </w:t>
      </w:r>
      <w:r w:rsidR="00C851C0">
        <w:t xml:space="preserve">several </w:t>
      </w:r>
      <w:r>
        <w:t>of the models were producing unstable coefficient estimates when two lags were included.</w:t>
      </w:r>
      <w:r w:rsidR="00C30D62">
        <w:t xml:space="preserve"> </w:t>
      </w:r>
    </w:p>
    <w:p w:rsidR="0071206E" w:rsidRDefault="00451F5B" w:rsidP="00A0443A">
      <w:pPr>
        <w:spacing w:line="480" w:lineRule="auto"/>
        <w:rPr>
          <w:b/>
          <w:sz w:val="28"/>
        </w:rPr>
      </w:pPr>
      <w:r>
        <w:rPr>
          <w:b/>
          <w:sz w:val="28"/>
        </w:rPr>
        <w:t xml:space="preserve">4. </w:t>
      </w:r>
      <w:r w:rsidR="0071206E">
        <w:rPr>
          <w:b/>
          <w:sz w:val="28"/>
        </w:rPr>
        <w:t>Results Replication</w:t>
      </w:r>
    </w:p>
    <w:p w:rsidR="0071206E" w:rsidRPr="0071206E" w:rsidRDefault="0071206E" w:rsidP="00A0443A">
      <w:pPr>
        <w:spacing w:line="480" w:lineRule="auto"/>
      </w:pPr>
      <w:r>
        <w:tab/>
      </w:r>
      <w:r w:rsidR="00CB6501">
        <w:t xml:space="preserve">The first results presented in the paper are those of the unit root tests of the REIT indices, S&amp;P 500, 1 and 10-Year treasury, CPI, and </w:t>
      </w:r>
      <w:r w:rsidR="00C851C0">
        <w:t>un</w:t>
      </w:r>
      <w:r w:rsidR="00CB6501">
        <w:t xml:space="preserve">securitized real estate index. Table 2 below includes all variables except the 1 year treasury, which was not used further in cointegration tests by the authors. </w:t>
      </w:r>
    </w:p>
    <w:p w:rsidR="00A60C14" w:rsidRDefault="00637C7D" w:rsidP="00451F5B">
      <w:pPr>
        <w:spacing w:line="480" w:lineRule="auto"/>
      </w:pPr>
      <w:r>
        <w:tab/>
        <w:t xml:space="preserve">For the most part, the unit root test results corroborate </w:t>
      </w:r>
      <w:r w:rsidR="00C851C0">
        <w:t xml:space="preserve">those of </w:t>
      </w:r>
      <w:r>
        <w:t xml:space="preserve">Glascock, Lu, and </w:t>
      </w:r>
      <w:proofErr w:type="spellStart"/>
      <w:proofErr w:type="gramStart"/>
      <w:r>
        <w:t>So’s</w:t>
      </w:r>
      <w:proofErr w:type="spellEnd"/>
      <w:proofErr w:type="gramEnd"/>
      <w:r>
        <w:t xml:space="preserve">, even with </w:t>
      </w:r>
      <w:r w:rsidR="00C851C0">
        <w:t>substitute indices. This result</w:t>
      </w:r>
      <w:r>
        <w:t xml:space="preserve"> is not much of a stretch, as the indices are for financial time series, many of which tend to be non-stationary.  The ADF and PP test statistic is too small to reject the null of non-stationarity for every level series at every time period at </w:t>
      </w:r>
      <w:r w:rsidR="00451F5B">
        <w:t>any significance. For the first difference of each series the null of non-stationary can be rejected</w:t>
      </w:r>
      <w:r>
        <w:t xml:space="preserve"> </w:t>
      </w:r>
      <w:r w:rsidR="00451F5B">
        <w:t xml:space="preserve">at the </w:t>
      </w:r>
      <w:r>
        <w:t>1% level of significance. The only exception is the unsecuritized</w:t>
      </w:r>
      <w:r w:rsidR="00451F5B">
        <w:t xml:space="preserve"> real estate index, which can only be rejected at the 5% level of significance.</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A60C14" w:rsidTr="00936D3D">
        <w:tc>
          <w:tcPr>
            <w:tcW w:w="9350" w:type="dxa"/>
            <w:gridSpan w:val="7"/>
          </w:tcPr>
          <w:p w:rsidR="00A60C14" w:rsidRPr="00356FA7" w:rsidRDefault="00E26928" w:rsidP="00356FA7">
            <w:pPr>
              <w:pBdr>
                <w:between w:val="single" w:sz="4" w:space="1" w:color="auto"/>
              </w:pBdr>
              <w:rPr>
                <w:b/>
              </w:rPr>
            </w:pPr>
            <w:r w:rsidRPr="00747A14">
              <w:rPr>
                <w:b/>
                <w:sz w:val="24"/>
              </w:rPr>
              <w:t xml:space="preserve">Table 2: Test for Unit Root on REIT Total Return Indices, REIT Share Prices Index, S&amp;P 500 Index, </w:t>
            </w:r>
            <w:r w:rsidR="00747A14" w:rsidRPr="00747A14">
              <w:rPr>
                <w:b/>
                <w:sz w:val="24"/>
              </w:rPr>
              <w:t>10 Year Treasury Index, and QUSR Index</w:t>
            </w:r>
          </w:p>
        </w:tc>
      </w:tr>
      <w:tr w:rsidR="00E26928" w:rsidTr="00936D3D">
        <w:tc>
          <w:tcPr>
            <w:tcW w:w="9350" w:type="dxa"/>
            <w:gridSpan w:val="7"/>
          </w:tcPr>
          <w:p w:rsidR="00E26928" w:rsidRPr="00356FA7" w:rsidRDefault="00E26928" w:rsidP="00356FA7">
            <w:pPr>
              <w:pBdr>
                <w:between w:val="single" w:sz="4" w:space="1" w:color="auto"/>
              </w:pBdr>
              <w:rPr>
                <w:b/>
              </w:rPr>
            </w:pPr>
            <w:r w:rsidRPr="00356FA7">
              <w:rPr>
                <w:b/>
              </w:rPr>
              <w:t>Panel A: Total REIT Return and Share Indices and S&amp;P 500</w:t>
            </w:r>
          </w:p>
        </w:tc>
      </w:tr>
      <w:tr w:rsidR="00A60C14" w:rsidTr="00356FA7">
        <w:tc>
          <w:tcPr>
            <w:tcW w:w="1335" w:type="dxa"/>
            <w:tcBorders>
              <w:right w:val="nil"/>
            </w:tcBorders>
          </w:tcPr>
          <w:p w:rsidR="00A60C14" w:rsidRDefault="00A60C14" w:rsidP="00191ECD"/>
        </w:tc>
        <w:tc>
          <w:tcPr>
            <w:tcW w:w="8015" w:type="dxa"/>
            <w:gridSpan w:val="6"/>
            <w:tcBorders>
              <w:left w:val="nil"/>
            </w:tcBorders>
          </w:tcPr>
          <w:p w:rsidR="00A60C14" w:rsidRDefault="00A60C14" w:rsidP="00191ECD">
            <w:pPr>
              <w:jc w:val="center"/>
            </w:pPr>
            <w:r>
              <w:t>Level Series</w:t>
            </w:r>
          </w:p>
        </w:tc>
      </w:tr>
      <w:tr w:rsidR="00A60C14" w:rsidTr="00356FA7">
        <w:tc>
          <w:tcPr>
            <w:tcW w:w="1335" w:type="dxa"/>
            <w:tcBorders>
              <w:right w:val="nil"/>
            </w:tcBorders>
          </w:tcPr>
          <w:p w:rsidR="00A60C14" w:rsidRDefault="00A60C14" w:rsidP="00191ECD"/>
        </w:tc>
        <w:tc>
          <w:tcPr>
            <w:tcW w:w="2671" w:type="dxa"/>
            <w:gridSpan w:val="2"/>
            <w:tcBorders>
              <w:left w:val="nil"/>
            </w:tcBorders>
          </w:tcPr>
          <w:p w:rsidR="00A60C14" w:rsidRDefault="00A60C14" w:rsidP="00191ECD">
            <w:pPr>
              <w:jc w:val="center"/>
            </w:pPr>
            <w:r>
              <w:t>REIT Total Return Index</w:t>
            </w:r>
          </w:p>
        </w:tc>
        <w:tc>
          <w:tcPr>
            <w:tcW w:w="2672" w:type="dxa"/>
            <w:gridSpan w:val="2"/>
          </w:tcPr>
          <w:p w:rsidR="00A60C14" w:rsidRDefault="00A60C14" w:rsidP="00191ECD">
            <w:pPr>
              <w:jc w:val="center"/>
            </w:pPr>
            <w:r>
              <w:t>REIT Share Price Index</w:t>
            </w:r>
          </w:p>
        </w:tc>
        <w:tc>
          <w:tcPr>
            <w:tcW w:w="2672" w:type="dxa"/>
            <w:gridSpan w:val="2"/>
          </w:tcPr>
          <w:p w:rsidR="00A60C14" w:rsidRDefault="00A60C14" w:rsidP="00191ECD">
            <w:pPr>
              <w:jc w:val="center"/>
            </w:pPr>
            <w:r>
              <w:t>S&amp;P 500</w:t>
            </w:r>
          </w:p>
        </w:tc>
      </w:tr>
      <w:tr w:rsidR="00A60C14" w:rsidTr="00356FA7">
        <w:tc>
          <w:tcPr>
            <w:tcW w:w="1335" w:type="dxa"/>
            <w:tcBorders>
              <w:bottom w:val="single" w:sz="4" w:space="0" w:color="auto"/>
              <w:right w:val="nil"/>
            </w:tcBorders>
          </w:tcPr>
          <w:p w:rsidR="00A60C14" w:rsidRDefault="00A60C14" w:rsidP="00191ECD">
            <w:r>
              <w:t>Period</w:t>
            </w:r>
          </w:p>
        </w:tc>
        <w:tc>
          <w:tcPr>
            <w:tcW w:w="1335" w:type="dxa"/>
            <w:tcBorders>
              <w:left w:val="nil"/>
              <w:bottom w:val="single" w:sz="4" w:space="0" w:color="auto"/>
            </w:tcBorders>
          </w:tcPr>
          <w:p w:rsidR="00A60C14" w:rsidRDefault="00A60C14" w:rsidP="00191ECD">
            <w:r>
              <w:t>ADF</w:t>
            </w:r>
          </w:p>
        </w:tc>
        <w:tc>
          <w:tcPr>
            <w:tcW w:w="1336" w:type="dxa"/>
            <w:tcBorders>
              <w:bottom w:val="single" w:sz="4" w:space="0" w:color="auto"/>
            </w:tcBorders>
          </w:tcPr>
          <w:p w:rsidR="00A60C14" w:rsidRDefault="00A60C14" w:rsidP="00191ECD">
            <w:r>
              <w:t>PP</w:t>
            </w:r>
          </w:p>
        </w:tc>
        <w:tc>
          <w:tcPr>
            <w:tcW w:w="1336" w:type="dxa"/>
            <w:tcBorders>
              <w:bottom w:val="single" w:sz="4" w:space="0" w:color="auto"/>
            </w:tcBorders>
          </w:tcPr>
          <w:p w:rsidR="00A60C14" w:rsidRDefault="00A60C14" w:rsidP="00191ECD">
            <w:r>
              <w:t>ADF</w:t>
            </w:r>
          </w:p>
        </w:tc>
        <w:tc>
          <w:tcPr>
            <w:tcW w:w="1336" w:type="dxa"/>
            <w:tcBorders>
              <w:bottom w:val="single" w:sz="4" w:space="0" w:color="auto"/>
            </w:tcBorders>
          </w:tcPr>
          <w:p w:rsidR="00A60C14" w:rsidRDefault="00A60C14" w:rsidP="00191ECD">
            <w:r>
              <w:t>PP</w:t>
            </w:r>
          </w:p>
        </w:tc>
        <w:tc>
          <w:tcPr>
            <w:tcW w:w="1336" w:type="dxa"/>
            <w:tcBorders>
              <w:bottom w:val="single" w:sz="4" w:space="0" w:color="auto"/>
            </w:tcBorders>
          </w:tcPr>
          <w:p w:rsidR="00A60C14" w:rsidRDefault="00A60C14" w:rsidP="00191ECD">
            <w:r>
              <w:t>ADF</w:t>
            </w:r>
          </w:p>
        </w:tc>
        <w:tc>
          <w:tcPr>
            <w:tcW w:w="1336" w:type="dxa"/>
            <w:tcBorders>
              <w:bottom w:val="single" w:sz="4" w:space="0" w:color="auto"/>
            </w:tcBorders>
          </w:tcPr>
          <w:p w:rsidR="00A60C14" w:rsidRDefault="00A60C14" w:rsidP="00191ECD">
            <w:r>
              <w:t>PP</w:t>
            </w:r>
          </w:p>
        </w:tc>
      </w:tr>
      <w:tr w:rsidR="00A60C14" w:rsidTr="00191ECD">
        <w:tc>
          <w:tcPr>
            <w:tcW w:w="1335" w:type="dxa"/>
            <w:tcBorders>
              <w:bottom w:val="nil"/>
              <w:right w:val="nil"/>
            </w:tcBorders>
          </w:tcPr>
          <w:p w:rsidR="00A60C14" w:rsidRDefault="00A60C14" w:rsidP="00191ECD">
            <w:r>
              <w:lastRenderedPageBreak/>
              <w:t>1/72-12/96</w:t>
            </w:r>
          </w:p>
        </w:tc>
        <w:tc>
          <w:tcPr>
            <w:tcW w:w="1335" w:type="dxa"/>
            <w:tcBorders>
              <w:left w:val="nil"/>
              <w:bottom w:val="nil"/>
              <w:right w:val="nil"/>
            </w:tcBorders>
          </w:tcPr>
          <w:p w:rsidR="00A60C14" w:rsidRDefault="005130CC" w:rsidP="00191ECD">
            <w:r w:rsidRPr="005130CC">
              <w:t>-2.2433</w:t>
            </w:r>
          </w:p>
        </w:tc>
        <w:tc>
          <w:tcPr>
            <w:tcW w:w="1336" w:type="dxa"/>
            <w:tcBorders>
              <w:left w:val="nil"/>
              <w:bottom w:val="nil"/>
              <w:right w:val="nil"/>
            </w:tcBorders>
          </w:tcPr>
          <w:p w:rsidR="00A60C14" w:rsidRDefault="005130CC" w:rsidP="00191ECD">
            <w:r w:rsidRPr="005130CC">
              <w:t>-2.226</w:t>
            </w:r>
          </w:p>
        </w:tc>
        <w:tc>
          <w:tcPr>
            <w:tcW w:w="1336" w:type="dxa"/>
            <w:tcBorders>
              <w:left w:val="nil"/>
              <w:bottom w:val="nil"/>
              <w:right w:val="nil"/>
            </w:tcBorders>
          </w:tcPr>
          <w:p w:rsidR="00A60C14" w:rsidRDefault="005130CC" w:rsidP="00191ECD">
            <w:r w:rsidRPr="005130CC">
              <w:t>-2.1376</w:t>
            </w:r>
          </w:p>
        </w:tc>
        <w:tc>
          <w:tcPr>
            <w:tcW w:w="1336" w:type="dxa"/>
            <w:tcBorders>
              <w:left w:val="nil"/>
              <w:bottom w:val="nil"/>
              <w:right w:val="nil"/>
            </w:tcBorders>
          </w:tcPr>
          <w:p w:rsidR="00A60C14" w:rsidRDefault="005130CC" w:rsidP="00191ECD">
            <w:r w:rsidRPr="005130CC">
              <w:t>-2.1327</w:t>
            </w:r>
          </w:p>
        </w:tc>
        <w:tc>
          <w:tcPr>
            <w:tcW w:w="1336" w:type="dxa"/>
            <w:tcBorders>
              <w:left w:val="nil"/>
              <w:bottom w:val="nil"/>
              <w:right w:val="nil"/>
            </w:tcBorders>
          </w:tcPr>
          <w:p w:rsidR="00A60C14" w:rsidRDefault="005130CC" w:rsidP="00191ECD">
            <w:r w:rsidRPr="005130CC">
              <w:t>-2.8402</w:t>
            </w:r>
          </w:p>
        </w:tc>
        <w:tc>
          <w:tcPr>
            <w:tcW w:w="1336" w:type="dxa"/>
            <w:tcBorders>
              <w:left w:val="nil"/>
              <w:bottom w:val="nil"/>
            </w:tcBorders>
          </w:tcPr>
          <w:p w:rsidR="00A60C14" w:rsidRDefault="005130CC" w:rsidP="00191ECD">
            <w:r>
              <w:t>-</w:t>
            </w:r>
            <w:r w:rsidRPr="005130CC">
              <w:t>2.6027</w:t>
            </w:r>
          </w:p>
        </w:tc>
      </w:tr>
      <w:tr w:rsidR="00A60C14" w:rsidTr="00191ECD">
        <w:tc>
          <w:tcPr>
            <w:tcW w:w="1335" w:type="dxa"/>
            <w:tcBorders>
              <w:top w:val="nil"/>
              <w:bottom w:val="nil"/>
              <w:right w:val="nil"/>
            </w:tcBorders>
          </w:tcPr>
          <w:p w:rsidR="00A60C14" w:rsidRDefault="00A60C14" w:rsidP="00191ECD">
            <w:r>
              <w:t>1/72-12/91</w:t>
            </w:r>
          </w:p>
        </w:tc>
        <w:tc>
          <w:tcPr>
            <w:tcW w:w="1335" w:type="dxa"/>
            <w:tcBorders>
              <w:top w:val="nil"/>
              <w:left w:val="nil"/>
              <w:bottom w:val="nil"/>
              <w:right w:val="nil"/>
            </w:tcBorders>
          </w:tcPr>
          <w:p w:rsidR="00A60C14" w:rsidRDefault="008A54BD" w:rsidP="00191ECD">
            <w:r w:rsidRPr="008A54BD">
              <w:t>-2.0878</w:t>
            </w:r>
          </w:p>
        </w:tc>
        <w:tc>
          <w:tcPr>
            <w:tcW w:w="1336" w:type="dxa"/>
            <w:tcBorders>
              <w:top w:val="nil"/>
              <w:left w:val="nil"/>
              <w:bottom w:val="nil"/>
              <w:right w:val="nil"/>
            </w:tcBorders>
          </w:tcPr>
          <w:p w:rsidR="00A60C14" w:rsidRDefault="008A54BD" w:rsidP="00191ECD">
            <w:r w:rsidRPr="008A54BD">
              <w:t>-2.0371</w:t>
            </w:r>
          </w:p>
        </w:tc>
        <w:tc>
          <w:tcPr>
            <w:tcW w:w="1336" w:type="dxa"/>
            <w:tcBorders>
              <w:top w:val="nil"/>
              <w:left w:val="nil"/>
              <w:bottom w:val="nil"/>
              <w:right w:val="nil"/>
            </w:tcBorders>
          </w:tcPr>
          <w:p w:rsidR="00A60C14" w:rsidRDefault="008A54BD" w:rsidP="00191ECD">
            <w:r w:rsidRPr="008A54BD">
              <w:t>-1.9412</w:t>
            </w:r>
          </w:p>
        </w:tc>
        <w:tc>
          <w:tcPr>
            <w:tcW w:w="1336" w:type="dxa"/>
            <w:tcBorders>
              <w:top w:val="nil"/>
              <w:left w:val="nil"/>
              <w:bottom w:val="nil"/>
              <w:right w:val="nil"/>
            </w:tcBorders>
          </w:tcPr>
          <w:p w:rsidR="00A60C14" w:rsidRDefault="008A54BD" w:rsidP="00191ECD">
            <w:r w:rsidRPr="008A54BD">
              <w:t>-1.8929</w:t>
            </w:r>
          </w:p>
        </w:tc>
        <w:tc>
          <w:tcPr>
            <w:tcW w:w="1336" w:type="dxa"/>
            <w:tcBorders>
              <w:top w:val="nil"/>
              <w:left w:val="nil"/>
              <w:bottom w:val="nil"/>
              <w:right w:val="nil"/>
            </w:tcBorders>
          </w:tcPr>
          <w:p w:rsidR="00A60C14" w:rsidRDefault="008A54BD" w:rsidP="00191ECD">
            <w:r w:rsidRPr="008A54BD">
              <w:t>-2.519</w:t>
            </w:r>
          </w:p>
        </w:tc>
        <w:tc>
          <w:tcPr>
            <w:tcW w:w="1336" w:type="dxa"/>
            <w:tcBorders>
              <w:top w:val="nil"/>
              <w:left w:val="nil"/>
              <w:bottom w:val="nil"/>
            </w:tcBorders>
          </w:tcPr>
          <w:p w:rsidR="00A60C14" w:rsidRDefault="008A54BD" w:rsidP="00191ECD">
            <w:r w:rsidRPr="008A54BD">
              <w:t>-2.2718</w:t>
            </w:r>
          </w:p>
        </w:tc>
      </w:tr>
      <w:tr w:rsidR="00A60C14" w:rsidTr="00356FA7">
        <w:tc>
          <w:tcPr>
            <w:tcW w:w="1335" w:type="dxa"/>
            <w:tcBorders>
              <w:top w:val="nil"/>
              <w:bottom w:val="single" w:sz="4" w:space="0" w:color="auto"/>
              <w:right w:val="nil"/>
            </w:tcBorders>
          </w:tcPr>
          <w:p w:rsidR="00A60C14" w:rsidRDefault="00A60C14" w:rsidP="00191ECD">
            <w:r>
              <w:t>1/92-12/96</w:t>
            </w:r>
          </w:p>
        </w:tc>
        <w:tc>
          <w:tcPr>
            <w:tcW w:w="1335" w:type="dxa"/>
            <w:tcBorders>
              <w:top w:val="nil"/>
              <w:left w:val="nil"/>
              <w:right w:val="nil"/>
            </w:tcBorders>
          </w:tcPr>
          <w:p w:rsidR="00A60C14" w:rsidRPr="008A54BD" w:rsidRDefault="008A54BD" w:rsidP="00191ECD">
            <w:r w:rsidRPr="008A54BD">
              <w:t>-0.7471</w:t>
            </w:r>
          </w:p>
        </w:tc>
        <w:tc>
          <w:tcPr>
            <w:tcW w:w="1336" w:type="dxa"/>
            <w:tcBorders>
              <w:top w:val="nil"/>
              <w:left w:val="nil"/>
              <w:right w:val="nil"/>
            </w:tcBorders>
          </w:tcPr>
          <w:p w:rsidR="00A60C14" w:rsidRDefault="008A54BD" w:rsidP="00191ECD">
            <w:r w:rsidRPr="008A54BD">
              <w:t>-0.6726</w:t>
            </w:r>
          </w:p>
        </w:tc>
        <w:tc>
          <w:tcPr>
            <w:tcW w:w="1336" w:type="dxa"/>
            <w:tcBorders>
              <w:top w:val="nil"/>
              <w:left w:val="nil"/>
              <w:right w:val="nil"/>
            </w:tcBorders>
          </w:tcPr>
          <w:p w:rsidR="00A60C14" w:rsidRDefault="008A54BD" w:rsidP="00191ECD">
            <w:r w:rsidRPr="008A54BD">
              <w:t>-0.724</w:t>
            </w:r>
          </w:p>
        </w:tc>
        <w:tc>
          <w:tcPr>
            <w:tcW w:w="1336" w:type="dxa"/>
            <w:tcBorders>
              <w:top w:val="nil"/>
              <w:left w:val="nil"/>
              <w:right w:val="nil"/>
            </w:tcBorders>
          </w:tcPr>
          <w:p w:rsidR="00A60C14" w:rsidRDefault="008A54BD" w:rsidP="00191ECD">
            <w:r w:rsidRPr="008A54BD">
              <w:t>-0.6697</w:t>
            </w:r>
          </w:p>
        </w:tc>
        <w:tc>
          <w:tcPr>
            <w:tcW w:w="1336" w:type="dxa"/>
            <w:tcBorders>
              <w:top w:val="nil"/>
              <w:left w:val="nil"/>
              <w:right w:val="nil"/>
            </w:tcBorders>
          </w:tcPr>
          <w:p w:rsidR="00A60C14" w:rsidRDefault="008A54BD" w:rsidP="00191ECD">
            <w:r w:rsidRPr="008A54BD">
              <w:t>-0.8397</w:t>
            </w:r>
          </w:p>
        </w:tc>
        <w:tc>
          <w:tcPr>
            <w:tcW w:w="1336" w:type="dxa"/>
            <w:tcBorders>
              <w:top w:val="nil"/>
              <w:left w:val="nil"/>
            </w:tcBorders>
          </w:tcPr>
          <w:p w:rsidR="00A60C14" w:rsidRDefault="008A54BD" w:rsidP="00191ECD">
            <w:r w:rsidRPr="008A54BD">
              <w:t>-1.0421</w:t>
            </w:r>
          </w:p>
        </w:tc>
      </w:tr>
      <w:tr w:rsidR="00426D9C" w:rsidTr="00356FA7">
        <w:tc>
          <w:tcPr>
            <w:tcW w:w="1335" w:type="dxa"/>
            <w:tcBorders>
              <w:right w:val="nil"/>
            </w:tcBorders>
          </w:tcPr>
          <w:p w:rsidR="00426D9C" w:rsidRDefault="00426D9C" w:rsidP="00191ECD"/>
        </w:tc>
        <w:tc>
          <w:tcPr>
            <w:tcW w:w="8015" w:type="dxa"/>
            <w:gridSpan w:val="6"/>
            <w:tcBorders>
              <w:left w:val="nil"/>
            </w:tcBorders>
          </w:tcPr>
          <w:p w:rsidR="00426D9C" w:rsidRDefault="00426D9C" w:rsidP="00191ECD">
            <w:pPr>
              <w:jc w:val="center"/>
            </w:pPr>
            <w:r>
              <w:t>First Difference</w:t>
            </w:r>
          </w:p>
        </w:tc>
      </w:tr>
      <w:tr w:rsidR="00426D9C" w:rsidTr="00356FA7">
        <w:tc>
          <w:tcPr>
            <w:tcW w:w="1335" w:type="dxa"/>
            <w:tcBorders>
              <w:right w:val="nil"/>
            </w:tcBorders>
          </w:tcPr>
          <w:p w:rsidR="00426D9C" w:rsidRDefault="00426D9C" w:rsidP="00191ECD"/>
        </w:tc>
        <w:tc>
          <w:tcPr>
            <w:tcW w:w="2671" w:type="dxa"/>
            <w:gridSpan w:val="2"/>
            <w:tcBorders>
              <w:left w:val="nil"/>
            </w:tcBorders>
          </w:tcPr>
          <w:p w:rsidR="00426D9C" w:rsidRDefault="00426D9C" w:rsidP="00191ECD">
            <w:pPr>
              <w:jc w:val="center"/>
            </w:pPr>
            <w:r>
              <w:t>REIT Total Return Index</w:t>
            </w:r>
          </w:p>
        </w:tc>
        <w:tc>
          <w:tcPr>
            <w:tcW w:w="2672" w:type="dxa"/>
            <w:gridSpan w:val="2"/>
          </w:tcPr>
          <w:p w:rsidR="00426D9C" w:rsidRDefault="00426D9C" w:rsidP="00191ECD">
            <w:pPr>
              <w:jc w:val="center"/>
            </w:pPr>
            <w:r>
              <w:t>REIT Share Price Index</w:t>
            </w:r>
          </w:p>
        </w:tc>
        <w:tc>
          <w:tcPr>
            <w:tcW w:w="2672" w:type="dxa"/>
            <w:gridSpan w:val="2"/>
          </w:tcPr>
          <w:p w:rsidR="00426D9C" w:rsidRDefault="00426D9C" w:rsidP="00191ECD">
            <w:pPr>
              <w:jc w:val="center"/>
            </w:pPr>
            <w:r>
              <w:t>S&amp;P 500</w:t>
            </w:r>
          </w:p>
        </w:tc>
      </w:tr>
      <w:tr w:rsidR="00426D9C" w:rsidTr="00356FA7">
        <w:tc>
          <w:tcPr>
            <w:tcW w:w="1335" w:type="dxa"/>
            <w:tcBorders>
              <w:bottom w:val="single" w:sz="4" w:space="0" w:color="auto"/>
              <w:right w:val="nil"/>
            </w:tcBorders>
          </w:tcPr>
          <w:p w:rsidR="00426D9C" w:rsidRDefault="00426D9C" w:rsidP="00191ECD">
            <w:r>
              <w:t>Period</w:t>
            </w:r>
          </w:p>
        </w:tc>
        <w:tc>
          <w:tcPr>
            <w:tcW w:w="1335" w:type="dxa"/>
            <w:tcBorders>
              <w:left w:val="nil"/>
              <w:bottom w:val="single" w:sz="4" w:space="0" w:color="auto"/>
            </w:tcBorders>
          </w:tcPr>
          <w:p w:rsidR="00426D9C" w:rsidRDefault="00426D9C" w:rsidP="00191ECD">
            <w:r>
              <w:t>ADF</w:t>
            </w:r>
          </w:p>
        </w:tc>
        <w:tc>
          <w:tcPr>
            <w:tcW w:w="1336" w:type="dxa"/>
            <w:tcBorders>
              <w:bottom w:val="single" w:sz="4" w:space="0" w:color="auto"/>
            </w:tcBorders>
          </w:tcPr>
          <w:p w:rsidR="00426D9C" w:rsidRDefault="00426D9C" w:rsidP="00191ECD">
            <w:r>
              <w:t>PP</w:t>
            </w:r>
          </w:p>
        </w:tc>
        <w:tc>
          <w:tcPr>
            <w:tcW w:w="1336" w:type="dxa"/>
            <w:tcBorders>
              <w:bottom w:val="single" w:sz="4" w:space="0" w:color="auto"/>
            </w:tcBorders>
          </w:tcPr>
          <w:p w:rsidR="00426D9C" w:rsidRDefault="00426D9C" w:rsidP="00191ECD">
            <w:r>
              <w:t>ADF</w:t>
            </w:r>
          </w:p>
        </w:tc>
        <w:tc>
          <w:tcPr>
            <w:tcW w:w="1336" w:type="dxa"/>
            <w:tcBorders>
              <w:bottom w:val="single" w:sz="4" w:space="0" w:color="auto"/>
            </w:tcBorders>
          </w:tcPr>
          <w:p w:rsidR="00426D9C" w:rsidRDefault="00426D9C" w:rsidP="00191ECD">
            <w:r>
              <w:t>PP</w:t>
            </w:r>
          </w:p>
        </w:tc>
        <w:tc>
          <w:tcPr>
            <w:tcW w:w="1336" w:type="dxa"/>
            <w:tcBorders>
              <w:bottom w:val="single" w:sz="4" w:space="0" w:color="auto"/>
            </w:tcBorders>
          </w:tcPr>
          <w:p w:rsidR="00426D9C" w:rsidRDefault="00426D9C" w:rsidP="00191ECD">
            <w:r>
              <w:t>ADF</w:t>
            </w:r>
          </w:p>
        </w:tc>
        <w:tc>
          <w:tcPr>
            <w:tcW w:w="1336" w:type="dxa"/>
            <w:tcBorders>
              <w:bottom w:val="single" w:sz="4" w:space="0" w:color="auto"/>
            </w:tcBorders>
          </w:tcPr>
          <w:p w:rsidR="00426D9C" w:rsidRDefault="00426D9C" w:rsidP="00191ECD">
            <w:r>
              <w:t>PP</w:t>
            </w:r>
          </w:p>
        </w:tc>
      </w:tr>
      <w:tr w:rsidR="00426D9C" w:rsidTr="00191ECD">
        <w:tc>
          <w:tcPr>
            <w:tcW w:w="1335" w:type="dxa"/>
            <w:tcBorders>
              <w:bottom w:val="nil"/>
              <w:right w:val="nil"/>
            </w:tcBorders>
          </w:tcPr>
          <w:p w:rsidR="00426D9C" w:rsidRDefault="00426D9C" w:rsidP="00191ECD">
            <w:r>
              <w:t>1/72-12/96</w:t>
            </w:r>
          </w:p>
        </w:tc>
        <w:tc>
          <w:tcPr>
            <w:tcW w:w="1335" w:type="dxa"/>
            <w:tcBorders>
              <w:left w:val="nil"/>
              <w:bottom w:val="nil"/>
              <w:right w:val="nil"/>
            </w:tcBorders>
          </w:tcPr>
          <w:p w:rsidR="00426D9C" w:rsidRDefault="007B20FA" w:rsidP="00191ECD">
            <w:r w:rsidRPr="007B20FA">
              <w:t>-12.1529</w:t>
            </w:r>
            <w:r w:rsidR="00356FA7">
              <w:t>*</w:t>
            </w:r>
          </w:p>
        </w:tc>
        <w:tc>
          <w:tcPr>
            <w:tcW w:w="1336" w:type="dxa"/>
            <w:tcBorders>
              <w:left w:val="nil"/>
              <w:bottom w:val="nil"/>
              <w:right w:val="nil"/>
            </w:tcBorders>
          </w:tcPr>
          <w:p w:rsidR="00426D9C" w:rsidRDefault="007B20FA" w:rsidP="00191ECD">
            <w:r w:rsidRPr="007B20FA">
              <w:t>-15.6152</w:t>
            </w:r>
            <w:r w:rsidR="00356FA7">
              <w:t>*</w:t>
            </w:r>
          </w:p>
        </w:tc>
        <w:tc>
          <w:tcPr>
            <w:tcW w:w="1336" w:type="dxa"/>
            <w:tcBorders>
              <w:left w:val="nil"/>
              <w:bottom w:val="nil"/>
              <w:right w:val="nil"/>
            </w:tcBorders>
          </w:tcPr>
          <w:p w:rsidR="00426D9C" w:rsidRDefault="007B20FA" w:rsidP="00191ECD">
            <w:r w:rsidRPr="007B20FA">
              <w:t>-11.6755</w:t>
            </w:r>
            <w:r w:rsidR="00356FA7">
              <w:t>*</w:t>
            </w:r>
          </w:p>
        </w:tc>
        <w:tc>
          <w:tcPr>
            <w:tcW w:w="1336" w:type="dxa"/>
            <w:tcBorders>
              <w:left w:val="nil"/>
              <w:bottom w:val="nil"/>
              <w:right w:val="nil"/>
            </w:tcBorders>
          </w:tcPr>
          <w:p w:rsidR="00426D9C" w:rsidRDefault="007B20FA" w:rsidP="00191ECD">
            <w:r w:rsidRPr="007B20FA">
              <w:t>-15.5013</w:t>
            </w:r>
            <w:r w:rsidR="00356FA7">
              <w:t>*</w:t>
            </w:r>
          </w:p>
        </w:tc>
        <w:tc>
          <w:tcPr>
            <w:tcW w:w="1336" w:type="dxa"/>
            <w:tcBorders>
              <w:left w:val="nil"/>
              <w:bottom w:val="nil"/>
              <w:right w:val="nil"/>
            </w:tcBorders>
          </w:tcPr>
          <w:p w:rsidR="00426D9C" w:rsidRDefault="00BE34D8" w:rsidP="00191ECD">
            <w:r w:rsidRPr="00BE34D8">
              <w:t>-12.2429</w:t>
            </w:r>
            <w:r w:rsidR="00356FA7">
              <w:t>*</w:t>
            </w:r>
          </w:p>
        </w:tc>
        <w:tc>
          <w:tcPr>
            <w:tcW w:w="1336" w:type="dxa"/>
            <w:tcBorders>
              <w:left w:val="nil"/>
              <w:bottom w:val="nil"/>
            </w:tcBorders>
          </w:tcPr>
          <w:p w:rsidR="00426D9C" w:rsidRDefault="00BE34D8" w:rsidP="00191ECD">
            <w:r w:rsidRPr="00BE34D8">
              <w:t>-16.7723</w:t>
            </w:r>
            <w:r w:rsidR="00356FA7">
              <w:t>*</w:t>
            </w:r>
          </w:p>
        </w:tc>
      </w:tr>
      <w:tr w:rsidR="00426D9C" w:rsidTr="00191ECD">
        <w:tc>
          <w:tcPr>
            <w:tcW w:w="1335" w:type="dxa"/>
            <w:tcBorders>
              <w:top w:val="nil"/>
              <w:bottom w:val="nil"/>
              <w:right w:val="nil"/>
            </w:tcBorders>
          </w:tcPr>
          <w:p w:rsidR="00426D9C" w:rsidRDefault="00426D9C" w:rsidP="00191ECD">
            <w:r>
              <w:t>1/72-12/91</w:t>
            </w:r>
          </w:p>
        </w:tc>
        <w:tc>
          <w:tcPr>
            <w:tcW w:w="1335" w:type="dxa"/>
            <w:tcBorders>
              <w:top w:val="nil"/>
              <w:left w:val="nil"/>
              <w:bottom w:val="nil"/>
              <w:right w:val="nil"/>
            </w:tcBorders>
          </w:tcPr>
          <w:p w:rsidR="00426D9C" w:rsidRDefault="00585288" w:rsidP="00191ECD">
            <w:r w:rsidRPr="00585288">
              <w:t>-10.9402</w:t>
            </w:r>
            <w:r w:rsidR="00356FA7">
              <w:t>*</w:t>
            </w:r>
          </w:p>
        </w:tc>
        <w:tc>
          <w:tcPr>
            <w:tcW w:w="1336" w:type="dxa"/>
            <w:tcBorders>
              <w:top w:val="nil"/>
              <w:left w:val="nil"/>
              <w:bottom w:val="nil"/>
              <w:right w:val="nil"/>
            </w:tcBorders>
          </w:tcPr>
          <w:p w:rsidR="00426D9C" w:rsidRDefault="00585288" w:rsidP="00191ECD">
            <w:r w:rsidRPr="00585288">
              <w:t>-14.0513</w:t>
            </w:r>
            <w:r w:rsidR="00356FA7">
              <w:t>*</w:t>
            </w:r>
          </w:p>
        </w:tc>
        <w:tc>
          <w:tcPr>
            <w:tcW w:w="1336" w:type="dxa"/>
            <w:tcBorders>
              <w:top w:val="nil"/>
              <w:left w:val="nil"/>
              <w:bottom w:val="nil"/>
              <w:right w:val="nil"/>
            </w:tcBorders>
          </w:tcPr>
          <w:p w:rsidR="00426D9C" w:rsidRDefault="00585288" w:rsidP="00191ECD">
            <w:r w:rsidRPr="00585288">
              <w:t>-10.5195</w:t>
            </w:r>
            <w:r w:rsidR="00356FA7">
              <w:t>*</w:t>
            </w:r>
          </w:p>
        </w:tc>
        <w:tc>
          <w:tcPr>
            <w:tcW w:w="1336" w:type="dxa"/>
            <w:tcBorders>
              <w:top w:val="nil"/>
              <w:left w:val="nil"/>
              <w:bottom w:val="nil"/>
              <w:right w:val="nil"/>
            </w:tcBorders>
          </w:tcPr>
          <w:p w:rsidR="00426D9C" w:rsidRDefault="00585288" w:rsidP="00191ECD">
            <w:r w:rsidRPr="00585288">
              <w:t>-13.9551</w:t>
            </w:r>
            <w:r w:rsidR="00356FA7">
              <w:t>*</w:t>
            </w:r>
          </w:p>
        </w:tc>
        <w:tc>
          <w:tcPr>
            <w:tcW w:w="1336" w:type="dxa"/>
            <w:tcBorders>
              <w:top w:val="nil"/>
              <w:left w:val="nil"/>
              <w:bottom w:val="nil"/>
              <w:right w:val="nil"/>
            </w:tcBorders>
          </w:tcPr>
          <w:p w:rsidR="00426D9C" w:rsidRDefault="00585288" w:rsidP="00191ECD">
            <w:r w:rsidRPr="00585288">
              <w:t>-11.1637</w:t>
            </w:r>
            <w:r w:rsidR="00356FA7">
              <w:t>*</w:t>
            </w:r>
          </w:p>
        </w:tc>
        <w:tc>
          <w:tcPr>
            <w:tcW w:w="1336" w:type="dxa"/>
            <w:tcBorders>
              <w:top w:val="nil"/>
              <w:left w:val="nil"/>
              <w:bottom w:val="nil"/>
            </w:tcBorders>
          </w:tcPr>
          <w:p w:rsidR="00426D9C" w:rsidRDefault="007B20FA" w:rsidP="00191ECD">
            <w:r w:rsidRPr="007B20FA">
              <w:t>-14.9364</w:t>
            </w:r>
            <w:r w:rsidR="00356FA7">
              <w:t>*</w:t>
            </w:r>
          </w:p>
        </w:tc>
      </w:tr>
      <w:tr w:rsidR="00426D9C" w:rsidTr="00191ECD">
        <w:tc>
          <w:tcPr>
            <w:tcW w:w="1335" w:type="dxa"/>
            <w:tcBorders>
              <w:top w:val="nil"/>
              <w:right w:val="nil"/>
            </w:tcBorders>
          </w:tcPr>
          <w:p w:rsidR="00426D9C" w:rsidRDefault="00426D9C" w:rsidP="00191ECD">
            <w:r>
              <w:t>1/92-12/96</w:t>
            </w:r>
          </w:p>
        </w:tc>
        <w:tc>
          <w:tcPr>
            <w:tcW w:w="1335" w:type="dxa"/>
            <w:tcBorders>
              <w:top w:val="nil"/>
              <w:left w:val="nil"/>
              <w:right w:val="nil"/>
            </w:tcBorders>
          </w:tcPr>
          <w:p w:rsidR="00426D9C" w:rsidRDefault="00585288" w:rsidP="00191ECD">
            <w:r w:rsidRPr="00585288">
              <w:t>-4.657</w:t>
            </w:r>
            <w:r w:rsidR="00356FA7">
              <w:t>*</w:t>
            </w:r>
          </w:p>
        </w:tc>
        <w:tc>
          <w:tcPr>
            <w:tcW w:w="1336" w:type="dxa"/>
            <w:tcBorders>
              <w:top w:val="nil"/>
              <w:left w:val="nil"/>
              <w:right w:val="nil"/>
            </w:tcBorders>
          </w:tcPr>
          <w:p w:rsidR="00426D9C" w:rsidRDefault="00585288" w:rsidP="00191ECD">
            <w:r w:rsidRPr="00585288">
              <w:t>-6.1036</w:t>
            </w:r>
            <w:r w:rsidR="00356FA7">
              <w:t>*</w:t>
            </w:r>
          </w:p>
        </w:tc>
        <w:tc>
          <w:tcPr>
            <w:tcW w:w="1336" w:type="dxa"/>
            <w:tcBorders>
              <w:top w:val="nil"/>
              <w:left w:val="nil"/>
              <w:right w:val="nil"/>
            </w:tcBorders>
          </w:tcPr>
          <w:p w:rsidR="00426D9C" w:rsidRDefault="00585288" w:rsidP="00191ECD">
            <w:r w:rsidRPr="00585288">
              <w:t>-4.638</w:t>
            </w:r>
            <w:r w:rsidR="00356FA7">
              <w:t>*</w:t>
            </w:r>
          </w:p>
        </w:tc>
        <w:tc>
          <w:tcPr>
            <w:tcW w:w="1336" w:type="dxa"/>
            <w:tcBorders>
              <w:top w:val="nil"/>
              <w:left w:val="nil"/>
              <w:right w:val="nil"/>
            </w:tcBorders>
          </w:tcPr>
          <w:p w:rsidR="00426D9C" w:rsidRDefault="00585288" w:rsidP="00191ECD">
            <w:r w:rsidRPr="00585288">
              <w:t>-6.0933</w:t>
            </w:r>
            <w:r w:rsidR="00356FA7">
              <w:t>*</w:t>
            </w:r>
          </w:p>
        </w:tc>
        <w:tc>
          <w:tcPr>
            <w:tcW w:w="1336" w:type="dxa"/>
            <w:tcBorders>
              <w:top w:val="nil"/>
              <w:left w:val="nil"/>
              <w:right w:val="nil"/>
            </w:tcBorders>
          </w:tcPr>
          <w:p w:rsidR="00426D9C" w:rsidRDefault="00585288" w:rsidP="00191ECD">
            <w:r w:rsidRPr="00585288">
              <w:t>-5.193</w:t>
            </w:r>
            <w:r w:rsidR="00356FA7">
              <w:t>*</w:t>
            </w:r>
          </w:p>
        </w:tc>
        <w:tc>
          <w:tcPr>
            <w:tcW w:w="1336" w:type="dxa"/>
            <w:tcBorders>
              <w:top w:val="nil"/>
              <w:left w:val="nil"/>
            </w:tcBorders>
          </w:tcPr>
          <w:p w:rsidR="00426D9C" w:rsidRDefault="00585288" w:rsidP="00191ECD">
            <w:r w:rsidRPr="00585288">
              <w:t>-8.3399</w:t>
            </w:r>
            <w:r w:rsidR="00356FA7">
              <w:t>*</w:t>
            </w:r>
          </w:p>
        </w:tc>
      </w:tr>
    </w:tbl>
    <w:p w:rsidR="00A60C14" w:rsidRDefault="00A60C14" w:rsidP="00191ECD">
      <w:pPr>
        <w:spacing w:line="240" w:lineRule="auto"/>
        <w:ind w:firstLine="720"/>
      </w:pPr>
    </w:p>
    <w:tbl>
      <w:tblPr>
        <w:tblStyle w:val="TableGrid"/>
        <w:tblW w:w="0" w:type="auto"/>
        <w:tblLook w:val="04A0" w:firstRow="1" w:lastRow="0" w:firstColumn="1" w:lastColumn="0" w:noHBand="0" w:noVBand="1"/>
      </w:tblPr>
      <w:tblGrid>
        <w:gridCol w:w="1342"/>
        <w:gridCol w:w="903"/>
        <w:gridCol w:w="990"/>
        <w:gridCol w:w="933"/>
        <w:gridCol w:w="1035"/>
        <w:gridCol w:w="1036"/>
        <w:gridCol w:w="1035"/>
        <w:gridCol w:w="1038"/>
        <w:gridCol w:w="1038"/>
      </w:tblGrid>
      <w:tr w:rsidR="00C31DA8" w:rsidTr="00936D3D">
        <w:tc>
          <w:tcPr>
            <w:tcW w:w="9350" w:type="dxa"/>
            <w:gridSpan w:val="9"/>
          </w:tcPr>
          <w:p w:rsidR="00C31DA8" w:rsidRPr="00356FA7" w:rsidRDefault="00356FA7" w:rsidP="00356FA7">
            <w:pPr>
              <w:rPr>
                <w:b/>
              </w:rPr>
            </w:pPr>
            <w:r w:rsidRPr="00356FA7">
              <w:rPr>
                <w:b/>
              </w:rPr>
              <w:t xml:space="preserve">Panel B: </w:t>
            </w:r>
            <w:r w:rsidR="00C31DA8" w:rsidRPr="00356FA7">
              <w:rPr>
                <w:b/>
              </w:rPr>
              <w:t>REIT Total Return Indices and 10 Year Treasury Index</w:t>
            </w:r>
          </w:p>
        </w:tc>
      </w:tr>
      <w:tr w:rsidR="00C31DA8" w:rsidTr="00356FA7">
        <w:tc>
          <w:tcPr>
            <w:tcW w:w="1342" w:type="dxa"/>
            <w:tcBorders>
              <w:right w:val="nil"/>
            </w:tcBorders>
          </w:tcPr>
          <w:p w:rsidR="00C31DA8" w:rsidRDefault="00C31DA8" w:rsidP="00191ECD">
            <w:pPr>
              <w:jc w:val="center"/>
            </w:pPr>
          </w:p>
        </w:tc>
        <w:tc>
          <w:tcPr>
            <w:tcW w:w="8008" w:type="dxa"/>
            <w:gridSpan w:val="8"/>
            <w:tcBorders>
              <w:left w:val="nil"/>
            </w:tcBorders>
          </w:tcPr>
          <w:p w:rsidR="00C31DA8" w:rsidRDefault="00C31DA8" w:rsidP="00191ECD">
            <w:pPr>
              <w:jc w:val="center"/>
            </w:pPr>
            <w:r>
              <w:t>Level Series</w:t>
            </w:r>
          </w:p>
        </w:tc>
      </w:tr>
      <w:tr w:rsidR="00C31DA8" w:rsidTr="00356FA7">
        <w:tc>
          <w:tcPr>
            <w:tcW w:w="1342" w:type="dxa"/>
            <w:tcBorders>
              <w:right w:val="nil"/>
            </w:tcBorders>
          </w:tcPr>
          <w:p w:rsidR="00C31DA8" w:rsidRDefault="00C31DA8" w:rsidP="00191ECD">
            <w:pPr>
              <w:jc w:val="center"/>
            </w:pPr>
          </w:p>
        </w:tc>
        <w:tc>
          <w:tcPr>
            <w:tcW w:w="1893" w:type="dxa"/>
            <w:gridSpan w:val="2"/>
            <w:tcBorders>
              <w:left w:val="nil"/>
            </w:tcBorders>
          </w:tcPr>
          <w:p w:rsidR="00C31DA8" w:rsidRDefault="00C31DA8" w:rsidP="00191ECD">
            <w:pPr>
              <w:jc w:val="center"/>
            </w:pPr>
            <w:r>
              <w:t>All</w:t>
            </w:r>
          </w:p>
        </w:tc>
        <w:tc>
          <w:tcPr>
            <w:tcW w:w="1968" w:type="dxa"/>
            <w:gridSpan w:val="2"/>
          </w:tcPr>
          <w:p w:rsidR="00C31DA8" w:rsidRDefault="00C31DA8" w:rsidP="00191ECD">
            <w:pPr>
              <w:jc w:val="center"/>
            </w:pPr>
            <w:r>
              <w:t>Equity</w:t>
            </w:r>
          </w:p>
        </w:tc>
        <w:tc>
          <w:tcPr>
            <w:tcW w:w="2071" w:type="dxa"/>
            <w:gridSpan w:val="2"/>
          </w:tcPr>
          <w:p w:rsidR="00C31DA8" w:rsidRDefault="00C31DA8" w:rsidP="00191ECD">
            <w:pPr>
              <w:jc w:val="center"/>
            </w:pPr>
            <w:r>
              <w:t>Mortgage</w:t>
            </w:r>
          </w:p>
        </w:tc>
        <w:tc>
          <w:tcPr>
            <w:tcW w:w="2076" w:type="dxa"/>
            <w:gridSpan w:val="2"/>
          </w:tcPr>
          <w:p w:rsidR="00C31DA8" w:rsidRDefault="00C31DA8" w:rsidP="00191ECD">
            <w:pPr>
              <w:jc w:val="center"/>
            </w:pPr>
            <w:r>
              <w:t>DGS10</w:t>
            </w:r>
          </w:p>
        </w:tc>
      </w:tr>
      <w:tr w:rsidR="00C31DA8" w:rsidTr="00356FA7">
        <w:tc>
          <w:tcPr>
            <w:tcW w:w="1342" w:type="dxa"/>
            <w:tcBorders>
              <w:bottom w:val="single" w:sz="4" w:space="0" w:color="auto"/>
              <w:right w:val="nil"/>
            </w:tcBorders>
          </w:tcPr>
          <w:p w:rsidR="00C31DA8" w:rsidRDefault="00C31DA8" w:rsidP="00191ECD">
            <w:r>
              <w:t>Period</w:t>
            </w:r>
          </w:p>
        </w:tc>
        <w:tc>
          <w:tcPr>
            <w:tcW w:w="903" w:type="dxa"/>
            <w:tcBorders>
              <w:left w:val="nil"/>
              <w:bottom w:val="single" w:sz="4" w:space="0" w:color="auto"/>
            </w:tcBorders>
          </w:tcPr>
          <w:p w:rsidR="00C31DA8" w:rsidRDefault="00C31DA8" w:rsidP="00191ECD">
            <w:r>
              <w:t>ADF</w:t>
            </w:r>
          </w:p>
        </w:tc>
        <w:tc>
          <w:tcPr>
            <w:tcW w:w="990" w:type="dxa"/>
            <w:tcBorders>
              <w:bottom w:val="single" w:sz="4" w:space="0" w:color="auto"/>
            </w:tcBorders>
          </w:tcPr>
          <w:p w:rsidR="00C31DA8" w:rsidRDefault="00C31DA8" w:rsidP="00191ECD">
            <w:r>
              <w:t>PP</w:t>
            </w:r>
          </w:p>
        </w:tc>
        <w:tc>
          <w:tcPr>
            <w:tcW w:w="933" w:type="dxa"/>
            <w:tcBorders>
              <w:bottom w:val="single" w:sz="4" w:space="0" w:color="auto"/>
            </w:tcBorders>
          </w:tcPr>
          <w:p w:rsidR="00C31DA8" w:rsidRDefault="00C31DA8" w:rsidP="00191ECD">
            <w:r>
              <w:t>ADF</w:t>
            </w:r>
          </w:p>
        </w:tc>
        <w:tc>
          <w:tcPr>
            <w:tcW w:w="1035" w:type="dxa"/>
            <w:tcBorders>
              <w:bottom w:val="single" w:sz="4" w:space="0" w:color="auto"/>
            </w:tcBorders>
          </w:tcPr>
          <w:p w:rsidR="00C31DA8" w:rsidRDefault="00C31DA8" w:rsidP="00191ECD">
            <w:r>
              <w:t>PP</w:t>
            </w:r>
          </w:p>
        </w:tc>
        <w:tc>
          <w:tcPr>
            <w:tcW w:w="1036" w:type="dxa"/>
            <w:tcBorders>
              <w:bottom w:val="single" w:sz="4" w:space="0" w:color="auto"/>
            </w:tcBorders>
          </w:tcPr>
          <w:p w:rsidR="00C31DA8" w:rsidRDefault="00C31DA8" w:rsidP="00191ECD">
            <w:r>
              <w:t>ADF</w:t>
            </w:r>
          </w:p>
        </w:tc>
        <w:tc>
          <w:tcPr>
            <w:tcW w:w="1035" w:type="dxa"/>
            <w:tcBorders>
              <w:bottom w:val="single" w:sz="4" w:space="0" w:color="auto"/>
            </w:tcBorders>
          </w:tcPr>
          <w:p w:rsidR="00C31DA8" w:rsidRDefault="00C31DA8" w:rsidP="00191ECD">
            <w:r>
              <w:t>PP</w:t>
            </w:r>
          </w:p>
        </w:tc>
        <w:tc>
          <w:tcPr>
            <w:tcW w:w="1038" w:type="dxa"/>
            <w:tcBorders>
              <w:bottom w:val="single" w:sz="4" w:space="0" w:color="auto"/>
            </w:tcBorders>
          </w:tcPr>
          <w:p w:rsidR="00C31DA8" w:rsidRDefault="00C31DA8" w:rsidP="00191ECD">
            <w:r>
              <w:t>ADF</w:t>
            </w:r>
          </w:p>
        </w:tc>
        <w:tc>
          <w:tcPr>
            <w:tcW w:w="1038" w:type="dxa"/>
            <w:tcBorders>
              <w:bottom w:val="single" w:sz="4" w:space="0" w:color="auto"/>
            </w:tcBorders>
          </w:tcPr>
          <w:p w:rsidR="00C31DA8" w:rsidRDefault="00C31DA8" w:rsidP="00191ECD">
            <w:r>
              <w:t>PP</w:t>
            </w:r>
          </w:p>
        </w:tc>
      </w:tr>
      <w:tr w:rsidR="00C31DA8" w:rsidTr="00191ECD">
        <w:tc>
          <w:tcPr>
            <w:tcW w:w="1342" w:type="dxa"/>
            <w:tcBorders>
              <w:bottom w:val="nil"/>
              <w:right w:val="nil"/>
            </w:tcBorders>
          </w:tcPr>
          <w:p w:rsidR="00C31DA8" w:rsidRDefault="00C31DA8" w:rsidP="00191ECD">
            <w:r>
              <w:t>1/80 -12/96</w:t>
            </w:r>
          </w:p>
        </w:tc>
        <w:tc>
          <w:tcPr>
            <w:tcW w:w="903" w:type="dxa"/>
            <w:tcBorders>
              <w:left w:val="nil"/>
              <w:bottom w:val="nil"/>
              <w:right w:val="nil"/>
            </w:tcBorders>
          </w:tcPr>
          <w:p w:rsidR="00C31DA8" w:rsidRDefault="002934E3" w:rsidP="00191ECD">
            <w:r w:rsidRPr="002934E3">
              <w:t>-2.1626</w:t>
            </w:r>
          </w:p>
        </w:tc>
        <w:tc>
          <w:tcPr>
            <w:tcW w:w="990" w:type="dxa"/>
            <w:tcBorders>
              <w:left w:val="nil"/>
              <w:bottom w:val="nil"/>
              <w:right w:val="nil"/>
            </w:tcBorders>
          </w:tcPr>
          <w:p w:rsidR="00C31DA8" w:rsidRDefault="002934E3" w:rsidP="00191ECD">
            <w:r w:rsidRPr="002934E3">
              <w:t>-1.9545</w:t>
            </w:r>
          </w:p>
        </w:tc>
        <w:tc>
          <w:tcPr>
            <w:tcW w:w="933" w:type="dxa"/>
            <w:tcBorders>
              <w:left w:val="nil"/>
              <w:bottom w:val="nil"/>
              <w:right w:val="nil"/>
            </w:tcBorders>
          </w:tcPr>
          <w:p w:rsidR="00C31DA8" w:rsidRDefault="002934E3" w:rsidP="00191ECD">
            <w:r w:rsidRPr="002934E3">
              <w:t>-2.1408</w:t>
            </w:r>
          </w:p>
        </w:tc>
        <w:tc>
          <w:tcPr>
            <w:tcW w:w="1035" w:type="dxa"/>
            <w:tcBorders>
              <w:left w:val="nil"/>
              <w:bottom w:val="nil"/>
              <w:right w:val="nil"/>
            </w:tcBorders>
          </w:tcPr>
          <w:p w:rsidR="00C31DA8" w:rsidRDefault="002934E3" w:rsidP="00191ECD">
            <w:r w:rsidRPr="002934E3">
              <w:t>-2.0168</w:t>
            </w:r>
          </w:p>
        </w:tc>
        <w:tc>
          <w:tcPr>
            <w:tcW w:w="1036" w:type="dxa"/>
            <w:tcBorders>
              <w:left w:val="nil"/>
              <w:bottom w:val="nil"/>
              <w:right w:val="nil"/>
            </w:tcBorders>
          </w:tcPr>
          <w:p w:rsidR="00C31DA8" w:rsidRDefault="002934E3" w:rsidP="00191ECD">
            <w:r w:rsidRPr="002934E3">
              <w:t>-1.7557</w:t>
            </w:r>
          </w:p>
        </w:tc>
        <w:tc>
          <w:tcPr>
            <w:tcW w:w="1035" w:type="dxa"/>
            <w:tcBorders>
              <w:left w:val="nil"/>
              <w:bottom w:val="nil"/>
              <w:right w:val="nil"/>
            </w:tcBorders>
          </w:tcPr>
          <w:p w:rsidR="00C31DA8" w:rsidRDefault="002934E3" w:rsidP="00191ECD">
            <w:r w:rsidRPr="002934E3">
              <w:t>-1.4234</w:t>
            </w:r>
          </w:p>
        </w:tc>
        <w:tc>
          <w:tcPr>
            <w:tcW w:w="1038" w:type="dxa"/>
            <w:tcBorders>
              <w:left w:val="nil"/>
              <w:bottom w:val="nil"/>
              <w:right w:val="nil"/>
            </w:tcBorders>
          </w:tcPr>
          <w:p w:rsidR="00C31DA8" w:rsidRDefault="00283A6C" w:rsidP="00191ECD">
            <w:r w:rsidRPr="00283A6C">
              <w:t>-3.0146</w:t>
            </w:r>
          </w:p>
        </w:tc>
        <w:tc>
          <w:tcPr>
            <w:tcW w:w="1038" w:type="dxa"/>
            <w:tcBorders>
              <w:left w:val="nil"/>
              <w:bottom w:val="nil"/>
            </w:tcBorders>
          </w:tcPr>
          <w:p w:rsidR="00C31DA8" w:rsidRDefault="00BA7F20" w:rsidP="00191ECD">
            <w:r w:rsidRPr="00BA7F20">
              <w:t>-3.1094</w:t>
            </w:r>
          </w:p>
        </w:tc>
      </w:tr>
      <w:tr w:rsidR="00C31DA8" w:rsidTr="00191ECD">
        <w:tc>
          <w:tcPr>
            <w:tcW w:w="1342" w:type="dxa"/>
            <w:tcBorders>
              <w:top w:val="nil"/>
              <w:bottom w:val="nil"/>
              <w:right w:val="nil"/>
            </w:tcBorders>
          </w:tcPr>
          <w:p w:rsidR="00C31DA8" w:rsidRDefault="00C31DA8" w:rsidP="00191ECD">
            <w:r>
              <w:t>1/80 -12/91</w:t>
            </w:r>
          </w:p>
        </w:tc>
        <w:tc>
          <w:tcPr>
            <w:tcW w:w="903" w:type="dxa"/>
            <w:tcBorders>
              <w:top w:val="nil"/>
              <w:left w:val="nil"/>
              <w:bottom w:val="nil"/>
              <w:right w:val="nil"/>
            </w:tcBorders>
          </w:tcPr>
          <w:p w:rsidR="00C31DA8" w:rsidRDefault="002934E3" w:rsidP="00191ECD">
            <w:r w:rsidRPr="002934E3">
              <w:t>-1.8143</w:t>
            </w:r>
          </w:p>
        </w:tc>
        <w:tc>
          <w:tcPr>
            <w:tcW w:w="990" w:type="dxa"/>
            <w:tcBorders>
              <w:top w:val="nil"/>
              <w:left w:val="nil"/>
              <w:bottom w:val="nil"/>
              <w:right w:val="nil"/>
            </w:tcBorders>
          </w:tcPr>
          <w:p w:rsidR="00C31DA8" w:rsidRDefault="002934E3" w:rsidP="00191ECD">
            <w:r w:rsidRPr="002934E3">
              <w:t>-1.5455</w:t>
            </w:r>
          </w:p>
        </w:tc>
        <w:tc>
          <w:tcPr>
            <w:tcW w:w="933" w:type="dxa"/>
            <w:tcBorders>
              <w:top w:val="nil"/>
              <w:left w:val="nil"/>
              <w:bottom w:val="nil"/>
              <w:right w:val="nil"/>
            </w:tcBorders>
          </w:tcPr>
          <w:p w:rsidR="00C31DA8" w:rsidRDefault="002934E3" w:rsidP="00191ECD">
            <w:r w:rsidRPr="002934E3">
              <w:t>-1.6336</w:t>
            </w:r>
          </w:p>
        </w:tc>
        <w:tc>
          <w:tcPr>
            <w:tcW w:w="1035" w:type="dxa"/>
            <w:tcBorders>
              <w:top w:val="nil"/>
              <w:left w:val="nil"/>
              <w:bottom w:val="nil"/>
              <w:right w:val="nil"/>
            </w:tcBorders>
          </w:tcPr>
          <w:p w:rsidR="00C31DA8" w:rsidRDefault="002934E3" w:rsidP="00191ECD">
            <w:r w:rsidRPr="002934E3">
              <w:t>-1.4725</w:t>
            </w:r>
          </w:p>
        </w:tc>
        <w:tc>
          <w:tcPr>
            <w:tcW w:w="1036" w:type="dxa"/>
            <w:tcBorders>
              <w:top w:val="nil"/>
              <w:left w:val="nil"/>
              <w:bottom w:val="nil"/>
              <w:right w:val="nil"/>
            </w:tcBorders>
          </w:tcPr>
          <w:p w:rsidR="00C31DA8" w:rsidRDefault="002934E3" w:rsidP="00191ECD">
            <w:r w:rsidRPr="002934E3">
              <w:t>-1.9602</w:t>
            </w:r>
          </w:p>
        </w:tc>
        <w:tc>
          <w:tcPr>
            <w:tcW w:w="1035" w:type="dxa"/>
            <w:tcBorders>
              <w:top w:val="nil"/>
              <w:left w:val="nil"/>
              <w:bottom w:val="nil"/>
              <w:right w:val="nil"/>
            </w:tcBorders>
          </w:tcPr>
          <w:p w:rsidR="00C31DA8" w:rsidRDefault="002934E3" w:rsidP="00191ECD">
            <w:r w:rsidRPr="002934E3">
              <w:t>-1.5535</w:t>
            </w:r>
          </w:p>
        </w:tc>
        <w:tc>
          <w:tcPr>
            <w:tcW w:w="1038" w:type="dxa"/>
            <w:tcBorders>
              <w:top w:val="nil"/>
              <w:left w:val="nil"/>
              <w:bottom w:val="nil"/>
              <w:right w:val="nil"/>
            </w:tcBorders>
          </w:tcPr>
          <w:p w:rsidR="00C31DA8" w:rsidRDefault="00014F79" w:rsidP="00191ECD">
            <w:r w:rsidRPr="00014F79">
              <w:t>-2.4304</w:t>
            </w:r>
          </w:p>
        </w:tc>
        <w:tc>
          <w:tcPr>
            <w:tcW w:w="1038" w:type="dxa"/>
            <w:tcBorders>
              <w:top w:val="nil"/>
              <w:left w:val="nil"/>
              <w:bottom w:val="nil"/>
            </w:tcBorders>
          </w:tcPr>
          <w:p w:rsidR="00C31DA8" w:rsidRDefault="00014F79" w:rsidP="00191ECD">
            <w:r w:rsidRPr="00014F79">
              <w:t>-2.6091</w:t>
            </w:r>
          </w:p>
        </w:tc>
      </w:tr>
      <w:tr w:rsidR="00C31DA8" w:rsidTr="00356FA7">
        <w:tc>
          <w:tcPr>
            <w:tcW w:w="1342" w:type="dxa"/>
            <w:tcBorders>
              <w:top w:val="nil"/>
              <w:bottom w:val="single" w:sz="4" w:space="0" w:color="auto"/>
              <w:right w:val="nil"/>
            </w:tcBorders>
          </w:tcPr>
          <w:p w:rsidR="00C31DA8" w:rsidRDefault="00C31DA8" w:rsidP="00191ECD">
            <w:r>
              <w:t>1/92 -12/96</w:t>
            </w:r>
          </w:p>
        </w:tc>
        <w:tc>
          <w:tcPr>
            <w:tcW w:w="903" w:type="dxa"/>
            <w:tcBorders>
              <w:top w:val="nil"/>
              <w:left w:val="nil"/>
              <w:right w:val="nil"/>
            </w:tcBorders>
          </w:tcPr>
          <w:p w:rsidR="00C31DA8" w:rsidRDefault="002934E3" w:rsidP="00191ECD">
            <w:r w:rsidRPr="002934E3">
              <w:t>-0.7471</w:t>
            </w:r>
          </w:p>
        </w:tc>
        <w:tc>
          <w:tcPr>
            <w:tcW w:w="990" w:type="dxa"/>
            <w:tcBorders>
              <w:top w:val="nil"/>
              <w:left w:val="nil"/>
              <w:right w:val="nil"/>
            </w:tcBorders>
          </w:tcPr>
          <w:p w:rsidR="00C31DA8" w:rsidRDefault="007332F1" w:rsidP="00191ECD">
            <w:r w:rsidRPr="007332F1">
              <w:t>-</w:t>
            </w:r>
            <w:r w:rsidR="002934E3" w:rsidRPr="002934E3">
              <w:t>0.6726</w:t>
            </w:r>
          </w:p>
        </w:tc>
        <w:tc>
          <w:tcPr>
            <w:tcW w:w="933" w:type="dxa"/>
            <w:tcBorders>
              <w:top w:val="nil"/>
              <w:left w:val="nil"/>
              <w:right w:val="nil"/>
            </w:tcBorders>
          </w:tcPr>
          <w:p w:rsidR="00C31DA8" w:rsidRDefault="002934E3" w:rsidP="00191ECD">
            <w:r w:rsidRPr="002934E3">
              <w:t>-1.111</w:t>
            </w:r>
          </w:p>
        </w:tc>
        <w:tc>
          <w:tcPr>
            <w:tcW w:w="1035" w:type="dxa"/>
            <w:tcBorders>
              <w:top w:val="nil"/>
              <w:left w:val="nil"/>
              <w:right w:val="nil"/>
            </w:tcBorders>
          </w:tcPr>
          <w:p w:rsidR="00C31DA8" w:rsidRDefault="002934E3" w:rsidP="00191ECD">
            <w:r w:rsidRPr="002934E3">
              <w:t>-1.0098</w:t>
            </w:r>
          </w:p>
        </w:tc>
        <w:tc>
          <w:tcPr>
            <w:tcW w:w="1036" w:type="dxa"/>
            <w:tcBorders>
              <w:top w:val="nil"/>
              <w:left w:val="nil"/>
              <w:right w:val="nil"/>
            </w:tcBorders>
          </w:tcPr>
          <w:p w:rsidR="00C31DA8" w:rsidRDefault="002934E3" w:rsidP="00191ECD">
            <w:r w:rsidRPr="002934E3">
              <w:t>-0.1743</w:t>
            </w:r>
          </w:p>
        </w:tc>
        <w:tc>
          <w:tcPr>
            <w:tcW w:w="1035" w:type="dxa"/>
            <w:tcBorders>
              <w:top w:val="nil"/>
              <w:left w:val="nil"/>
              <w:right w:val="nil"/>
            </w:tcBorders>
          </w:tcPr>
          <w:p w:rsidR="00C31DA8" w:rsidRDefault="002934E3" w:rsidP="00191ECD">
            <w:r w:rsidRPr="002934E3">
              <w:t>-0.0761</w:t>
            </w:r>
          </w:p>
        </w:tc>
        <w:tc>
          <w:tcPr>
            <w:tcW w:w="1038" w:type="dxa"/>
            <w:tcBorders>
              <w:top w:val="nil"/>
              <w:left w:val="nil"/>
              <w:right w:val="nil"/>
            </w:tcBorders>
          </w:tcPr>
          <w:p w:rsidR="00C31DA8" w:rsidRDefault="00014F79" w:rsidP="00191ECD">
            <w:r w:rsidRPr="00014F79">
              <w:t>-2.3536</w:t>
            </w:r>
          </w:p>
        </w:tc>
        <w:tc>
          <w:tcPr>
            <w:tcW w:w="1038" w:type="dxa"/>
            <w:tcBorders>
              <w:top w:val="nil"/>
              <w:left w:val="nil"/>
            </w:tcBorders>
          </w:tcPr>
          <w:p w:rsidR="00C31DA8" w:rsidRDefault="00014F79" w:rsidP="00191ECD">
            <w:r w:rsidRPr="00014F79">
              <w:t>-2.0397</w:t>
            </w:r>
          </w:p>
        </w:tc>
      </w:tr>
      <w:tr w:rsidR="00C31DA8" w:rsidTr="00356FA7">
        <w:tc>
          <w:tcPr>
            <w:tcW w:w="1342" w:type="dxa"/>
            <w:tcBorders>
              <w:right w:val="nil"/>
            </w:tcBorders>
          </w:tcPr>
          <w:p w:rsidR="00C31DA8" w:rsidRDefault="00C31DA8" w:rsidP="00191ECD"/>
        </w:tc>
        <w:tc>
          <w:tcPr>
            <w:tcW w:w="8008" w:type="dxa"/>
            <w:gridSpan w:val="8"/>
            <w:tcBorders>
              <w:left w:val="nil"/>
            </w:tcBorders>
          </w:tcPr>
          <w:p w:rsidR="00C31DA8" w:rsidRDefault="00C31DA8" w:rsidP="00191ECD">
            <w:pPr>
              <w:jc w:val="center"/>
            </w:pPr>
            <w:r>
              <w:t>First Difference</w:t>
            </w:r>
          </w:p>
        </w:tc>
      </w:tr>
      <w:tr w:rsidR="00C31DA8" w:rsidTr="00356FA7">
        <w:tc>
          <w:tcPr>
            <w:tcW w:w="1342" w:type="dxa"/>
            <w:tcBorders>
              <w:right w:val="nil"/>
            </w:tcBorders>
          </w:tcPr>
          <w:p w:rsidR="00C31DA8" w:rsidRDefault="00C31DA8" w:rsidP="00191ECD"/>
        </w:tc>
        <w:tc>
          <w:tcPr>
            <w:tcW w:w="1893" w:type="dxa"/>
            <w:gridSpan w:val="2"/>
            <w:tcBorders>
              <w:left w:val="nil"/>
            </w:tcBorders>
          </w:tcPr>
          <w:p w:rsidR="00C31DA8" w:rsidRDefault="00C31DA8" w:rsidP="00191ECD">
            <w:pPr>
              <w:jc w:val="center"/>
            </w:pPr>
            <w:r>
              <w:t>All</w:t>
            </w:r>
          </w:p>
        </w:tc>
        <w:tc>
          <w:tcPr>
            <w:tcW w:w="1968" w:type="dxa"/>
            <w:gridSpan w:val="2"/>
          </w:tcPr>
          <w:p w:rsidR="00C31DA8" w:rsidRDefault="00C31DA8" w:rsidP="00191ECD">
            <w:pPr>
              <w:jc w:val="center"/>
            </w:pPr>
            <w:r>
              <w:t>Equity</w:t>
            </w:r>
          </w:p>
        </w:tc>
        <w:tc>
          <w:tcPr>
            <w:tcW w:w="2071" w:type="dxa"/>
            <w:gridSpan w:val="2"/>
          </w:tcPr>
          <w:p w:rsidR="00C31DA8" w:rsidRDefault="00C31DA8" w:rsidP="00191ECD">
            <w:pPr>
              <w:jc w:val="center"/>
            </w:pPr>
            <w:r>
              <w:t>Mortgage</w:t>
            </w:r>
          </w:p>
        </w:tc>
        <w:tc>
          <w:tcPr>
            <w:tcW w:w="2076" w:type="dxa"/>
            <w:gridSpan w:val="2"/>
          </w:tcPr>
          <w:p w:rsidR="00C31DA8" w:rsidRDefault="00C31DA8" w:rsidP="00191ECD">
            <w:pPr>
              <w:jc w:val="center"/>
            </w:pPr>
            <w:r>
              <w:t>DGS10</w:t>
            </w:r>
          </w:p>
        </w:tc>
      </w:tr>
      <w:tr w:rsidR="00C31DA8" w:rsidTr="00356FA7">
        <w:tc>
          <w:tcPr>
            <w:tcW w:w="1342" w:type="dxa"/>
            <w:tcBorders>
              <w:bottom w:val="single" w:sz="4" w:space="0" w:color="auto"/>
              <w:right w:val="nil"/>
            </w:tcBorders>
          </w:tcPr>
          <w:p w:rsidR="00C31DA8" w:rsidRDefault="00C31DA8" w:rsidP="00191ECD">
            <w:r>
              <w:t>Period</w:t>
            </w:r>
          </w:p>
        </w:tc>
        <w:tc>
          <w:tcPr>
            <w:tcW w:w="903" w:type="dxa"/>
            <w:tcBorders>
              <w:left w:val="nil"/>
              <w:bottom w:val="single" w:sz="4" w:space="0" w:color="auto"/>
            </w:tcBorders>
          </w:tcPr>
          <w:p w:rsidR="00C31DA8" w:rsidRDefault="00C31DA8" w:rsidP="00191ECD">
            <w:r>
              <w:t>ADF</w:t>
            </w:r>
          </w:p>
        </w:tc>
        <w:tc>
          <w:tcPr>
            <w:tcW w:w="990" w:type="dxa"/>
            <w:tcBorders>
              <w:bottom w:val="single" w:sz="4" w:space="0" w:color="auto"/>
            </w:tcBorders>
          </w:tcPr>
          <w:p w:rsidR="00C31DA8" w:rsidRDefault="00C31DA8" w:rsidP="00191ECD">
            <w:r>
              <w:t>PP</w:t>
            </w:r>
          </w:p>
        </w:tc>
        <w:tc>
          <w:tcPr>
            <w:tcW w:w="933" w:type="dxa"/>
            <w:tcBorders>
              <w:bottom w:val="single" w:sz="4" w:space="0" w:color="auto"/>
            </w:tcBorders>
          </w:tcPr>
          <w:p w:rsidR="00C31DA8" w:rsidRDefault="00C31DA8" w:rsidP="00191ECD">
            <w:r>
              <w:t>ADF</w:t>
            </w:r>
          </w:p>
        </w:tc>
        <w:tc>
          <w:tcPr>
            <w:tcW w:w="1035" w:type="dxa"/>
            <w:tcBorders>
              <w:bottom w:val="single" w:sz="4" w:space="0" w:color="auto"/>
            </w:tcBorders>
          </w:tcPr>
          <w:p w:rsidR="00C31DA8" w:rsidRDefault="00C31DA8" w:rsidP="00191ECD">
            <w:r>
              <w:t>PP</w:t>
            </w:r>
          </w:p>
        </w:tc>
        <w:tc>
          <w:tcPr>
            <w:tcW w:w="1036" w:type="dxa"/>
            <w:tcBorders>
              <w:bottom w:val="single" w:sz="4" w:space="0" w:color="auto"/>
            </w:tcBorders>
          </w:tcPr>
          <w:p w:rsidR="00C31DA8" w:rsidRDefault="00C31DA8" w:rsidP="00191ECD">
            <w:r>
              <w:t>ADF</w:t>
            </w:r>
          </w:p>
        </w:tc>
        <w:tc>
          <w:tcPr>
            <w:tcW w:w="1035" w:type="dxa"/>
            <w:tcBorders>
              <w:bottom w:val="single" w:sz="4" w:space="0" w:color="auto"/>
            </w:tcBorders>
          </w:tcPr>
          <w:p w:rsidR="00C31DA8" w:rsidRDefault="00C31DA8" w:rsidP="00191ECD">
            <w:r>
              <w:t>PP</w:t>
            </w:r>
          </w:p>
        </w:tc>
        <w:tc>
          <w:tcPr>
            <w:tcW w:w="1038" w:type="dxa"/>
            <w:tcBorders>
              <w:bottom w:val="single" w:sz="4" w:space="0" w:color="auto"/>
            </w:tcBorders>
          </w:tcPr>
          <w:p w:rsidR="00C31DA8" w:rsidRDefault="00C31DA8" w:rsidP="00191ECD">
            <w:r>
              <w:t>ADF</w:t>
            </w:r>
          </w:p>
        </w:tc>
        <w:tc>
          <w:tcPr>
            <w:tcW w:w="1038" w:type="dxa"/>
            <w:tcBorders>
              <w:bottom w:val="single" w:sz="4" w:space="0" w:color="auto"/>
            </w:tcBorders>
          </w:tcPr>
          <w:p w:rsidR="00C31DA8" w:rsidRDefault="00C31DA8" w:rsidP="00191ECD">
            <w:r>
              <w:t>PP</w:t>
            </w:r>
          </w:p>
        </w:tc>
      </w:tr>
      <w:tr w:rsidR="00C31DA8" w:rsidTr="00191ECD">
        <w:tc>
          <w:tcPr>
            <w:tcW w:w="1342" w:type="dxa"/>
            <w:tcBorders>
              <w:bottom w:val="nil"/>
              <w:right w:val="nil"/>
            </w:tcBorders>
          </w:tcPr>
          <w:p w:rsidR="00C31DA8" w:rsidRDefault="00C31DA8" w:rsidP="00191ECD">
            <w:r>
              <w:t>1/80 -12/96</w:t>
            </w:r>
          </w:p>
        </w:tc>
        <w:tc>
          <w:tcPr>
            <w:tcW w:w="903" w:type="dxa"/>
            <w:tcBorders>
              <w:left w:val="nil"/>
              <w:bottom w:val="nil"/>
              <w:right w:val="nil"/>
            </w:tcBorders>
          </w:tcPr>
          <w:p w:rsidR="00C31DA8" w:rsidRDefault="0093753B" w:rsidP="00191ECD">
            <w:r w:rsidRPr="0093753B">
              <w:t>-9.382</w:t>
            </w:r>
            <w:r w:rsidR="00356FA7">
              <w:t>*</w:t>
            </w:r>
          </w:p>
        </w:tc>
        <w:tc>
          <w:tcPr>
            <w:tcW w:w="990" w:type="dxa"/>
            <w:tcBorders>
              <w:left w:val="nil"/>
              <w:bottom w:val="nil"/>
              <w:right w:val="nil"/>
            </w:tcBorders>
          </w:tcPr>
          <w:p w:rsidR="00C31DA8" w:rsidRDefault="00356FA7" w:rsidP="00191ECD">
            <w:r>
              <w:t>-11.14*</w:t>
            </w:r>
          </w:p>
        </w:tc>
        <w:tc>
          <w:tcPr>
            <w:tcW w:w="933" w:type="dxa"/>
            <w:tcBorders>
              <w:left w:val="nil"/>
              <w:bottom w:val="nil"/>
              <w:right w:val="nil"/>
            </w:tcBorders>
          </w:tcPr>
          <w:p w:rsidR="00C31DA8" w:rsidRDefault="00356FA7" w:rsidP="00191ECD">
            <w:r>
              <w:t>-9.291*</w:t>
            </w:r>
          </w:p>
        </w:tc>
        <w:tc>
          <w:tcPr>
            <w:tcW w:w="1035" w:type="dxa"/>
            <w:tcBorders>
              <w:left w:val="nil"/>
              <w:bottom w:val="nil"/>
              <w:right w:val="nil"/>
            </w:tcBorders>
          </w:tcPr>
          <w:p w:rsidR="00C31DA8" w:rsidRDefault="00356FA7" w:rsidP="00191ECD">
            <w:r>
              <w:t>-11.811*</w:t>
            </w:r>
          </w:p>
        </w:tc>
        <w:tc>
          <w:tcPr>
            <w:tcW w:w="1036" w:type="dxa"/>
            <w:tcBorders>
              <w:left w:val="nil"/>
              <w:bottom w:val="nil"/>
              <w:right w:val="nil"/>
            </w:tcBorders>
          </w:tcPr>
          <w:p w:rsidR="00C31DA8" w:rsidRDefault="0093753B" w:rsidP="00191ECD">
            <w:r w:rsidRPr="0093753B">
              <w:t>-9.0013</w:t>
            </w:r>
            <w:r w:rsidR="00356FA7">
              <w:t>*</w:t>
            </w:r>
          </w:p>
        </w:tc>
        <w:tc>
          <w:tcPr>
            <w:tcW w:w="1035" w:type="dxa"/>
            <w:tcBorders>
              <w:left w:val="nil"/>
              <w:bottom w:val="nil"/>
              <w:right w:val="nil"/>
            </w:tcBorders>
          </w:tcPr>
          <w:p w:rsidR="00C31DA8" w:rsidRDefault="00356FA7" w:rsidP="00191ECD">
            <w:r>
              <w:t>-11.145*</w:t>
            </w:r>
          </w:p>
        </w:tc>
        <w:tc>
          <w:tcPr>
            <w:tcW w:w="1038" w:type="dxa"/>
            <w:tcBorders>
              <w:left w:val="nil"/>
              <w:bottom w:val="nil"/>
              <w:right w:val="nil"/>
            </w:tcBorders>
          </w:tcPr>
          <w:p w:rsidR="00C31DA8" w:rsidRDefault="00356FA7" w:rsidP="00191ECD">
            <w:r>
              <w:t>-9.723*</w:t>
            </w:r>
          </w:p>
        </w:tc>
        <w:tc>
          <w:tcPr>
            <w:tcW w:w="1038" w:type="dxa"/>
            <w:tcBorders>
              <w:left w:val="nil"/>
              <w:bottom w:val="nil"/>
            </w:tcBorders>
          </w:tcPr>
          <w:p w:rsidR="00C31DA8" w:rsidRDefault="00356FA7" w:rsidP="00191ECD">
            <w:r>
              <w:t>-12.440*</w:t>
            </w:r>
          </w:p>
        </w:tc>
      </w:tr>
      <w:tr w:rsidR="00C31DA8" w:rsidTr="00191ECD">
        <w:tc>
          <w:tcPr>
            <w:tcW w:w="1342" w:type="dxa"/>
            <w:tcBorders>
              <w:top w:val="nil"/>
              <w:bottom w:val="nil"/>
              <w:right w:val="nil"/>
            </w:tcBorders>
          </w:tcPr>
          <w:p w:rsidR="00C31DA8" w:rsidRDefault="00C31DA8" w:rsidP="00191ECD">
            <w:r>
              <w:t>1/80 -12/91</w:t>
            </w:r>
          </w:p>
        </w:tc>
        <w:tc>
          <w:tcPr>
            <w:tcW w:w="903" w:type="dxa"/>
            <w:tcBorders>
              <w:top w:val="nil"/>
              <w:left w:val="nil"/>
              <w:bottom w:val="nil"/>
              <w:right w:val="nil"/>
            </w:tcBorders>
          </w:tcPr>
          <w:p w:rsidR="00C31DA8" w:rsidRDefault="0093753B" w:rsidP="00191ECD">
            <w:r>
              <w:t>-</w:t>
            </w:r>
            <w:r w:rsidR="00356FA7">
              <w:t>7.901*</w:t>
            </w:r>
          </w:p>
        </w:tc>
        <w:tc>
          <w:tcPr>
            <w:tcW w:w="990" w:type="dxa"/>
            <w:tcBorders>
              <w:top w:val="nil"/>
              <w:left w:val="nil"/>
              <w:bottom w:val="nil"/>
              <w:right w:val="nil"/>
            </w:tcBorders>
          </w:tcPr>
          <w:p w:rsidR="00C31DA8" w:rsidRDefault="00356FA7" w:rsidP="00191ECD">
            <w:r>
              <w:t>-9.254*</w:t>
            </w:r>
          </w:p>
        </w:tc>
        <w:tc>
          <w:tcPr>
            <w:tcW w:w="933" w:type="dxa"/>
            <w:tcBorders>
              <w:top w:val="nil"/>
              <w:left w:val="nil"/>
              <w:bottom w:val="nil"/>
              <w:right w:val="nil"/>
            </w:tcBorders>
          </w:tcPr>
          <w:p w:rsidR="00C31DA8" w:rsidRDefault="00356FA7" w:rsidP="00191ECD">
            <w:r>
              <w:t>-7.664*</w:t>
            </w:r>
          </w:p>
        </w:tc>
        <w:tc>
          <w:tcPr>
            <w:tcW w:w="1035" w:type="dxa"/>
            <w:tcBorders>
              <w:top w:val="nil"/>
              <w:left w:val="nil"/>
              <w:bottom w:val="nil"/>
              <w:right w:val="nil"/>
            </w:tcBorders>
          </w:tcPr>
          <w:p w:rsidR="00C31DA8" w:rsidRDefault="00356FA7" w:rsidP="00191ECD">
            <w:r>
              <w:t>-9.822*</w:t>
            </w:r>
          </w:p>
        </w:tc>
        <w:tc>
          <w:tcPr>
            <w:tcW w:w="1036" w:type="dxa"/>
            <w:tcBorders>
              <w:top w:val="nil"/>
              <w:left w:val="nil"/>
              <w:bottom w:val="nil"/>
              <w:right w:val="nil"/>
            </w:tcBorders>
          </w:tcPr>
          <w:p w:rsidR="00C31DA8" w:rsidRDefault="0093753B" w:rsidP="00191ECD">
            <w:r w:rsidRPr="0093753B">
              <w:t>-7.8281</w:t>
            </w:r>
            <w:r w:rsidR="00356FA7">
              <w:t>*</w:t>
            </w:r>
          </w:p>
        </w:tc>
        <w:tc>
          <w:tcPr>
            <w:tcW w:w="1035" w:type="dxa"/>
            <w:tcBorders>
              <w:top w:val="nil"/>
              <w:left w:val="nil"/>
              <w:bottom w:val="nil"/>
              <w:right w:val="nil"/>
            </w:tcBorders>
          </w:tcPr>
          <w:p w:rsidR="00C31DA8" w:rsidRDefault="0093753B" w:rsidP="00191ECD">
            <w:r w:rsidRPr="0093753B">
              <w:t>-9.164</w:t>
            </w:r>
            <w:r w:rsidR="00356FA7">
              <w:t>*</w:t>
            </w:r>
          </w:p>
        </w:tc>
        <w:tc>
          <w:tcPr>
            <w:tcW w:w="1038" w:type="dxa"/>
            <w:tcBorders>
              <w:top w:val="nil"/>
              <w:left w:val="nil"/>
              <w:bottom w:val="nil"/>
              <w:right w:val="nil"/>
            </w:tcBorders>
          </w:tcPr>
          <w:p w:rsidR="00C31DA8" w:rsidRDefault="00356FA7" w:rsidP="00191ECD">
            <w:r>
              <w:t>-8.267*</w:t>
            </w:r>
          </w:p>
        </w:tc>
        <w:tc>
          <w:tcPr>
            <w:tcW w:w="1038" w:type="dxa"/>
            <w:tcBorders>
              <w:top w:val="nil"/>
              <w:left w:val="nil"/>
              <w:bottom w:val="nil"/>
            </w:tcBorders>
          </w:tcPr>
          <w:p w:rsidR="00C31DA8" w:rsidRDefault="00356FA7" w:rsidP="00191ECD">
            <w:r>
              <w:t>-10.618*</w:t>
            </w:r>
          </w:p>
        </w:tc>
      </w:tr>
      <w:tr w:rsidR="00C31DA8" w:rsidTr="00191ECD">
        <w:tc>
          <w:tcPr>
            <w:tcW w:w="1342" w:type="dxa"/>
            <w:tcBorders>
              <w:top w:val="nil"/>
              <w:right w:val="nil"/>
            </w:tcBorders>
          </w:tcPr>
          <w:p w:rsidR="00C31DA8" w:rsidRDefault="00C31DA8" w:rsidP="00191ECD">
            <w:r>
              <w:t>1/92 -12/96</w:t>
            </w:r>
          </w:p>
        </w:tc>
        <w:tc>
          <w:tcPr>
            <w:tcW w:w="903" w:type="dxa"/>
            <w:tcBorders>
              <w:top w:val="nil"/>
              <w:left w:val="nil"/>
              <w:right w:val="nil"/>
            </w:tcBorders>
          </w:tcPr>
          <w:p w:rsidR="00C31DA8" w:rsidRDefault="00356FA7" w:rsidP="00191ECD">
            <w:r>
              <w:t>-4.684*</w:t>
            </w:r>
          </w:p>
        </w:tc>
        <w:tc>
          <w:tcPr>
            <w:tcW w:w="990" w:type="dxa"/>
            <w:tcBorders>
              <w:top w:val="nil"/>
              <w:left w:val="nil"/>
              <w:right w:val="nil"/>
            </w:tcBorders>
          </w:tcPr>
          <w:p w:rsidR="00C31DA8" w:rsidRDefault="00564BEA" w:rsidP="00191ECD">
            <w:r w:rsidRPr="00564BEA">
              <w:t>-6.453</w:t>
            </w:r>
            <w:r w:rsidR="00356FA7">
              <w:t>*</w:t>
            </w:r>
          </w:p>
        </w:tc>
        <w:tc>
          <w:tcPr>
            <w:tcW w:w="933" w:type="dxa"/>
            <w:tcBorders>
              <w:top w:val="nil"/>
              <w:left w:val="nil"/>
              <w:right w:val="nil"/>
            </w:tcBorders>
          </w:tcPr>
          <w:p w:rsidR="00C31DA8" w:rsidRDefault="00356FA7" w:rsidP="00191ECD">
            <w:r>
              <w:t>-4.825*</w:t>
            </w:r>
          </w:p>
        </w:tc>
        <w:tc>
          <w:tcPr>
            <w:tcW w:w="1035" w:type="dxa"/>
            <w:tcBorders>
              <w:top w:val="nil"/>
              <w:left w:val="nil"/>
              <w:right w:val="nil"/>
            </w:tcBorders>
          </w:tcPr>
          <w:p w:rsidR="00C31DA8" w:rsidRDefault="00564BEA" w:rsidP="00191ECD">
            <w:r w:rsidRPr="00564BEA">
              <w:t>-6.6162</w:t>
            </w:r>
            <w:r w:rsidR="00356FA7">
              <w:t>*</w:t>
            </w:r>
          </w:p>
        </w:tc>
        <w:tc>
          <w:tcPr>
            <w:tcW w:w="1036" w:type="dxa"/>
            <w:tcBorders>
              <w:top w:val="nil"/>
              <w:left w:val="nil"/>
              <w:right w:val="nil"/>
            </w:tcBorders>
          </w:tcPr>
          <w:p w:rsidR="00C31DA8" w:rsidRDefault="00564BEA" w:rsidP="00191ECD">
            <w:r w:rsidRPr="00564BEA">
              <w:t>-4.2849</w:t>
            </w:r>
            <w:r w:rsidR="00356FA7">
              <w:t>*</w:t>
            </w:r>
          </w:p>
        </w:tc>
        <w:tc>
          <w:tcPr>
            <w:tcW w:w="1035" w:type="dxa"/>
            <w:tcBorders>
              <w:top w:val="nil"/>
              <w:left w:val="nil"/>
              <w:right w:val="nil"/>
            </w:tcBorders>
          </w:tcPr>
          <w:p w:rsidR="00C31DA8" w:rsidRDefault="00356FA7" w:rsidP="00191ECD">
            <w:r>
              <w:t>-6.153*</w:t>
            </w:r>
          </w:p>
        </w:tc>
        <w:tc>
          <w:tcPr>
            <w:tcW w:w="1038" w:type="dxa"/>
            <w:tcBorders>
              <w:top w:val="nil"/>
              <w:left w:val="nil"/>
              <w:right w:val="nil"/>
            </w:tcBorders>
          </w:tcPr>
          <w:p w:rsidR="00C31DA8" w:rsidRDefault="00356FA7" w:rsidP="00191ECD">
            <w:r>
              <w:t>-4.781*</w:t>
            </w:r>
          </w:p>
        </w:tc>
        <w:tc>
          <w:tcPr>
            <w:tcW w:w="1038" w:type="dxa"/>
            <w:tcBorders>
              <w:top w:val="nil"/>
              <w:left w:val="nil"/>
            </w:tcBorders>
          </w:tcPr>
          <w:p w:rsidR="00C31DA8" w:rsidRDefault="0093753B" w:rsidP="00191ECD">
            <w:r w:rsidRPr="0093753B">
              <w:t>-5.2403</w:t>
            </w:r>
            <w:r w:rsidR="00356FA7">
              <w:t>*</w:t>
            </w:r>
          </w:p>
        </w:tc>
      </w:tr>
    </w:tbl>
    <w:p w:rsidR="00585288" w:rsidRDefault="00585288" w:rsidP="00356FA7">
      <w:pPr>
        <w:spacing w:line="480" w:lineRule="auto"/>
      </w:pPr>
    </w:p>
    <w:tbl>
      <w:tblPr>
        <w:tblStyle w:val="TableGrid"/>
        <w:tblW w:w="0" w:type="auto"/>
        <w:tblLayout w:type="fixed"/>
        <w:tblLook w:val="04A0" w:firstRow="1" w:lastRow="0" w:firstColumn="1" w:lastColumn="0" w:noHBand="0" w:noVBand="1"/>
      </w:tblPr>
      <w:tblGrid>
        <w:gridCol w:w="1335"/>
        <w:gridCol w:w="100"/>
        <w:gridCol w:w="810"/>
        <w:gridCol w:w="425"/>
        <w:gridCol w:w="475"/>
        <w:gridCol w:w="861"/>
        <w:gridCol w:w="149"/>
        <w:gridCol w:w="1039"/>
        <w:gridCol w:w="148"/>
        <w:gridCol w:w="891"/>
        <w:gridCol w:w="445"/>
        <w:gridCol w:w="594"/>
        <w:gridCol w:w="742"/>
        <w:gridCol w:w="297"/>
        <w:gridCol w:w="1039"/>
      </w:tblGrid>
      <w:tr w:rsidR="00C31DA8" w:rsidTr="00BA7F20">
        <w:tc>
          <w:tcPr>
            <w:tcW w:w="9350" w:type="dxa"/>
            <w:gridSpan w:val="15"/>
          </w:tcPr>
          <w:p w:rsidR="00C31DA8" w:rsidRPr="00356FA7" w:rsidRDefault="00356FA7" w:rsidP="00356FA7">
            <w:pPr>
              <w:rPr>
                <w:b/>
              </w:rPr>
            </w:pPr>
            <w:r w:rsidRPr="00356FA7">
              <w:rPr>
                <w:b/>
              </w:rPr>
              <w:t xml:space="preserve">Panel C: </w:t>
            </w:r>
            <w:r w:rsidR="00C31DA8" w:rsidRPr="00356FA7">
              <w:rPr>
                <w:b/>
              </w:rPr>
              <w:t xml:space="preserve">REIT Total Return Indices and </w:t>
            </w:r>
            <w:r w:rsidR="00BA7F20" w:rsidRPr="00356FA7">
              <w:rPr>
                <w:b/>
              </w:rPr>
              <w:t>Real Residential Property Prices for United States</w:t>
            </w:r>
          </w:p>
        </w:tc>
      </w:tr>
      <w:tr w:rsidR="00C31DA8" w:rsidTr="00356FA7">
        <w:tc>
          <w:tcPr>
            <w:tcW w:w="1435" w:type="dxa"/>
            <w:gridSpan w:val="2"/>
            <w:tcBorders>
              <w:right w:val="nil"/>
            </w:tcBorders>
          </w:tcPr>
          <w:p w:rsidR="00C31DA8" w:rsidRDefault="00C31DA8" w:rsidP="00191ECD">
            <w:pPr>
              <w:jc w:val="center"/>
            </w:pPr>
          </w:p>
        </w:tc>
        <w:tc>
          <w:tcPr>
            <w:tcW w:w="7915" w:type="dxa"/>
            <w:gridSpan w:val="13"/>
            <w:tcBorders>
              <w:left w:val="nil"/>
            </w:tcBorders>
          </w:tcPr>
          <w:p w:rsidR="00C31DA8" w:rsidRDefault="00C31DA8" w:rsidP="00191ECD">
            <w:pPr>
              <w:jc w:val="center"/>
            </w:pPr>
            <w:r>
              <w:t>Level Series</w:t>
            </w:r>
          </w:p>
        </w:tc>
      </w:tr>
      <w:tr w:rsidR="00C31DA8" w:rsidTr="00356FA7">
        <w:tc>
          <w:tcPr>
            <w:tcW w:w="1435" w:type="dxa"/>
            <w:gridSpan w:val="2"/>
            <w:tcBorders>
              <w:right w:val="nil"/>
            </w:tcBorders>
          </w:tcPr>
          <w:p w:rsidR="00C31DA8" w:rsidRDefault="00C31DA8" w:rsidP="00191ECD">
            <w:pPr>
              <w:jc w:val="center"/>
            </w:pPr>
          </w:p>
        </w:tc>
        <w:tc>
          <w:tcPr>
            <w:tcW w:w="1710" w:type="dxa"/>
            <w:gridSpan w:val="3"/>
            <w:tcBorders>
              <w:left w:val="nil"/>
            </w:tcBorders>
          </w:tcPr>
          <w:p w:rsidR="00C31DA8" w:rsidRDefault="00C31DA8" w:rsidP="00191ECD">
            <w:pPr>
              <w:jc w:val="center"/>
            </w:pPr>
            <w:r>
              <w:t>All</w:t>
            </w:r>
          </w:p>
        </w:tc>
        <w:tc>
          <w:tcPr>
            <w:tcW w:w="2049" w:type="dxa"/>
            <w:gridSpan w:val="3"/>
          </w:tcPr>
          <w:p w:rsidR="00C31DA8" w:rsidRDefault="00C31DA8" w:rsidP="00191ECD">
            <w:pPr>
              <w:jc w:val="center"/>
            </w:pPr>
            <w:r>
              <w:t>Equity</w:t>
            </w:r>
          </w:p>
        </w:tc>
        <w:tc>
          <w:tcPr>
            <w:tcW w:w="2078" w:type="dxa"/>
            <w:gridSpan w:val="4"/>
          </w:tcPr>
          <w:p w:rsidR="00C31DA8" w:rsidRDefault="00C31DA8" w:rsidP="00191ECD">
            <w:pPr>
              <w:jc w:val="center"/>
            </w:pPr>
            <w:r>
              <w:t>Mortgage</w:t>
            </w:r>
          </w:p>
        </w:tc>
        <w:tc>
          <w:tcPr>
            <w:tcW w:w="2078" w:type="dxa"/>
            <w:gridSpan w:val="3"/>
          </w:tcPr>
          <w:p w:rsidR="00C31DA8" w:rsidRDefault="00CC6EE3" w:rsidP="00191ECD">
            <w:pPr>
              <w:jc w:val="center"/>
            </w:pPr>
            <w:r>
              <w:t>QUSR</w:t>
            </w:r>
          </w:p>
        </w:tc>
      </w:tr>
      <w:tr w:rsidR="00C31DA8" w:rsidTr="00356FA7">
        <w:tc>
          <w:tcPr>
            <w:tcW w:w="1435" w:type="dxa"/>
            <w:gridSpan w:val="2"/>
            <w:tcBorders>
              <w:bottom w:val="single" w:sz="4" w:space="0" w:color="auto"/>
              <w:right w:val="nil"/>
            </w:tcBorders>
          </w:tcPr>
          <w:p w:rsidR="00C31DA8" w:rsidRDefault="00C31DA8" w:rsidP="00191ECD">
            <w:r>
              <w:t>Period</w:t>
            </w:r>
          </w:p>
        </w:tc>
        <w:tc>
          <w:tcPr>
            <w:tcW w:w="810" w:type="dxa"/>
            <w:tcBorders>
              <w:left w:val="nil"/>
              <w:bottom w:val="single" w:sz="4" w:space="0" w:color="auto"/>
            </w:tcBorders>
          </w:tcPr>
          <w:p w:rsidR="00C31DA8" w:rsidRDefault="00C31DA8" w:rsidP="00191ECD">
            <w:r>
              <w:t>ADF</w:t>
            </w:r>
          </w:p>
        </w:tc>
        <w:tc>
          <w:tcPr>
            <w:tcW w:w="900" w:type="dxa"/>
            <w:gridSpan w:val="2"/>
            <w:tcBorders>
              <w:bottom w:val="single" w:sz="4" w:space="0" w:color="auto"/>
            </w:tcBorders>
          </w:tcPr>
          <w:p w:rsidR="00C31DA8" w:rsidRDefault="00C31DA8" w:rsidP="00191ECD">
            <w:r>
              <w:t>PP</w:t>
            </w:r>
          </w:p>
        </w:tc>
        <w:tc>
          <w:tcPr>
            <w:tcW w:w="1010" w:type="dxa"/>
            <w:gridSpan w:val="2"/>
            <w:tcBorders>
              <w:bottom w:val="single" w:sz="4" w:space="0" w:color="auto"/>
            </w:tcBorders>
          </w:tcPr>
          <w:p w:rsidR="00C31DA8" w:rsidRDefault="00C31DA8" w:rsidP="00191ECD">
            <w:r>
              <w:t>ADF</w:t>
            </w:r>
          </w:p>
        </w:tc>
        <w:tc>
          <w:tcPr>
            <w:tcW w:w="1039" w:type="dxa"/>
            <w:tcBorders>
              <w:bottom w:val="single" w:sz="4" w:space="0" w:color="auto"/>
            </w:tcBorders>
          </w:tcPr>
          <w:p w:rsidR="00C31DA8" w:rsidRDefault="00C31DA8" w:rsidP="00191ECD">
            <w:r>
              <w:t>PP</w:t>
            </w:r>
          </w:p>
        </w:tc>
        <w:tc>
          <w:tcPr>
            <w:tcW w:w="1039" w:type="dxa"/>
            <w:gridSpan w:val="2"/>
            <w:tcBorders>
              <w:bottom w:val="single" w:sz="4" w:space="0" w:color="auto"/>
            </w:tcBorders>
          </w:tcPr>
          <w:p w:rsidR="00C31DA8" w:rsidRDefault="00C31DA8" w:rsidP="00191ECD">
            <w:r>
              <w:t>ADF</w:t>
            </w:r>
          </w:p>
        </w:tc>
        <w:tc>
          <w:tcPr>
            <w:tcW w:w="1039" w:type="dxa"/>
            <w:gridSpan w:val="2"/>
            <w:tcBorders>
              <w:bottom w:val="single" w:sz="4" w:space="0" w:color="auto"/>
            </w:tcBorders>
          </w:tcPr>
          <w:p w:rsidR="00C31DA8" w:rsidRDefault="00C31DA8" w:rsidP="00191ECD">
            <w:r>
              <w:t>PP</w:t>
            </w:r>
          </w:p>
        </w:tc>
        <w:tc>
          <w:tcPr>
            <w:tcW w:w="1039" w:type="dxa"/>
            <w:gridSpan w:val="2"/>
            <w:tcBorders>
              <w:bottom w:val="single" w:sz="4" w:space="0" w:color="auto"/>
            </w:tcBorders>
          </w:tcPr>
          <w:p w:rsidR="00C31DA8" w:rsidRDefault="00C31DA8" w:rsidP="00191ECD">
            <w:r>
              <w:t>ADF</w:t>
            </w:r>
          </w:p>
        </w:tc>
        <w:tc>
          <w:tcPr>
            <w:tcW w:w="1039" w:type="dxa"/>
            <w:tcBorders>
              <w:bottom w:val="single" w:sz="4" w:space="0" w:color="auto"/>
            </w:tcBorders>
          </w:tcPr>
          <w:p w:rsidR="00C31DA8" w:rsidRDefault="00C31DA8" w:rsidP="00191ECD">
            <w:r>
              <w:t>PP</w:t>
            </w:r>
          </w:p>
        </w:tc>
      </w:tr>
      <w:tr w:rsidR="00C31DA8" w:rsidTr="00356FA7">
        <w:tc>
          <w:tcPr>
            <w:tcW w:w="1435" w:type="dxa"/>
            <w:gridSpan w:val="2"/>
            <w:tcBorders>
              <w:bottom w:val="single" w:sz="4" w:space="0" w:color="auto"/>
              <w:right w:val="nil"/>
            </w:tcBorders>
          </w:tcPr>
          <w:p w:rsidR="00C31DA8" w:rsidRDefault="00BA7F20" w:rsidP="00191ECD">
            <w:r>
              <w:t>12/77</w:t>
            </w:r>
            <w:r w:rsidR="00C31DA8">
              <w:t xml:space="preserve"> -</w:t>
            </w:r>
            <w:r>
              <w:t>09</w:t>
            </w:r>
            <w:r w:rsidR="00C31DA8">
              <w:t>/96</w:t>
            </w:r>
          </w:p>
        </w:tc>
        <w:tc>
          <w:tcPr>
            <w:tcW w:w="810" w:type="dxa"/>
            <w:tcBorders>
              <w:left w:val="nil"/>
              <w:right w:val="nil"/>
            </w:tcBorders>
          </w:tcPr>
          <w:p w:rsidR="00C31DA8" w:rsidRDefault="00CC6EE3" w:rsidP="00191ECD">
            <w:r w:rsidRPr="00CC6EE3">
              <w:t>-2.113</w:t>
            </w:r>
          </w:p>
        </w:tc>
        <w:tc>
          <w:tcPr>
            <w:tcW w:w="900" w:type="dxa"/>
            <w:gridSpan w:val="2"/>
            <w:tcBorders>
              <w:left w:val="nil"/>
              <w:right w:val="nil"/>
            </w:tcBorders>
          </w:tcPr>
          <w:p w:rsidR="00C31DA8" w:rsidRDefault="00CC6EE3" w:rsidP="00191ECD">
            <w:r w:rsidRPr="00CC6EE3">
              <w:t>-1.962</w:t>
            </w:r>
          </w:p>
        </w:tc>
        <w:tc>
          <w:tcPr>
            <w:tcW w:w="1010" w:type="dxa"/>
            <w:gridSpan w:val="2"/>
            <w:tcBorders>
              <w:left w:val="nil"/>
              <w:right w:val="nil"/>
            </w:tcBorders>
          </w:tcPr>
          <w:p w:rsidR="00C31DA8" w:rsidRDefault="00CC6EE3" w:rsidP="00191ECD">
            <w:r w:rsidRPr="00CC6EE3">
              <w:t>-2.356</w:t>
            </w:r>
          </w:p>
        </w:tc>
        <w:tc>
          <w:tcPr>
            <w:tcW w:w="1039" w:type="dxa"/>
            <w:tcBorders>
              <w:left w:val="nil"/>
              <w:right w:val="nil"/>
            </w:tcBorders>
          </w:tcPr>
          <w:p w:rsidR="00C31DA8" w:rsidRDefault="00CC6EE3" w:rsidP="00191ECD">
            <w:r w:rsidRPr="00CC6EE3">
              <w:t>-2.139</w:t>
            </w:r>
          </w:p>
        </w:tc>
        <w:tc>
          <w:tcPr>
            <w:tcW w:w="1039" w:type="dxa"/>
            <w:gridSpan w:val="2"/>
            <w:tcBorders>
              <w:left w:val="nil"/>
              <w:right w:val="nil"/>
            </w:tcBorders>
          </w:tcPr>
          <w:p w:rsidR="00C31DA8" w:rsidRDefault="00CC6EE3" w:rsidP="00191ECD">
            <w:r w:rsidRPr="00CC6EE3">
              <w:t>-1.771</w:t>
            </w:r>
          </w:p>
        </w:tc>
        <w:tc>
          <w:tcPr>
            <w:tcW w:w="1039" w:type="dxa"/>
            <w:gridSpan w:val="2"/>
            <w:tcBorders>
              <w:left w:val="nil"/>
              <w:right w:val="nil"/>
            </w:tcBorders>
          </w:tcPr>
          <w:p w:rsidR="00C31DA8" w:rsidRDefault="00CC6EE3" w:rsidP="00191ECD">
            <w:r w:rsidRPr="00CC6EE3">
              <w:t>-1.675</w:t>
            </w:r>
          </w:p>
        </w:tc>
        <w:tc>
          <w:tcPr>
            <w:tcW w:w="1039" w:type="dxa"/>
            <w:gridSpan w:val="2"/>
            <w:tcBorders>
              <w:left w:val="nil"/>
              <w:right w:val="nil"/>
            </w:tcBorders>
          </w:tcPr>
          <w:p w:rsidR="00C31DA8" w:rsidRDefault="00CC6EE3" w:rsidP="00191ECD">
            <w:r w:rsidRPr="00CC6EE3">
              <w:t>-1.735</w:t>
            </w:r>
          </w:p>
        </w:tc>
        <w:tc>
          <w:tcPr>
            <w:tcW w:w="1039" w:type="dxa"/>
            <w:tcBorders>
              <w:left w:val="nil"/>
            </w:tcBorders>
          </w:tcPr>
          <w:p w:rsidR="00C31DA8" w:rsidRDefault="00CC6EE3" w:rsidP="00191ECD">
            <w:r>
              <w:t>-1.141</w:t>
            </w:r>
          </w:p>
        </w:tc>
      </w:tr>
      <w:tr w:rsidR="00C31DA8" w:rsidTr="00356FA7">
        <w:tc>
          <w:tcPr>
            <w:tcW w:w="1435" w:type="dxa"/>
            <w:gridSpan w:val="2"/>
            <w:tcBorders>
              <w:right w:val="nil"/>
            </w:tcBorders>
          </w:tcPr>
          <w:p w:rsidR="00C31DA8" w:rsidRDefault="00C31DA8" w:rsidP="00191ECD"/>
        </w:tc>
        <w:tc>
          <w:tcPr>
            <w:tcW w:w="7915" w:type="dxa"/>
            <w:gridSpan w:val="13"/>
            <w:tcBorders>
              <w:left w:val="nil"/>
            </w:tcBorders>
          </w:tcPr>
          <w:p w:rsidR="00C31DA8" w:rsidRDefault="00C31DA8" w:rsidP="00191ECD">
            <w:pPr>
              <w:jc w:val="center"/>
            </w:pPr>
            <w:r>
              <w:t>First Difference</w:t>
            </w:r>
          </w:p>
        </w:tc>
      </w:tr>
      <w:tr w:rsidR="00C31DA8" w:rsidTr="00356FA7">
        <w:tc>
          <w:tcPr>
            <w:tcW w:w="1435" w:type="dxa"/>
            <w:gridSpan w:val="2"/>
            <w:tcBorders>
              <w:right w:val="nil"/>
            </w:tcBorders>
          </w:tcPr>
          <w:p w:rsidR="00C31DA8" w:rsidRDefault="00C31DA8" w:rsidP="00191ECD"/>
        </w:tc>
        <w:tc>
          <w:tcPr>
            <w:tcW w:w="1710" w:type="dxa"/>
            <w:gridSpan w:val="3"/>
            <w:tcBorders>
              <w:left w:val="nil"/>
            </w:tcBorders>
          </w:tcPr>
          <w:p w:rsidR="00C31DA8" w:rsidRDefault="00C31DA8" w:rsidP="00191ECD">
            <w:pPr>
              <w:jc w:val="center"/>
            </w:pPr>
            <w:r>
              <w:t>All</w:t>
            </w:r>
          </w:p>
        </w:tc>
        <w:tc>
          <w:tcPr>
            <w:tcW w:w="2049" w:type="dxa"/>
            <w:gridSpan w:val="3"/>
          </w:tcPr>
          <w:p w:rsidR="00C31DA8" w:rsidRDefault="00C31DA8" w:rsidP="00191ECD">
            <w:pPr>
              <w:jc w:val="center"/>
            </w:pPr>
            <w:r>
              <w:t>Equity</w:t>
            </w:r>
          </w:p>
        </w:tc>
        <w:tc>
          <w:tcPr>
            <w:tcW w:w="2078" w:type="dxa"/>
            <w:gridSpan w:val="4"/>
          </w:tcPr>
          <w:p w:rsidR="00C31DA8" w:rsidRDefault="00C31DA8" w:rsidP="00191ECD">
            <w:pPr>
              <w:jc w:val="center"/>
            </w:pPr>
            <w:r>
              <w:t>Mortgage</w:t>
            </w:r>
          </w:p>
        </w:tc>
        <w:tc>
          <w:tcPr>
            <w:tcW w:w="2078" w:type="dxa"/>
            <w:gridSpan w:val="3"/>
          </w:tcPr>
          <w:p w:rsidR="00C31DA8" w:rsidRDefault="00CC6EE3" w:rsidP="00191ECD">
            <w:pPr>
              <w:jc w:val="center"/>
            </w:pPr>
            <w:r>
              <w:t>QUSR</w:t>
            </w:r>
          </w:p>
        </w:tc>
      </w:tr>
      <w:tr w:rsidR="00C31DA8" w:rsidTr="00356FA7">
        <w:tc>
          <w:tcPr>
            <w:tcW w:w="1435" w:type="dxa"/>
            <w:gridSpan w:val="2"/>
            <w:tcBorders>
              <w:bottom w:val="single" w:sz="4" w:space="0" w:color="auto"/>
              <w:right w:val="nil"/>
            </w:tcBorders>
          </w:tcPr>
          <w:p w:rsidR="00C31DA8" w:rsidRDefault="00C31DA8" w:rsidP="00191ECD">
            <w:r>
              <w:t>Period</w:t>
            </w:r>
          </w:p>
        </w:tc>
        <w:tc>
          <w:tcPr>
            <w:tcW w:w="810" w:type="dxa"/>
            <w:tcBorders>
              <w:left w:val="nil"/>
              <w:bottom w:val="single" w:sz="4" w:space="0" w:color="auto"/>
            </w:tcBorders>
          </w:tcPr>
          <w:p w:rsidR="00C31DA8" w:rsidRDefault="00C31DA8" w:rsidP="00191ECD">
            <w:r>
              <w:t>ADF</w:t>
            </w:r>
          </w:p>
        </w:tc>
        <w:tc>
          <w:tcPr>
            <w:tcW w:w="900" w:type="dxa"/>
            <w:gridSpan w:val="2"/>
            <w:tcBorders>
              <w:bottom w:val="single" w:sz="4" w:space="0" w:color="auto"/>
            </w:tcBorders>
          </w:tcPr>
          <w:p w:rsidR="00C31DA8" w:rsidRDefault="00C31DA8" w:rsidP="00191ECD">
            <w:r>
              <w:t>PP</w:t>
            </w:r>
          </w:p>
        </w:tc>
        <w:tc>
          <w:tcPr>
            <w:tcW w:w="1010" w:type="dxa"/>
            <w:gridSpan w:val="2"/>
            <w:tcBorders>
              <w:bottom w:val="single" w:sz="4" w:space="0" w:color="auto"/>
            </w:tcBorders>
          </w:tcPr>
          <w:p w:rsidR="00C31DA8" w:rsidRDefault="00C31DA8" w:rsidP="00191ECD">
            <w:r>
              <w:t>ADF</w:t>
            </w:r>
          </w:p>
        </w:tc>
        <w:tc>
          <w:tcPr>
            <w:tcW w:w="1039" w:type="dxa"/>
            <w:tcBorders>
              <w:bottom w:val="single" w:sz="4" w:space="0" w:color="auto"/>
            </w:tcBorders>
          </w:tcPr>
          <w:p w:rsidR="00C31DA8" w:rsidRDefault="00C31DA8" w:rsidP="00191ECD">
            <w:r>
              <w:t>PP</w:t>
            </w:r>
          </w:p>
        </w:tc>
        <w:tc>
          <w:tcPr>
            <w:tcW w:w="1039" w:type="dxa"/>
            <w:gridSpan w:val="2"/>
            <w:tcBorders>
              <w:bottom w:val="single" w:sz="4" w:space="0" w:color="auto"/>
            </w:tcBorders>
          </w:tcPr>
          <w:p w:rsidR="00C31DA8" w:rsidRDefault="00C31DA8" w:rsidP="00191ECD">
            <w:r>
              <w:t>ADF</w:t>
            </w:r>
          </w:p>
        </w:tc>
        <w:tc>
          <w:tcPr>
            <w:tcW w:w="1039" w:type="dxa"/>
            <w:gridSpan w:val="2"/>
            <w:tcBorders>
              <w:bottom w:val="single" w:sz="4" w:space="0" w:color="auto"/>
            </w:tcBorders>
          </w:tcPr>
          <w:p w:rsidR="00C31DA8" w:rsidRDefault="00C31DA8" w:rsidP="00191ECD">
            <w:r>
              <w:t>PP</w:t>
            </w:r>
          </w:p>
        </w:tc>
        <w:tc>
          <w:tcPr>
            <w:tcW w:w="1039" w:type="dxa"/>
            <w:gridSpan w:val="2"/>
            <w:tcBorders>
              <w:bottom w:val="single" w:sz="4" w:space="0" w:color="auto"/>
            </w:tcBorders>
          </w:tcPr>
          <w:p w:rsidR="00C31DA8" w:rsidRDefault="00C31DA8" w:rsidP="00191ECD">
            <w:r>
              <w:t>ADF</w:t>
            </w:r>
          </w:p>
        </w:tc>
        <w:tc>
          <w:tcPr>
            <w:tcW w:w="1039" w:type="dxa"/>
            <w:tcBorders>
              <w:bottom w:val="single" w:sz="4" w:space="0" w:color="auto"/>
            </w:tcBorders>
          </w:tcPr>
          <w:p w:rsidR="00C31DA8" w:rsidRDefault="00C31DA8" w:rsidP="00191ECD">
            <w:r>
              <w:t>PP</w:t>
            </w:r>
          </w:p>
        </w:tc>
      </w:tr>
      <w:tr w:rsidR="00C31DA8" w:rsidTr="00356FA7">
        <w:tc>
          <w:tcPr>
            <w:tcW w:w="1435" w:type="dxa"/>
            <w:gridSpan w:val="2"/>
            <w:tcBorders>
              <w:right w:val="nil"/>
            </w:tcBorders>
          </w:tcPr>
          <w:p w:rsidR="00C31DA8" w:rsidRDefault="00BA7F20" w:rsidP="00191ECD">
            <w:r>
              <w:t>12/77 -09/96</w:t>
            </w:r>
          </w:p>
        </w:tc>
        <w:tc>
          <w:tcPr>
            <w:tcW w:w="810" w:type="dxa"/>
            <w:tcBorders>
              <w:left w:val="nil"/>
              <w:right w:val="nil"/>
            </w:tcBorders>
          </w:tcPr>
          <w:p w:rsidR="00C31DA8" w:rsidRDefault="004957F7" w:rsidP="00191ECD">
            <w:r w:rsidRPr="004957F7">
              <w:t>-10.3</w:t>
            </w:r>
            <w:r w:rsidR="00356FA7">
              <w:t>*</w:t>
            </w:r>
          </w:p>
        </w:tc>
        <w:tc>
          <w:tcPr>
            <w:tcW w:w="900" w:type="dxa"/>
            <w:gridSpan w:val="2"/>
            <w:tcBorders>
              <w:left w:val="nil"/>
              <w:right w:val="nil"/>
            </w:tcBorders>
          </w:tcPr>
          <w:p w:rsidR="00C31DA8" w:rsidRDefault="004957F7" w:rsidP="00191ECD">
            <w:r w:rsidRPr="004957F7">
              <w:t>-12.41</w:t>
            </w:r>
            <w:r w:rsidR="00356FA7">
              <w:t>*</w:t>
            </w:r>
          </w:p>
        </w:tc>
        <w:tc>
          <w:tcPr>
            <w:tcW w:w="1010" w:type="dxa"/>
            <w:gridSpan w:val="2"/>
            <w:tcBorders>
              <w:left w:val="nil"/>
              <w:right w:val="nil"/>
            </w:tcBorders>
          </w:tcPr>
          <w:p w:rsidR="00C31DA8" w:rsidRDefault="004957F7" w:rsidP="00191ECD">
            <w:r w:rsidRPr="004957F7">
              <w:t>-10.52</w:t>
            </w:r>
            <w:r w:rsidR="00356FA7">
              <w:t>*</w:t>
            </w:r>
          </w:p>
        </w:tc>
        <w:tc>
          <w:tcPr>
            <w:tcW w:w="1039" w:type="dxa"/>
            <w:tcBorders>
              <w:left w:val="nil"/>
              <w:right w:val="nil"/>
            </w:tcBorders>
          </w:tcPr>
          <w:p w:rsidR="00C31DA8" w:rsidRDefault="004957F7" w:rsidP="00191ECD">
            <w:r w:rsidRPr="004957F7">
              <w:t>-12.57</w:t>
            </w:r>
            <w:r w:rsidR="00356FA7">
              <w:t>*</w:t>
            </w:r>
          </w:p>
        </w:tc>
        <w:tc>
          <w:tcPr>
            <w:tcW w:w="1039" w:type="dxa"/>
            <w:gridSpan w:val="2"/>
            <w:tcBorders>
              <w:left w:val="nil"/>
              <w:right w:val="nil"/>
            </w:tcBorders>
          </w:tcPr>
          <w:p w:rsidR="00C31DA8" w:rsidRDefault="004957F7" w:rsidP="00191ECD">
            <w:r w:rsidRPr="004957F7">
              <w:t>-9.678</w:t>
            </w:r>
            <w:r w:rsidR="00356FA7">
              <w:t>*</w:t>
            </w:r>
          </w:p>
        </w:tc>
        <w:tc>
          <w:tcPr>
            <w:tcW w:w="1039" w:type="dxa"/>
            <w:gridSpan w:val="2"/>
            <w:tcBorders>
              <w:left w:val="nil"/>
              <w:right w:val="nil"/>
            </w:tcBorders>
          </w:tcPr>
          <w:p w:rsidR="00C31DA8" w:rsidRDefault="004957F7" w:rsidP="00191ECD">
            <w:r w:rsidRPr="004957F7">
              <w:t>-12.48</w:t>
            </w:r>
            <w:r w:rsidR="00356FA7">
              <w:t>*</w:t>
            </w:r>
          </w:p>
        </w:tc>
        <w:tc>
          <w:tcPr>
            <w:tcW w:w="1039" w:type="dxa"/>
            <w:gridSpan w:val="2"/>
            <w:tcBorders>
              <w:left w:val="nil"/>
              <w:right w:val="nil"/>
            </w:tcBorders>
          </w:tcPr>
          <w:p w:rsidR="00C31DA8" w:rsidRDefault="0089473B" w:rsidP="00191ECD">
            <w:r w:rsidRPr="00356FA7">
              <w:t>-3.125</w:t>
            </w:r>
            <w:r w:rsidR="00356FA7" w:rsidRPr="00356FA7">
              <w:t>**</w:t>
            </w:r>
          </w:p>
        </w:tc>
        <w:tc>
          <w:tcPr>
            <w:tcW w:w="1039" w:type="dxa"/>
            <w:tcBorders>
              <w:left w:val="nil"/>
            </w:tcBorders>
          </w:tcPr>
          <w:p w:rsidR="00C31DA8" w:rsidRDefault="0089473B" w:rsidP="00191ECD">
            <w:r w:rsidRPr="00356FA7">
              <w:t>-3.408</w:t>
            </w:r>
            <w:r w:rsidR="00356FA7">
              <w:t>**</w:t>
            </w:r>
          </w:p>
        </w:tc>
      </w:tr>
      <w:tr w:rsidR="00BA7F20" w:rsidTr="00936D3D">
        <w:tc>
          <w:tcPr>
            <w:tcW w:w="9350" w:type="dxa"/>
            <w:gridSpan w:val="15"/>
          </w:tcPr>
          <w:p w:rsidR="00BA7F20" w:rsidRPr="00356FA7" w:rsidRDefault="00356FA7" w:rsidP="00356FA7">
            <w:pPr>
              <w:rPr>
                <w:b/>
              </w:rPr>
            </w:pPr>
            <w:r w:rsidRPr="00356FA7">
              <w:rPr>
                <w:b/>
              </w:rPr>
              <w:t xml:space="preserve">Panel D: </w:t>
            </w:r>
            <w:r w:rsidR="00BA7F20" w:rsidRPr="00356FA7">
              <w:rPr>
                <w:b/>
              </w:rPr>
              <w:t>Total REIT Return and Share Indices and Consumer Price Index</w:t>
            </w:r>
          </w:p>
        </w:tc>
      </w:tr>
      <w:tr w:rsidR="00BA7F20" w:rsidTr="00356FA7">
        <w:tc>
          <w:tcPr>
            <w:tcW w:w="1335" w:type="dxa"/>
            <w:tcBorders>
              <w:right w:val="nil"/>
            </w:tcBorders>
          </w:tcPr>
          <w:p w:rsidR="00BA7F20" w:rsidRDefault="00BA7F20" w:rsidP="00191ECD"/>
        </w:tc>
        <w:tc>
          <w:tcPr>
            <w:tcW w:w="8015" w:type="dxa"/>
            <w:gridSpan w:val="14"/>
            <w:tcBorders>
              <w:left w:val="nil"/>
            </w:tcBorders>
          </w:tcPr>
          <w:p w:rsidR="00BA7F20" w:rsidRDefault="00BA7F20" w:rsidP="00191ECD">
            <w:pPr>
              <w:jc w:val="center"/>
            </w:pPr>
            <w:r>
              <w:t>Level Series</w:t>
            </w:r>
          </w:p>
        </w:tc>
      </w:tr>
      <w:tr w:rsidR="00BA7F20" w:rsidTr="00356FA7">
        <w:tc>
          <w:tcPr>
            <w:tcW w:w="1335" w:type="dxa"/>
            <w:tcBorders>
              <w:right w:val="nil"/>
            </w:tcBorders>
          </w:tcPr>
          <w:p w:rsidR="00BA7F20" w:rsidRDefault="00BA7F20" w:rsidP="00191ECD"/>
        </w:tc>
        <w:tc>
          <w:tcPr>
            <w:tcW w:w="2671" w:type="dxa"/>
            <w:gridSpan w:val="5"/>
            <w:tcBorders>
              <w:left w:val="nil"/>
            </w:tcBorders>
          </w:tcPr>
          <w:p w:rsidR="00BA7F20" w:rsidRDefault="00BA7F20" w:rsidP="00191ECD">
            <w:pPr>
              <w:jc w:val="center"/>
            </w:pPr>
            <w:r>
              <w:t>REIT Total Return Index</w:t>
            </w:r>
          </w:p>
        </w:tc>
        <w:tc>
          <w:tcPr>
            <w:tcW w:w="2672" w:type="dxa"/>
            <w:gridSpan w:val="5"/>
          </w:tcPr>
          <w:p w:rsidR="00BA7F20" w:rsidRDefault="00BA7F20" w:rsidP="00191ECD">
            <w:pPr>
              <w:jc w:val="center"/>
            </w:pPr>
            <w:r>
              <w:t>REIT Share Price Index</w:t>
            </w:r>
          </w:p>
        </w:tc>
        <w:tc>
          <w:tcPr>
            <w:tcW w:w="2672" w:type="dxa"/>
            <w:gridSpan w:val="4"/>
          </w:tcPr>
          <w:p w:rsidR="00BA7F20" w:rsidRDefault="001D6697" w:rsidP="00191ECD">
            <w:pPr>
              <w:jc w:val="center"/>
            </w:pPr>
            <w:r>
              <w:t>CPI</w:t>
            </w:r>
          </w:p>
        </w:tc>
      </w:tr>
      <w:tr w:rsidR="00BA7F20" w:rsidTr="00356FA7">
        <w:tc>
          <w:tcPr>
            <w:tcW w:w="1335" w:type="dxa"/>
            <w:tcBorders>
              <w:bottom w:val="single" w:sz="4" w:space="0" w:color="auto"/>
              <w:right w:val="nil"/>
            </w:tcBorders>
          </w:tcPr>
          <w:p w:rsidR="00BA7F20" w:rsidRDefault="00BA7F20" w:rsidP="00191ECD">
            <w:r>
              <w:t>Period</w:t>
            </w:r>
          </w:p>
        </w:tc>
        <w:tc>
          <w:tcPr>
            <w:tcW w:w="1335" w:type="dxa"/>
            <w:gridSpan w:val="3"/>
            <w:tcBorders>
              <w:left w:val="nil"/>
              <w:bottom w:val="single" w:sz="4" w:space="0" w:color="auto"/>
            </w:tcBorders>
          </w:tcPr>
          <w:p w:rsidR="00BA7F20" w:rsidRDefault="00BA7F20" w:rsidP="00191ECD">
            <w:r>
              <w:t>ADF</w:t>
            </w:r>
          </w:p>
        </w:tc>
        <w:tc>
          <w:tcPr>
            <w:tcW w:w="1336" w:type="dxa"/>
            <w:gridSpan w:val="2"/>
            <w:tcBorders>
              <w:bottom w:val="single" w:sz="4" w:space="0" w:color="auto"/>
            </w:tcBorders>
          </w:tcPr>
          <w:p w:rsidR="00BA7F20" w:rsidRDefault="00BA7F20" w:rsidP="00191ECD">
            <w:r>
              <w:t>PP</w:t>
            </w:r>
          </w:p>
        </w:tc>
        <w:tc>
          <w:tcPr>
            <w:tcW w:w="1336" w:type="dxa"/>
            <w:gridSpan w:val="3"/>
            <w:tcBorders>
              <w:bottom w:val="single" w:sz="4" w:space="0" w:color="auto"/>
            </w:tcBorders>
          </w:tcPr>
          <w:p w:rsidR="00BA7F20" w:rsidRDefault="00BA7F20" w:rsidP="00191ECD">
            <w:r>
              <w:t>ADF</w:t>
            </w:r>
          </w:p>
        </w:tc>
        <w:tc>
          <w:tcPr>
            <w:tcW w:w="1336" w:type="dxa"/>
            <w:gridSpan w:val="2"/>
            <w:tcBorders>
              <w:bottom w:val="single" w:sz="4" w:space="0" w:color="auto"/>
            </w:tcBorders>
          </w:tcPr>
          <w:p w:rsidR="00BA7F20" w:rsidRDefault="00BA7F20" w:rsidP="00191ECD">
            <w:r>
              <w:t>PP</w:t>
            </w:r>
          </w:p>
        </w:tc>
        <w:tc>
          <w:tcPr>
            <w:tcW w:w="1336" w:type="dxa"/>
            <w:gridSpan w:val="2"/>
            <w:tcBorders>
              <w:bottom w:val="single" w:sz="4" w:space="0" w:color="auto"/>
            </w:tcBorders>
          </w:tcPr>
          <w:p w:rsidR="00BA7F20" w:rsidRDefault="00BA7F20" w:rsidP="00191ECD">
            <w:r>
              <w:t>ADF</w:t>
            </w:r>
          </w:p>
        </w:tc>
        <w:tc>
          <w:tcPr>
            <w:tcW w:w="1336" w:type="dxa"/>
            <w:gridSpan w:val="2"/>
            <w:tcBorders>
              <w:bottom w:val="single" w:sz="4" w:space="0" w:color="auto"/>
            </w:tcBorders>
          </w:tcPr>
          <w:p w:rsidR="00BA7F20" w:rsidRDefault="00BA7F20" w:rsidP="00191ECD">
            <w:r>
              <w:t>PP</w:t>
            </w:r>
          </w:p>
        </w:tc>
      </w:tr>
      <w:tr w:rsidR="00BA7F20" w:rsidTr="00191ECD">
        <w:tc>
          <w:tcPr>
            <w:tcW w:w="1335" w:type="dxa"/>
            <w:tcBorders>
              <w:bottom w:val="nil"/>
              <w:right w:val="nil"/>
            </w:tcBorders>
          </w:tcPr>
          <w:p w:rsidR="00BA7F20" w:rsidRDefault="00BA7F20" w:rsidP="00191ECD">
            <w:r>
              <w:t>1/72-12/96</w:t>
            </w:r>
          </w:p>
        </w:tc>
        <w:tc>
          <w:tcPr>
            <w:tcW w:w="1335" w:type="dxa"/>
            <w:gridSpan w:val="3"/>
            <w:tcBorders>
              <w:left w:val="nil"/>
              <w:bottom w:val="nil"/>
              <w:right w:val="nil"/>
            </w:tcBorders>
          </w:tcPr>
          <w:p w:rsidR="00BA7F20" w:rsidRDefault="004957F7" w:rsidP="00191ECD">
            <w:r w:rsidRPr="004957F7">
              <w:t>-2.243</w:t>
            </w:r>
          </w:p>
        </w:tc>
        <w:tc>
          <w:tcPr>
            <w:tcW w:w="1336" w:type="dxa"/>
            <w:gridSpan w:val="2"/>
            <w:tcBorders>
              <w:left w:val="nil"/>
              <w:bottom w:val="nil"/>
              <w:right w:val="nil"/>
            </w:tcBorders>
          </w:tcPr>
          <w:p w:rsidR="00BA7F20" w:rsidRDefault="004957F7" w:rsidP="00191ECD">
            <w:r w:rsidRPr="004957F7">
              <w:t>-2.226</w:t>
            </w:r>
          </w:p>
        </w:tc>
        <w:tc>
          <w:tcPr>
            <w:tcW w:w="1336" w:type="dxa"/>
            <w:gridSpan w:val="3"/>
            <w:tcBorders>
              <w:left w:val="nil"/>
              <w:bottom w:val="nil"/>
              <w:right w:val="nil"/>
            </w:tcBorders>
          </w:tcPr>
          <w:p w:rsidR="00BA7F20" w:rsidRDefault="004957F7" w:rsidP="00191ECD">
            <w:r w:rsidRPr="004957F7">
              <w:t>-2.138</w:t>
            </w:r>
          </w:p>
        </w:tc>
        <w:tc>
          <w:tcPr>
            <w:tcW w:w="1336" w:type="dxa"/>
            <w:gridSpan w:val="2"/>
            <w:tcBorders>
              <w:left w:val="nil"/>
              <w:bottom w:val="nil"/>
              <w:right w:val="nil"/>
            </w:tcBorders>
          </w:tcPr>
          <w:p w:rsidR="00BA7F20" w:rsidRDefault="004957F7" w:rsidP="00191ECD">
            <w:r w:rsidRPr="004957F7">
              <w:t>-2.133</w:t>
            </w:r>
          </w:p>
        </w:tc>
        <w:tc>
          <w:tcPr>
            <w:tcW w:w="1336" w:type="dxa"/>
            <w:gridSpan w:val="2"/>
            <w:tcBorders>
              <w:left w:val="nil"/>
              <w:bottom w:val="nil"/>
              <w:right w:val="nil"/>
            </w:tcBorders>
          </w:tcPr>
          <w:p w:rsidR="00BA7F20" w:rsidRDefault="001D6697" w:rsidP="00191ECD">
            <w:r w:rsidRPr="001D6697">
              <w:t>-0.3081</w:t>
            </w:r>
          </w:p>
        </w:tc>
        <w:tc>
          <w:tcPr>
            <w:tcW w:w="1336" w:type="dxa"/>
            <w:gridSpan w:val="2"/>
            <w:tcBorders>
              <w:left w:val="nil"/>
              <w:bottom w:val="nil"/>
            </w:tcBorders>
          </w:tcPr>
          <w:p w:rsidR="00BA7F20" w:rsidRDefault="004957F7" w:rsidP="00191ECD">
            <w:r w:rsidRPr="004957F7">
              <w:t>-</w:t>
            </w:r>
            <w:r w:rsidR="001D6697" w:rsidRPr="001D6697">
              <w:t>0.1683</w:t>
            </w:r>
          </w:p>
        </w:tc>
      </w:tr>
      <w:tr w:rsidR="00BA7F20" w:rsidTr="00191ECD">
        <w:tc>
          <w:tcPr>
            <w:tcW w:w="1335" w:type="dxa"/>
            <w:tcBorders>
              <w:top w:val="nil"/>
              <w:bottom w:val="nil"/>
              <w:right w:val="nil"/>
            </w:tcBorders>
          </w:tcPr>
          <w:p w:rsidR="00BA7F20" w:rsidRDefault="00BA7F20" w:rsidP="00191ECD">
            <w:r>
              <w:t>1/72-12/91</w:t>
            </w:r>
          </w:p>
        </w:tc>
        <w:tc>
          <w:tcPr>
            <w:tcW w:w="1335" w:type="dxa"/>
            <w:gridSpan w:val="3"/>
            <w:tcBorders>
              <w:top w:val="nil"/>
              <w:left w:val="nil"/>
              <w:bottom w:val="nil"/>
              <w:right w:val="nil"/>
            </w:tcBorders>
          </w:tcPr>
          <w:p w:rsidR="00BA7F20" w:rsidRDefault="00287955" w:rsidP="00191ECD">
            <w:r w:rsidRPr="00287955">
              <w:t>-2.088</w:t>
            </w:r>
          </w:p>
        </w:tc>
        <w:tc>
          <w:tcPr>
            <w:tcW w:w="1336" w:type="dxa"/>
            <w:gridSpan w:val="2"/>
            <w:tcBorders>
              <w:top w:val="nil"/>
              <w:left w:val="nil"/>
              <w:bottom w:val="nil"/>
              <w:right w:val="nil"/>
            </w:tcBorders>
          </w:tcPr>
          <w:p w:rsidR="00BA7F20" w:rsidRDefault="00287955" w:rsidP="00191ECD">
            <w:r w:rsidRPr="00287955">
              <w:t>-2.037</w:t>
            </w:r>
          </w:p>
        </w:tc>
        <w:tc>
          <w:tcPr>
            <w:tcW w:w="1336" w:type="dxa"/>
            <w:gridSpan w:val="3"/>
            <w:tcBorders>
              <w:top w:val="nil"/>
              <w:left w:val="nil"/>
              <w:bottom w:val="nil"/>
              <w:right w:val="nil"/>
            </w:tcBorders>
          </w:tcPr>
          <w:p w:rsidR="00BA7F20" w:rsidRDefault="00287955" w:rsidP="00191ECD">
            <w:r w:rsidRPr="00287955">
              <w:t>-1.941</w:t>
            </w:r>
          </w:p>
        </w:tc>
        <w:tc>
          <w:tcPr>
            <w:tcW w:w="1336" w:type="dxa"/>
            <w:gridSpan w:val="2"/>
            <w:tcBorders>
              <w:top w:val="nil"/>
              <w:left w:val="nil"/>
              <w:bottom w:val="nil"/>
              <w:right w:val="nil"/>
            </w:tcBorders>
          </w:tcPr>
          <w:p w:rsidR="00BA7F20" w:rsidRDefault="00287955" w:rsidP="00191ECD">
            <w:r w:rsidRPr="00287955">
              <w:t>-1.893</w:t>
            </w:r>
          </w:p>
        </w:tc>
        <w:tc>
          <w:tcPr>
            <w:tcW w:w="1336" w:type="dxa"/>
            <w:gridSpan w:val="2"/>
            <w:tcBorders>
              <w:top w:val="nil"/>
              <w:left w:val="nil"/>
              <w:bottom w:val="nil"/>
              <w:right w:val="nil"/>
            </w:tcBorders>
          </w:tcPr>
          <w:p w:rsidR="00BA7F20" w:rsidRDefault="00287955" w:rsidP="00191ECD">
            <w:r w:rsidRPr="00287955">
              <w:t>-0.134</w:t>
            </w:r>
          </w:p>
        </w:tc>
        <w:tc>
          <w:tcPr>
            <w:tcW w:w="1336" w:type="dxa"/>
            <w:gridSpan w:val="2"/>
            <w:tcBorders>
              <w:top w:val="nil"/>
              <w:left w:val="nil"/>
              <w:bottom w:val="nil"/>
            </w:tcBorders>
          </w:tcPr>
          <w:p w:rsidR="00BA7F20" w:rsidRDefault="00287955" w:rsidP="00191ECD">
            <w:r w:rsidRPr="00287955">
              <w:t>0.073</w:t>
            </w:r>
          </w:p>
        </w:tc>
      </w:tr>
      <w:tr w:rsidR="00BA7F20" w:rsidTr="00356FA7">
        <w:tc>
          <w:tcPr>
            <w:tcW w:w="1335" w:type="dxa"/>
            <w:tcBorders>
              <w:top w:val="nil"/>
              <w:bottom w:val="single" w:sz="4" w:space="0" w:color="auto"/>
              <w:right w:val="nil"/>
            </w:tcBorders>
          </w:tcPr>
          <w:p w:rsidR="00BA7F20" w:rsidRDefault="00BA7F20" w:rsidP="00191ECD">
            <w:r>
              <w:t>1/92-12/96</w:t>
            </w:r>
          </w:p>
        </w:tc>
        <w:tc>
          <w:tcPr>
            <w:tcW w:w="1335" w:type="dxa"/>
            <w:gridSpan w:val="3"/>
            <w:tcBorders>
              <w:top w:val="nil"/>
              <w:left w:val="nil"/>
              <w:right w:val="nil"/>
            </w:tcBorders>
          </w:tcPr>
          <w:p w:rsidR="00BA7F20" w:rsidRPr="008A54BD" w:rsidRDefault="00287955" w:rsidP="00191ECD">
            <w:r w:rsidRPr="00287955">
              <w:t>-0.7471</w:t>
            </w:r>
          </w:p>
        </w:tc>
        <w:tc>
          <w:tcPr>
            <w:tcW w:w="1336" w:type="dxa"/>
            <w:gridSpan w:val="2"/>
            <w:tcBorders>
              <w:top w:val="nil"/>
              <w:left w:val="nil"/>
              <w:right w:val="nil"/>
            </w:tcBorders>
          </w:tcPr>
          <w:p w:rsidR="00BA7F20" w:rsidRDefault="00287955" w:rsidP="00191ECD">
            <w:r w:rsidRPr="00287955">
              <w:t>-0.6726</w:t>
            </w:r>
          </w:p>
        </w:tc>
        <w:tc>
          <w:tcPr>
            <w:tcW w:w="1336" w:type="dxa"/>
            <w:gridSpan w:val="3"/>
            <w:tcBorders>
              <w:top w:val="nil"/>
              <w:left w:val="nil"/>
              <w:right w:val="nil"/>
            </w:tcBorders>
          </w:tcPr>
          <w:p w:rsidR="00BA7F20" w:rsidRDefault="00287955" w:rsidP="00191ECD">
            <w:r w:rsidRPr="00287955">
              <w:t>-0.724</w:t>
            </w:r>
          </w:p>
        </w:tc>
        <w:tc>
          <w:tcPr>
            <w:tcW w:w="1336" w:type="dxa"/>
            <w:gridSpan w:val="2"/>
            <w:tcBorders>
              <w:top w:val="nil"/>
              <w:left w:val="nil"/>
              <w:right w:val="nil"/>
            </w:tcBorders>
          </w:tcPr>
          <w:p w:rsidR="00BA7F20" w:rsidRDefault="00287955" w:rsidP="00191ECD">
            <w:r w:rsidRPr="00287955">
              <w:t>-0.6697</w:t>
            </w:r>
          </w:p>
        </w:tc>
        <w:tc>
          <w:tcPr>
            <w:tcW w:w="1336" w:type="dxa"/>
            <w:gridSpan w:val="2"/>
            <w:tcBorders>
              <w:top w:val="nil"/>
              <w:left w:val="nil"/>
              <w:right w:val="nil"/>
            </w:tcBorders>
          </w:tcPr>
          <w:p w:rsidR="00BA7F20" w:rsidRDefault="00287955" w:rsidP="00191ECD">
            <w:r w:rsidRPr="00287955">
              <w:t>-3.132</w:t>
            </w:r>
          </w:p>
        </w:tc>
        <w:tc>
          <w:tcPr>
            <w:tcW w:w="1336" w:type="dxa"/>
            <w:gridSpan w:val="2"/>
            <w:tcBorders>
              <w:top w:val="nil"/>
              <w:left w:val="nil"/>
            </w:tcBorders>
          </w:tcPr>
          <w:p w:rsidR="00BA7F20" w:rsidRDefault="00287955" w:rsidP="00191ECD">
            <w:r w:rsidRPr="00287955">
              <w:t>-2.998</w:t>
            </w:r>
          </w:p>
        </w:tc>
      </w:tr>
      <w:tr w:rsidR="00BA7F20" w:rsidTr="00356FA7">
        <w:tc>
          <w:tcPr>
            <w:tcW w:w="1335" w:type="dxa"/>
            <w:tcBorders>
              <w:right w:val="nil"/>
            </w:tcBorders>
          </w:tcPr>
          <w:p w:rsidR="00BA7F20" w:rsidRDefault="00BA7F20" w:rsidP="00191ECD"/>
        </w:tc>
        <w:tc>
          <w:tcPr>
            <w:tcW w:w="8015" w:type="dxa"/>
            <w:gridSpan w:val="14"/>
            <w:tcBorders>
              <w:left w:val="nil"/>
            </w:tcBorders>
          </w:tcPr>
          <w:p w:rsidR="00BA7F20" w:rsidRDefault="00BA7F20" w:rsidP="00191ECD">
            <w:pPr>
              <w:jc w:val="center"/>
            </w:pPr>
            <w:r>
              <w:t>First Difference</w:t>
            </w:r>
          </w:p>
        </w:tc>
      </w:tr>
      <w:tr w:rsidR="00BA7F20" w:rsidTr="00356FA7">
        <w:tc>
          <w:tcPr>
            <w:tcW w:w="1335" w:type="dxa"/>
            <w:tcBorders>
              <w:right w:val="nil"/>
            </w:tcBorders>
          </w:tcPr>
          <w:p w:rsidR="00BA7F20" w:rsidRDefault="00BA7F20" w:rsidP="00191ECD"/>
        </w:tc>
        <w:tc>
          <w:tcPr>
            <w:tcW w:w="2671" w:type="dxa"/>
            <w:gridSpan w:val="5"/>
            <w:tcBorders>
              <w:left w:val="nil"/>
            </w:tcBorders>
          </w:tcPr>
          <w:p w:rsidR="00BA7F20" w:rsidRDefault="00BA7F20" w:rsidP="00191ECD">
            <w:pPr>
              <w:jc w:val="center"/>
            </w:pPr>
            <w:r>
              <w:t>REIT Total Return Index</w:t>
            </w:r>
          </w:p>
        </w:tc>
        <w:tc>
          <w:tcPr>
            <w:tcW w:w="2672" w:type="dxa"/>
            <w:gridSpan w:val="5"/>
          </w:tcPr>
          <w:p w:rsidR="00BA7F20" w:rsidRDefault="00BA7F20" w:rsidP="00191ECD">
            <w:pPr>
              <w:jc w:val="center"/>
            </w:pPr>
            <w:r>
              <w:t>REIT Share Price Index</w:t>
            </w:r>
          </w:p>
        </w:tc>
        <w:tc>
          <w:tcPr>
            <w:tcW w:w="2672" w:type="dxa"/>
            <w:gridSpan w:val="4"/>
          </w:tcPr>
          <w:p w:rsidR="00BA7F20" w:rsidRDefault="00287955" w:rsidP="00191ECD">
            <w:pPr>
              <w:jc w:val="center"/>
            </w:pPr>
            <w:r>
              <w:t>CPI</w:t>
            </w:r>
          </w:p>
        </w:tc>
      </w:tr>
      <w:tr w:rsidR="00BA7F20" w:rsidTr="00356FA7">
        <w:tc>
          <w:tcPr>
            <w:tcW w:w="1335" w:type="dxa"/>
            <w:tcBorders>
              <w:bottom w:val="single" w:sz="4" w:space="0" w:color="auto"/>
              <w:right w:val="nil"/>
            </w:tcBorders>
          </w:tcPr>
          <w:p w:rsidR="00BA7F20" w:rsidRDefault="00BA7F20" w:rsidP="00191ECD">
            <w:r>
              <w:t>Period</w:t>
            </w:r>
          </w:p>
        </w:tc>
        <w:tc>
          <w:tcPr>
            <w:tcW w:w="1335" w:type="dxa"/>
            <w:gridSpan w:val="3"/>
            <w:tcBorders>
              <w:left w:val="nil"/>
              <w:bottom w:val="single" w:sz="4" w:space="0" w:color="auto"/>
            </w:tcBorders>
          </w:tcPr>
          <w:p w:rsidR="00BA7F20" w:rsidRDefault="00BA7F20" w:rsidP="00191ECD">
            <w:r>
              <w:t>ADF</w:t>
            </w:r>
          </w:p>
        </w:tc>
        <w:tc>
          <w:tcPr>
            <w:tcW w:w="1336" w:type="dxa"/>
            <w:gridSpan w:val="2"/>
            <w:tcBorders>
              <w:bottom w:val="single" w:sz="4" w:space="0" w:color="auto"/>
            </w:tcBorders>
          </w:tcPr>
          <w:p w:rsidR="00BA7F20" w:rsidRDefault="00BA7F20" w:rsidP="00191ECD">
            <w:r>
              <w:t>PP</w:t>
            </w:r>
          </w:p>
        </w:tc>
        <w:tc>
          <w:tcPr>
            <w:tcW w:w="1336" w:type="dxa"/>
            <w:gridSpan w:val="3"/>
            <w:tcBorders>
              <w:bottom w:val="single" w:sz="4" w:space="0" w:color="auto"/>
            </w:tcBorders>
          </w:tcPr>
          <w:p w:rsidR="00BA7F20" w:rsidRDefault="00BA7F20" w:rsidP="00191ECD">
            <w:r>
              <w:t>ADF</w:t>
            </w:r>
          </w:p>
        </w:tc>
        <w:tc>
          <w:tcPr>
            <w:tcW w:w="1336" w:type="dxa"/>
            <w:gridSpan w:val="2"/>
            <w:tcBorders>
              <w:bottom w:val="single" w:sz="4" w:space="0" w:color="auto"/>
            </w:tcBorders>
          </w:tcPr>
          <w:p w:rsidR="00BA7F20" w:rsidRDefault="00BA7F20" w:rsidP="00191ECD">
            <w:r>
              <w:t>PP</w:t>
            </w:r>
          </w:p>
        </w:tc>
        <w:tc>
          <w:tcPr>
            <w:tcW w:w="1336" w:type="dxa"/>
            <w:gridSpan w:val="2"/>
            <w:tcBorders>
              <w:bottom w:val="single" w:sz="4" w:space="0" w:color="auto"/>
            </w:tcBorders>
          </w:tcPr>
          <w:p w:rsidR="00BA7F20" w:rsidRDefault="00BA7F20" w:rsidP="00191ECD">
            <w:r>
              <w:t>ADF</w:t>
            </w:r>
          </w:p>
        </w:tc>
        <w:tc>
          <w:tcPr>
            <w:tcW w:w="1336" w:type="dxa"/>
            <w:gridSpan w:val="2"/>
            <w:tcBorders>
              <w:bottom w:val="single" w:sz="4" w:space="0" w:color="auto"/>
            </w:tcBorders>
          </w:tcPr>
          <w:p w:rsidR="00BA7F20" w:rsidRDefault="00BA7F20" w:rsidP="00191ECD">
            <w:r>
              <w:t>PP</w:t>
            </w:r>
          </w:p>
        </w:tc>
      </w:tr>
      <w:tr w:rsidR="00BA7F20" w:rsidTr="00191ECD">
        <w:tc>
          <w:tcPr>
            <w:tcW w:w="1335" w:type="dxa"/>
            <w:tcBorders>
              <w:bottom w:val="nil"/>
              <w:right w:val="nil"/>
            </w:tcBorders>
          </w:tcPr>
          <w:p w:rsidR="00BA7F20" w:rsidRDefault="00BA7F20" w:rsidP="00191ECD">
            <w:r>
              <w:t>1/72-12/96</w:t>
            </w:r>
          </w:p>
        </w:tc>
        <w:tc>
          <w:tcPr>
            <w:tcW w:w="1335" w:type="dxa"/>
            <w:gridSpan w:val="3"/>
            <w:tcBorders>
              <w:left w:val="nil"/>
              <w:bottom w:val="nil"/>
              <w:right w:val="nil"/>
            </w:tcBorders>
          </w:tcPr>
          <w:p w:rsidR="00BA7F20" w:rsidRDefault="00287955" w:rsidP="00191ECD">
            <w:r w:rsidRPr="00287955">
              <w:t>-12.15</w:t>
            </w:r>
            <w:r w:rsidR="00356FA7">
              <w:t>*</w:t>
            </w:r>
          </w:p>
        </w:tc>
        <w:tc>
          <w:tcPr>
            <w:tcW w:w="1336" w:type="dxa"/>
            <w:gridSpan w:val="2"/>
            <w:tcBorders>
              <w:left w:val="nil"/>
              <w:bottom w:val="nil"/>
              <w:right w:val="nil"/>
            </w:tcBorders>
          </w:tcPr>
          <w:p w:rsidR="00BA7F20" w:rsidRDefault="00287955" w:rsidP="00191ECD">
            <w:r w:rsidRPr="00287955">
              <w:t>-15.62</w:t>
            </w:r>
            <w:r w:rsidR="00356FA7">
              <w:t>*</w:t>
            </w:r>
          </w:p>
        </w:tc>
        <w:tc>
          <w:tcPr>
            <w:tcW w:w="1336" w:type="dxa"/>
            <w:gridSpan w:val="3"/>
            <w:tcBorders>
              <w:left w:val="nil"/>
              <w:bottom w:val="nil"/>
              <w:right w:val="nil"/>
            </w:tcBorders>
          </w:tcPr>
          <w:p w:rsidR="00BA7F20" w:rsidRDefault="00287955" w:rsidP="00191ECD">
            <w:r w:rsidRPr="00287955">
              <w:t>-11.68</w:t>
            </w:r>
            <w:r w:rsidR="00356FA7">
              <w:t>*</w:t>
            </w:r>
          </w:p>
        </w:tc>
        <w:tc>
          <w:tcPr>
            <w:tcW w:w="1336" w:type="dxa"/>
            <w:gridSpan w:val="2"/>
            <w:tcBorders>
              <w:left w:val="nil"/>
              <w:bottom w:val="nil"/>
              <w:right w:val="nil"/>
            </w:tcBorders>
          </w:tcPr>
          <w:p w:rsidR="00BA7F20" w:rsidRDefault="00287955" w:rsidP="00191ECD">
            <w:r w:rsidRPr="00287955">
              <w:t>-15.5</w:t>
            </w:r>
            <w:r w:rsidR="00356FA7">
              <w:t>*</w:t>
            </w:r>
          </w:p>
        </w:tc>
        <w:tc>
          <w:tcPr>
            <w:tcW w:w="1336" w:type="dxa"/>
            <w:gridSpan w:val="2"/>
            <w:tcBorders>
              <w:left w:val="nil"/>
              <w:bottom w:val="nil"/>
              <w:right w:val="nil"/>
            </w:tcBorders>
          </w:tcPr>
          <w:p w:rsidR="00BA7F20" w:rsidRDefault="00287955" w:rsidP="00191ECD">
            <w:r w:rsidRPr="00287955">
              <w:t>-5.165</w:t>
            </w:r>
            <w:r w:rsidR="00356FA7">
              <w:t>*</w:t>
            </w:r>
          </w:p>
        </w:tc>
        <w:tc>
          <w:tcPr>
            <w:tcW w:w="1336" w:type="dxa"/>
            <w:gridSpan w:val="2"/>
            <w:tcBorders>
              <w:left w:val="nil"/>
              <w:bottom w:val="nil"/>
            </w:tcBorders>
          </w:tcPr>
          <w:p w:rsidR="00BA7F20" w:rsidRDefault="00287955" w:rsidP="00191ECD">
            <w:r w:rsidRPr="00287955">
              <w:t>-7.668</w:t>
            </w:r>
            <w:r w:rsidR="00356FA7">
              <w:t>*</w:t>
            </w:r>
          </w:p>
        </w:tc>
      </w:tr>
      <w:tr w:rsidR="00BA7F20" w:rsidTr="00191ECD">
        <w:tc>
          <w:tcPr>
            <w:tcW w:w="1335" w:type="dxa"/>
            <w:tcBorders>
              <w:top w:val="nil"/>
              <w:bottom w:val="nil"/>
              <w:right w:val="nil"/>
            </w:tcBorders>
          </w:tcPr>
          <w:p w:rsidR="00BA7F20" w:rsidRDefault="00BA7F20" w:rsidP="00191ECD">
            <w:r>
              <w:lastRenderedPageBreak/>
              <w:t>1/72-12/91</w:t>
            </w:r>
          </w:p>
        </w:tc>
        <w:tc>
          <w:tcPr>
            <w:tcW w:w="1335" w:type="dxa"/>
            <w:gridSpan w:val="3"/>
            <w:tcBorders>
              <w:top w:val="nil"/>
              <w:left w:val="nil"/>
              <w:bottom w:val="nil"/>
              <w:right w:val="nil"/>
            </w:tcBorders>
          </w:tcPr>
          <w:p w:rsidR="00BA7F20" w:rsidRDefault="00B96E9F" w:rsidP="00191ECD">
            <w:r w:rsidRPr="00B96E9F">
              <w:t>-10.94</w:t>
            </w:r>
            <w:r w:rsidR="00356FA7">
              <w:t>*</w:t>
            </w:r>
          </w:p>
        </w:tc>
        <w:tc>
          <w:tcPr>
            <w:tcW w:w="1336" w:type="dxa"/>
            <w:gridSpan w:val="2"/>
            <w:tcBorders>
              <w:top w:val="nil"/>
              <w:left w:val="nil"/>
              <w:bottom w:val="nil"/>
              <w:right w:val="nil"/>
            </w:tcBorders>
          </w:tcPr>
          <w:p w:rsidR="00BA7F20" w:rsidRDefault="00B96E9F" w:rsidP="00191ECD">
            <w:r w:rsidRPr="00B96E9F">
              <w:t>-14.05</w:t>
            </w:r>
            <w:r w:rsidR="00356FA7">
              <w:t>*</w:t>
            </w:r>
          </w:p>
        </w:tc>
        <w:tc>
          <w:tcPr>
            <w:tcW w:w="1336" w:type="dxa"/>
            <w:gridSpan w:val="3"/>
            <w:tcBorders>
              <w:top w:val="nil"/>
              <w:left w:val="nil"/>
              <w:bottom w:val="nil"/>
              <w:right w:val="nil"/>
            </w:tcBorders>
          </w:tcPr>
          <w:p w:rsidR="00BA7F20" w:rsidRDefault="00B96E9F" w:rsidP="00191ECD">
            <w:r w:rsidRPr="00B96E9F">
              <w:t>-10.52</w:t>
            </w:r>
            <w:r w:rsidR="00356FA7">
              <w:t>*</w:t>
            </w:r>
          </w:p>
        </w:tc>
        <w:tc>
          <w:tcPr>
            <w:tcW w:w="1336" w:type="dxa"/>
            <w:gridSpan w:val="2"/>
            <w:tcBorders>
              <w:top w:val="nil"/>
              <w:left w:val="nil"/>
              <w:bottom w:val="nil"/>
              <w:right w:val="nil"/>
            </w:tcBorders>
          </w:tcPr>
          <w:p w:rsidR="00BA7F20" w:rsidRDefault="00B96E9F" w:rsidP="00191ECD">
            <w:r w:rsidRPr="00B96E9F">
              <w:t>-13.96</w:t>
            </w:r>
            <w:r w:rsidR="00356FA7">
              <w:t>*</w:t>
            </w:r>
          </w:p>
        </w:tc>
        <w:tc>
          <w:tcPr>
            <w:tcW w:w="1336" w:type="dxa"/>
            <w:gridSpan w:val="2"/>
            <w:tcBorders>
              <w:top w:val="nil"/>
              <w:left w:val="nil"/>
              <w:bottom w:val="nil"/>
              <w:right w:val="nil"/>
            </w:tcBorders>
          </w:tcPr>
          <w:p w:rsidR="00BA7F20" w:rsidRDefault="00B96E9F" w:rsidP="00191ECD">
            <w:r w:rsidRPr="00B96E9F">
              <w:t>-4.868</w:t>
            </w:r>
            <w:r w:rsidR="00356FA7">
              <w:t>*</w:t>
            </w:r>
          </w:p>
        </w:tc>
        <w:tc>
          <w:tcPr>
            <w:tcW w:w="1336" w:type="dxa"/>
            <w:gridSpan w:val="2"/>
            <w:tcBorders>
              <w:top w:val="nil"/>
              <w:left w:val="nil"/>
              <w:bottom w:val="nil"/>
            </w:tcBorders>
          </w:tcPr>
          <w:p w:rsidR="00BA7F20" w:rsidRDefault="00B96E9F" w:rsidP="00191ECD">
            <w:r w:rsidRPr="00B96E9F">
              <w:t>-7.081</w:t>
            </w:r>
            <w:r w:rsidR="00356FA7">
              <w:t>*</w:t>
            </w:r>
          </w:p>
        </w:tc>
      </w:tr>
      <w:tr w:rsidR="00BA7F20" w:rsidTr="00DE1426">
        <w:tc>
          <w:tcPr>
            <w:tcW w:w="1335" w:type="dxa"/>
            <w:tcBorders>
              <w:top w:val="nil"/>
              <w:bottom w:val="nil"/>
              <w:right w:val="nil"/>
            </w:tcBorders>
          </w:tcPr>
          <w:p w:rsidR="00BA7F20" w:rsidRDefault="00BA7F20" w:rsidP="00191ECD">
            <w:r>
              <w:t>1/92-12/96</w:t>
            </w:r>
          </w:p>
        </w:tc>
        <w:tc>
          <w:tcPr>
            <w:tcW w:w="1335" w:type="dxa"/>
            <w:gridSpan w:val="3"/>
            <w:tcBorders>
              <w:top w:val="nil"/>
              <w:left w:val="nil"/>
              <w:bottom w:val="nil"/>
              <w:right w:val="nil"/>
            </w:tcBorders>
          </w:tcPr>
          <w:p w:rsidR="00BA7F20" w:rsidRDefault="00B96E9F" w:rsidP="00191ECD">
            <w:r w:rsidRPr="00B96E9F">
              <w:t>-4.657</w:t>
            </w:r>
            <w:r w:rsidR="00356FA7">
              <w:t>*</w:t>
            </w:r>
          </w:p>
        </w:tc>
        <w:tc>
          <w:tcPr>
            <w:tcW w:w="1336" w:type="dxa"/>
            <w:gridSpan w:val="2"/>
            <w:tcBorders>
              <w:top w:val="nil"/>
              <w:left w:val="nil"/>
              <w:bottom w:val="nil"/>
              <w:right w:val="nil"/>
            </w:tcBorders>
          </w:tcPr>
          <w:p w:rsidR="00BA7F20" w:rsidRDefault="00B96E9F" w:rsidP="00191ECD">
            <w:r w:rsidRPr="00B96E9F">
              <w:t>-6.104</w:t>
            </w:r>
            <w:r w:rsidR="00356FA7">
              <w:t>*</w:t>
            </w:r>
          </w:p>
        </w:tc>
        <w:tc>
          <w:tcPr>
            <w:tcW w:w="1336" w:type="dxa"/>
            <w:gridSpan w:val="3"/>
            <w:tcBorders>
              <w:top w:val="nil"/>
              <w:left w:val="nil"/>
              <w:bottom w:val="nil"/>
              <w:right w:val="nil"/>
            </w:tcBorders>
          </w:tcPr>
          <w:p w:rsidR="00BA7F20" w:rsidRDefault="00B96E9F" w:rsidP="00191ECD">
            <w:r w:rsidRPr="00B96E9F">
              <w:t>-4.638</w:t>
            </w:r>
            <w:r w:rsidR="00356FA7">
              <w:t>*</w:t>
            </w:r>
          </w:p>
        </w:tc>
        <w:tc>
          <w:tcPr>
            <w:tcW w:w="1336" w:type="dxa"/>
            <w:gridSpan w:val="2"/>
            <w:tcBorders>
              <w:top w:val="nil"/>
              <w:left w:val="nil"/>
              <w:bottom w:val="nil"/>
              <w:right w:val="nil"/>
            </w:tcBorders>
          </w:tcPr>
          <w:p w:rsidR="00BA7F20" w:rsidRDefault="00B96E9F" w:rsidP="00191ECD">
            <w:r w:rsidRPr="00B96E9F">
              <w:t>-6.093</w:t>
            </w:r>
            <w:r w:rsidR="00356FA7">
              <w:t>*</w:t>
            </w:r>
          </w:p>
        </w:tc>
        <w:tc>
          <w:tcPr>
            <w:tcW w:w="1336" w:type="dxa"/>
            <w:gridSpan w:val="2"/>
            <w:tcBorders>
              <w:top w:val="nil"/>
              <w:left w:val="nil"/>
              <w:bottom w:val="nil"/>
              <w:right w:val="nil"/>
            </w:tcBorders>
          </w:tcPr>
          <w:p w:rsidR="00BA7F20" w:rsidRDefault="00B96E9F" w:rsidP="00191ECD">
            <w:r w:rsidRPr="00B96E9F">
              <w:t>-6.538</w:t>
            </w:r>
            <w:r w:rsidR="00356FA7">
              <w:t>*</w:t>
            </w:r>
          </w:p>
        </w:tc>
        <w:tc>
          <w:tcPr>
            <w:tcW w:w="1336" w:type="dxa"/>
            <w:gridSpan w:val="2"/>
            <w:tcBorders>
              <w:top w:val="nil"/>
              <w:left w:val="nil"/>
              <w:bottom w:val="nil"/>
            </w:tcBorders>
          </w:tcPr>
          <w:p w:rsidR="00BA7F20" w:rsidRDefault="00B96E9F" w:rsidP="00191ECD">
            <w:r w:rsidRPr="00B96E9F">
              <w:t>-7.862</w:t>
            </w:r>
            <w:r w:rsidR="00356FA7">
              <w:t>*</w:t>
            </w:r>
          </w:p>
        </w:tc>
      </w:tr>
      <w:tr w:rsidR="00DE1426" w:rsidTr="000437C9">
        <w:tc>
          <w:tcPr>
            <w:tcW w:w="9350" w:type="dxa"/>
            <w:gridSpan w:val="15"/>
            <w:tcBorders>
              <w:top w:val="nil"/>
            </w:tcBorders>
          </w:tcPr>
          <w:p w:rsidR="00DE1426" w:rsidRDefault="00DE1426" w:rsidP="00DE1426">
            <w:pPr>
              <w:pStyle w:val="ListParagraph"/>
            </w:pPr>
          </w:p>
          <w:p w:rsidR="00DE1426" w:rsidRDefault="00DE1426" w:rsidP="00DE1426">
            <w:pPr>
              <w:pStyle w:val="ListParagraph"/>
            </w:pPr>
            <w:r>
              <w:t>t-stats are in parenthesis  *significant at the 1% level ; **significant at the 5% level; ***significant at the 10% level</w:t>
            </w:r>
          </w:p>
          <w:p w:rsidR="00DE1426" w:rsidRPr="00B96E9F" w:rsidRDefault="00DE1426" w:rsidP="00191ECD"/>
        </w:tc>
      </w:tr>
    </w:tbl>
    <w:p w:rsidR="00563DD9" w:rsidRDefault="00563DD9" w:rsidP="00A8660A">
      <w:pPr>
        <w:spacing w:line="480" w:lineRule="auto"/>
        <w:ind w:firstLine="720"/>
      </w:pPr>
    </w:p>
    <w:p w:rsidR="00563DD9" w:rsidRPr="00BE241F" w:rsidRDefault="00BE241F" w:rsidP="00BE241F">
      <w:pPr>
        <w:spacing w:line="480" w:lineRule="auto"/>
        <w:rPr>
          <w:i/>
        </w:rPr>
      </w:pPr>
      <w:r w:rsidRPr="00BE241F">
        <w:rPr>
          <w:i/>
        </w:rPr>
        <w:t>4.1. Cointegration between REITS and the stock market</w:t>
      </w:r>
    </w:p>
    <w:p w:rsidR="00563DD9" w:rsidRDefault="00BE241F" w:rsidP="00A8660A">
      <w:pPr>
        <w:spacing w:line="480" w:lineRule="auto"/>
        <w:ind w:firstLine="720"/>
      </w:pPr>
      <w:r>
        <w:t xml:space="preserve">Glascock, Lu, and So found cointegration for the period after 1992, which would confirm the theory of REITs becoming more like stocks. The cointegration replication test results between REITs and the S&amp;P 500 are included in Panel </w:t>
      </w:r>
      <w:proofErr w:type="gramStart"/>
      <w:r>
        <w:t>A</w:t>
      </w:r>
      <w:proofErr w:type="gramEnd"/>
      <w:r>
        <w:t xml:space="preserve"> of Table 3. Cointegration between REIT total returns or share price and the S&amp;P 500 was not found at any period. However, it should be noted that the test statistics are considerably larger for the period after 1992 compared to the period prior.</w:t>
      </w:r>
      <w:r w:rsidR="00F5268B">
        <w:t xml:space="preserve"> Panel B shows cointegration between both equity and mortgage REITs and the S&amp;P 500. Mortgage REITs are cointegrated at the 10%</w:t>
      </w:r>
      <w:r w:rsidR="003234DD">
        <w:t xml:space="preserve"> level</w:t>
      </w:r>
      <w:r w:rsidR="00F5268B">
        <w:t>, which concurs with Glascock, Lu, and So</w:t>
      </w:r>
      <w:r w:rsidR="003234DD">
        <w:t xml:space="preserve">. </w:t>
      </w:r>
      <w:r w:rsidR="00F5268B">
        <w:t>Equity REITs are cointegrated with the S&amp;P 500 for the full period but not for either sub-period</w:t>
      </w:r>
      <w:r w:rsidR="003234DD">
        <w:t xml:space="preserve">. This diverges from the source paper, where </w:t>
      </w:r>
      <w:r w:rsidR="00F5268B">
        <w:t>solely the second period</w:t>
      </w:r>
      <w:r w:rsidR="003234DD">
        <w:t xml:space="preserve"> of equity REITs were found cointegrated</w:t>
      </w:r>
      <w:r w:rsidR="00F5268B">
        <w:t>. The</w:t>
      </w:r>
      <w:r w:rsidR="003234DD">
        <w:t>se results</w:t>
      </w:r>
      <w:r w:rsidR="00F5268B">
        <w:t xml:space="preserve"> tepid</w:t>
      </w:r>
      <w:r w:rsidR="003234DD">
        <w:t>ly</w:t>
      </w:r>
      <w:r w:rsidR="00F5268B">
        <w:t xml:space="preserve"> support of the REIT transition hypothesis compared to the original paper’s results.</w:t>
      </w:r>
    </w:p>
    <w:p w:rsidR="00F5268B" w:rsidRDefault="00F5268B" w:rsidP="00F5268B">
      <w:pPr>
        <w:spacing w:line="480" w:lineRule="auto"/>
        <w:rPr>
          <w:i/>
        </w:rPr>
      </w:pPr>
      <w:r w:rsidRPr="00F5268B">
        <w:rPr>
          <w:i/>
        </w:rPr>
        <w:t>4.2 Cointegration between REITs and the bond market</w:t>
      </w:r>
    </w:p>
    <w:p w:rsidR="00F5268B" w:rsidRPr="00F5268B" w:rsidRDefault="00F5268B" w:rsidP="00F5268B">
      <w:pPr>
        <w:spacing w:line="480" w:lineRule="auto"/>
      </w:pPr>
      <w:r>
        <w:tab/>
      </w:r>
      <w:r w:rsidR="003234DD">
        <w:t xml:space="preserve">The </w:t>
      </w:r>
      <w:r w:rsidR="00A54426">
        <w:t xml:space="preserve">Glascock, Lu, and So results for the bond market indicated the REITs became more like stocks and less like bonds over the two periods. </w:t>
      </w:r>
      <w:r>
        <w:t>Panel C of Table 3</w:t>
      </w:r>
      <w:r w:rsidR="00A54426">
        <w:t xml:space="preserve"> indicates the same trend, as </w:t>
      </w:r>
      <w:r w:rsidR="003234DD">
        <w:t xml:space="preserve">the </w:t>
      </w:r>
      <w:r w:rsidR="00A54426">
        <w:t>cointegration</w:t>
      </w:r>
      <w:r w:rsidR="003234DD">
        <w:t xml:space="preserve"> test statistic</w:t>
      </w:r>
      <w:r w:rsidR="00A54426">
        <w:t xml:space="preserve"> is significant at the 5% level for the period before 1992 for all REITs</w:t>
      </w:r>
      <w:r w:rsidR="003234DD">
        <w:t xml:space="preserve"> and the stock market</w:t>
      </w:r>
      <w:r w:rsidR="00A54426">
        <w:t xml:space="preserve"> and mortgage REITs and the stock market.</w:t>
      </w:r>
    </w:p>
    <w:tbl>
      <w:tblPr>
        <w:tblStyle w:val="TableGrid"/>
        <w:tblW w:w="0" w:type="auto"/>
        <w:tblLook w:val="04A0" w:firstRow="1" w:lastRow="0" w:firstColumn="1" w:lastColumn="0" w:noHBand="0" w:noVBand="1"/>
      </w:tblPr>
      <w:tblGrid>
        <w:gridCol w:w="2337"/>
        <w:gridCol w:w="779"/>
        <w:gridCol w:w="1559"/>
        <w:gridCol w:w="1558"/>
        <w:gridCol w:w="779"/>
        <w:gridCol w:w="2338"/>
      </w:tblGrid>
      <w:tr w:rsidR="00E26928" w:rsidTr="003234DD">
        <w:tc>
          <w:tcPr>
            <w:tcW w:w="9350" w:type="dxa"/>
            <w:gridSpan w:val="6"/>
          </w:tcPr>
          <w:p w:rsidR="00E26928" w:rsidRPr="00747A14" w:rsidRDefault="00747A14" w:rsidP="003234DD">
            <w:pPr>
              <w:rPr>
                <w:b/>
              </w:rPr>
            </w:pPr>
            <w:r>
              <w:rPr>
                <w:b/>
                <w:sz w:val="24"/>
              </w:rPr>
              <w:t xml:space="preserve">Table 3: </w:t>
            </w:r>
            <w:r w:rsidR="00E26928" w:rsidRPr="00747A14">
              <w:rPr>
                <w:b/>
                <w:sz w:val="24"/>
              </w:rPr>
              <w:t>Cointegration test between REIT Total Return Indices, Share Price Index, S&amp;P 500, and Salomon Treasury Benchmark ten year index</w:t>
            </w:r>
          </w:p>
        </w:tc>
      </w:tr>
      <w:tr w:rsidR="00E26928" w:rsidTr="003234DD">
        <w:tc>
          <w:tcPr>
            <w:tcW w:w="9350" w:type="dxa"/>
            <w:gridSpan w:val="6"/>
          </w:tcPr>
          <w:p w:rsidR="00E26928" w:rsidRPr="00E26928" w:rsidRDefault="00E26928" w:rsidP="003234DD">
            <w:pPr>
              <w:rPr>
                <w:b/>
              </w:rPr>
            </w:pPr>
            <w:r w:rsidRPr="00E26928">
              <w:rPr>
                <w:b/>
              </w:rPr>
              <w:t>Panel A: REIT Total Return and Share Price Indices with S&amp;P 500</w:t>
            </w:r>
          </w:p>
        </w:tc>
      </w:tr>
      <w:tr w:rsidR="00CC5425" w:rsidTr="00747A14">
        <w:tc>
          <w:tcPr>
            <w:tcW w:w="3116" w:type="dxa"/>
            <w:gridSpan w:val="2"/>
            <w:tcBorders>
              <w:bottom w:val="single" w:sz="4" w:space="0" w:color="auto"/>
            </w:tcBorders>
          </w:tcPr>
          <w:p w:rsidR="00CC5425" w:rsidRDefault="00E26928" w:rsidP="003234DD">
            <w:r>
              <w:t>Period</w:t>
            </w:r>
            <w:r>
              <w:tab/>
            </w:r>
          </w:p>
        </w:tc>
        <w:tc>
          <w:tcPr>
            <w:tcW w:w="3117" w:type="dxa"/>
            <w:gridSpan w:val="2"/>
            <w:tcBorders>
              <w:bottom w:val="single" w:sz="4" w:space="0" w:color="auto"/>
            </w:tcBorders>
          </w:tcPr>
          <w:p w:rsidR="00CC5425" w:rsidRDefault="00E26928" w:rsidP="003234DD">
            <w:r>
              <w:t>Total REIT Return Index</w:t>
            </w:r>
          </w:p>
        </w:tc>
        <w:tc>
          <w:tcPr>
            <w:tcW w:w="3117" w:type="dxa"/>
            <w:gridSpan w:val="2"/>
            <w:tcBorders>
              <w:bottom w:val="single" w:sz="4" w:space="0" w:color="auto"/>
            </w:tcBorders>
          </w:tcPr>
          <w:p w:rsidR="00CC5425" w:rsidRDefault="00E26928" w:rsidP="003234DD">
            <w:r>
              <w:t>Share Price Index</w:t>
            </w:r>
          </w:p>
        </w:tc>
      </w:tr>
      <w:tr w:rsidR="00CC5425" w:rsidTr="00747A14">
        <w:tc>
          <w:tcPr>
            <w:tcW w:w="3116" w:type="dxa"/>
            <w:gridSpan w:val="2"/>
            <w:tcBorders>
              <w:bottom w:val="nil"/>
              <w:right w:val="nil"/>
            </w:tcBorders>
          </w:tcPr>
          <w:p w:rsidR="00CC5425" w:rsidRDefault="00E26928" w:rsidP="003234DD">
            <w:r>
              <w:lastRenderedPageBreak/>
              <w:t>1/72-12/96</w:t>
            </w:r>
          </w:p>
        </w:tc>
        <w:tc>
          <w:tcPr>
            <w:tcW w:w="3117" w:type="dxa"/>
            <w:gridSpan w:val="2"/>
            <w:tcBorders>
              <w:left w:val="nil"/>
              <w:bottom w:val="nil"/>
              <w:right w:val="nil"/>
            </w:tcBorders>
          </w:tcPr>
          <w:p w:rsidR="00CC5425" w:rsidRDefault="00E26928" w:rsidP="003234DD">
            <w:r w:rsidRPr="00CC5425">
              <w:t>-1.662</w:t>
            </w:r>
          </w:p>
        </w:tc>
        <w:tc>
          <w:tcPr>
            <w:tcW w:w="3117" w:type="dxa"/>
            <w:gridSpan w:val="2"/>
            <w:tcBorders>
              <w:left w:val="nil"/>
              <w:bottom w:val="nil"/>
            </w:tcBorders>
          </w:tcPr>
          <w:p w:rsidR="00CC5425" w:rsidRDefault="00E26928" w:rsidP="003234DD">
            <w:r w:rsidRPr="006F09CF">
              <w:t>-1.577</w:t>
            </w:r>
          </w:p>
        </w:tc>
      </w:tr>
      <w:tr w:rsidR="00CC5425" w:rsidTr="00747A14">
        <w:trPr>
          <w:trHeight w:val="170"/>
        </w:trPr>
        <w:tc>
          <w:tcPr>
            <w:tcW w:w="3116" w:type="dxa"/>
            <w:gridSpan w:val="2"/>
            <w:tcBorders>
              <w:top w:val="nil"/>
              <w:bottom w:val="nil"/>
              <w:right w:val="nil"/>
            </w:tcBorders>
          </w:tcPr>
          <w:p w:rsidR="00CC5425" w:rsidRDefault="00E26928" w:rsidP="003234DD">
            <w:r>
              <w:t>1/72-12/91</w:t>
            </w:r>
          </w:p>
        </w:tc>
        <w:tc>
          <w:tcPr>
            <w:tcW w:w="3117" w:type="dxa"/>
            <w:gridSpan w:val="2"/>
            <w:tcBorders>
              <w:top w:val="nil"/>
              <w:left w:val="nil"/>
              <w:bottom w:val="nil"/>
              <w:right w:val="nil"/>
            </w:tcBorders>
          </w:tcPr>
          <w:p w:rsidR="00CC5425" w:rsidRDefault="00E26928" w:rsidP="003234DD">
            <w:r>
              <w:t>-0</w:t>
            </w:r>
            <w:r w:rsidR="00BE241F">
              <w:t>.</w:t>
            </w:r>
            <w:r>
              <w:t>9809</w:t>
            </w:r>
          </w:p>
        </w:tc>
        <w:tc>
          <w:tcPr>
            <w:tcW w:w="3117" w:type="dxa"/>
            <w:gridSpan w:val="2"/>
            <w:tcBorders>
              <w:top w:val="nil"/>
              <w:left w:val="nil"/>
              <w:bottom w:val="nil"/>
            </w:tcBorders>
          </w:tcPr>
          <w:p w:rsidR="00CC5425" w:rsidRDefault="00E26928" w:rsidP="003234DD">
            <w:r w:rsidRPr="006F09CF">
              <w:t>-0.8097</w:t>
            </w:r>
          </w:p>
        </w:tc>
      </w:tr>
      <w:tr w:rsidR="00CC5425" w:rsidTr="00747A14">
        <w:tc>
          <w:tcPr>
            <w:tcW w:w="3116" w:type="dxa"/>
            <w:gridSpan w:val="2"/>
            <w:tcBorders>
              <w:top w:val="nil"/>
              <w:right w:val="nil"/>
            </w:tcBorders>
          </w:tcPr>
          <w:p w:rsidR="00CC5425" w:rsidRDefault="00E26928" w:rsidP="003234DD">
            <w:r>
              <w:t>1/92-12/96</w:t>
            </w:r>
          </w:p>
        </w:tc>
        <w:tc>
          <w:tcPr>
            <w:tcW w:w="3117" w:type="dxa"/>
            <w:gridSpan w:val="2"/>
            <w:tcBorders>
              <w:top w:val="nil"/>
              <w:left w:val="nil"/>
              <w:right w:val="nil"/>
            </w:tcBorders>
          </w:tcPr>
          <w:p w:rsidR="00CC5425" w:rsidRDefault="00E26928" w:rsidP="003234DD">
            <w:r w:rsidRPr="006F09CF">
              <w:t>-1.366</w:t>
            </w:r>
          </w:p>
        </w:tc>
        <w:tc>
          <w:tcPr>
            <w:tcW w:w="3117" w:type="dxa"/>
            <w:gridSpan w:val="2"/>
            <w:tcBorders>
              <w:top w:val="nil"/>
              <w:left w:val="nil"/>
            </w:tcBorders>
          </w:tcPr>
          <w:p w:rsidR="00CC5425" w:rsidRDefault="00E26928" w:rsidP="003234DD">
            <w:r w:rsidRPr="006F09CF">
              <w:t>-1.318</w:t>
            </w:r>
          </w:p>
        </w:tc>
      </w:tr>
      <w:tr w:rsidR="00E26928" w:rsidTr="003234DD">
        <w:tc>
          <w:tcPr>
            <w:tcW w:w="9350" w:type="dxa"/>
            <w:gridSpan w:val="6"/>
          </w:tcPr>
          <w:p w:rsidR="00E26928" w:rsidRPr="00E26928" w:rsidRDefault="00E26928" w:rsidP="003234DD">
            <w:pPr>
              <w:rPr>
                <w:b/>
              </w:rPr>
            </w:pPr>
            <w:r w:rsidRPr="00E26928">
              <w:rPr>
                <w:b/>
              </w:rPr>
              <w:t>Panel B: Equity and Mortgage REIT Total Return Indices with S&amp;P 500</w:t>
            </w:r>
          </w:p>
        </w:tc>
      </w:tr>
      <w:tr w:rsidR="00E26928" w:rsidTr="00747A14">
        <w:tc>
          <w:tcPr>
            <w:tcW w:w="3116" w:type="dxa"/>
            <w:gridSpan w:val="2"/>
            <w:tcBorders>
              <w:bottom w:val="single" w:sz="4" w:space="0" w:color="auto"/>
            </w:tcBorders>
          </w:tcPr>
          <w:p w:rsidR="00E26928" w:rsidRDefault="00E26928" w:rsidP="00E26928">
            <w:r>
              <w:t>Period</w:t>
            </w:r>
            <w:r>
              <w:tab/>
            </w:r>
          </w:p>
        </w:tc>
        <w:tc>
          <w:tcPr>
            <w:tcW w:w="3117" w:type="dxa"/>
            <w:gridSpan w:val="2"/>
            <w:tcBorders>
              <w:bottom w:val="single" w:sz="4" w:space="0" w:color="auto"/>
            </w:tcBorders>
          </w:tcPr>
          <w:p w:rsidR="00E26928" w:rsidRDefault="00BE241F" w:rsidP="00E26928">
            <w:r>
              <w:t>Equity</w:t>
            </w:r>
          </w:p>
        </w:tc>
        <w:tc>
          <w:tcPr>
            <w:tcW w:w="3117" w:type="dxa"/>
            <w:gridSpan w:val="2"/>
            <w:tcBorders>
              <w:bottom w:val="single" w:sz="4" w:space="0" w:color="auto"/>
            </w:tcBorders>
          </w:tcPr>
          <w:p w:rsidR="00E26928" w:rsidRDefault="00BE241F" w:rsidP="00E26928">
            <w:r>
              <w:t>Mortgage</w:t>
            </w:r>
          </w:p>
        </w:tc>
      </w:tr>
      <w:tr w:rsidR="00E26928" w:rsidTr="00747A14">
        <w:tc>
          <w:tcPr>
            <w:tcW w:w="3116" w:type="dxa"/>
            <w:gridSpan w:val="2"/>
            <w:tcBorders>
              <w:bottom w:val="nil"/>
              <w:right w:val="nil"/>
            </w:tcBorders>
          </w:tcPr>
          <w:p w:rsidR="00E26928" w:rsidRDefault="00E26928" w:rsidP="00E26928">
            <w:pPr>
              <w:tabs>
                <w:tab w:val="left" w:pos="1980"/>
              </w:tabs>
            </w:pPr>
            <w:r>
              <w:t>1/72-12/96</w:t>
            </w:r>
          </w:p>
        </w:tc>
        <w:tc>
          <w:tcPr>
            <w:tcW w:w="3117" w:type="dxa"/>
            <w:gridSpan w:val="2"/>
            <w:tcBorders>
              <w:left w:val="nil"/>
              <w:bottom w:val="nil"/>
              <w:right w:val="nil"/>
            </w:tcBorders>
          </w:tcPr>
          <w:p w:rsidR="00E26928" w:rsidRDefault="00E26928" w:rsidP="00E26928">
            <w:pPr>
              <w:tabs>
                <w:tab w:val="left" w:pos="1980"/>
              </w:tabs>
            </w:pPr>
            <w:r w:rsidRPr="00747A14">
              <w:t>-1.893</w:t>
            </w:r>
            <w:r w:rsidR="00747A14">
              <w:t>***</w:t>
            </w:r>
          </w:p>
        </w:tc>
        <w:tc>
          <w:tcPr>
            <w:tcW w:w="3117" w:type="dxa"/>
            <w:gridSpan w:val="2"/>
            <w:tcBorders>
              <w:left w:val="nil"/>
              <w:bottom w:val="nil"/>
            </w:tcBorders>
          </w:tcPr>
          <w:p w:rsidR="00E26928" w:rsidRDefault="00E26928" w:rsidP="00E26928">
            <w:pPr>
              <w:tabs>
                <w:tab w:val="left" w:pos="1980"/>
              </w:tabs>
            </w:pPr>
            <w:r w:rsidRPr="00CA3A09">
              <w:t>-1.601</w:t>
            </w:r>
          </w:p>
        </w:tc>
      </w:tr>
      <w:tr w:rsidR="00E26928" w:rsidTr="00747A14">
        <w:tc>
          <w:tcPr>
            <w:tcW w:w="3116" w:type="dxa"/>
            <w:gridSpan w:val="2"/>
            <w:tcBorders>
              <w:top w:val="nil"/>
              <w:bottom w:val="nil"/>
              <w:right w:val="nil"/>
            </w:tcBorders>
          </w:tcPr>
          <w:p w:rsidR="00E26928" w:rsidRDefault="00E26928" w:rsidP="00E26928">
            <w:pPr>
              <w:tabs>
                <w:tab w:val="left" w:pos="1980"/>
              </w:tabs>
            </w:pPr>
            <w:r>
              <w:t>1/72-12/91</w:t>
            </w:r>
          </w:p>
        </w:tc>
        <w:tc>
          <w:tcPr>
            <w:tcW w:w="3117" w:type="dxa"/>
            <w:gridSpan w:val="2"/>
            <w:tcBorders>
              <w:top w:val="nil"/>
              <w:left w:val="nil"/>
              <w:bottom w:val="nil"/>
              <w:right w:val="nil"/>
            </w:tcBorders>
          </w:tcPr>
          <w:p w:rsidR="00E26928" w:rsidRDefault="00E26928" w:rsidP="00E26928">
            <w:pPr>
              <w:tabs>
                <w:tab w:val="left" w:pos="1980"/>
              </w:tabs>
            </w:pPr>
            <w:r w:rsidRPr="006F09CF">
              <w:t>-1.179</w:t>
            </w:r>
          </w:p>
        </w:tc>
        <w:tc>
          <w:tcPr>
            <w:tcW w:w="3117" w:type="dxa"/>
            <w:gridSpan w:val="2"/>
            <w:tcBorders>
              <w:top w:val="nil"/>
              <w:left w:val="nil"/>
              <w:bottom w:val="nil"/>
            </w:tcBorders>
          </w:tcPr>
          <w:p w:rsidR="00E26928" w:rsidRDefault="00E26928" w:rsidP="00E26928">
            <w:pPr>
              <w:tabs>
                <w:tab w:val="left" w:pos="1980"/>
              </w:tabs>
            </w:pPr>
            <w:r w:rsidRPr="00CA3A09">
              <w:t>-1.213</w:t>
            </w:r>
          </w:p>
        </w:tc>
      </w:tr>
      <w:tr w:rsidR="00E26928" w:rsidTr="00747A14">
        <w:tc>
          <w:tcPr>
            <w:tcW w:w="3116" w:type="dxa"/>
            <w:gridSpan w:val="2"/>
            <w:tcBorders>
              <w:top w:val="nil"/>
              <w:right w:val="nil"/>
            </w:tcBorders>
          </w:tcPr>
          <w:p w:rsidR="00E26928" w:rsidRDefault="00E26928" w:rsidP="00E26928">
            <w:pPr>
              <w:tabs>
                <w:tab w:val="left" w:pos="1980"/>
              </w:tabs>
            </w:pPr>
            <w:r>
              <w:t>1/92-12/96</w:t>
            </w:r>
          </w:p>
        </w:tc>
        <w:tc>
          <w:tcPr>
            <w:tcW w:w="3117" w:type="dxa"/>
            <w:gridSpan w:val="2"/>
            <w:tcBorders>
              <w:top w:val="nil"/>
              <w:left w:val="nil"/>
              <w:right w:val="nil"/>
            </w:tcBorders>
          </w:tcPr>
          <w:p w:rsidR="00E26928" w:rsidRDefault="00E26928" w:rsidP="00E26928">
            <w:pPr>
              <w:tabs>
                <w:tab w:val="left" w:pos="1980"/>
              </w:tabs>
            </w:pPr>
            <w:r w:rsidRPr="00CA3A09">
              <w:t>-1.478</w:t>
            </w:r>
          </w:p>
        </w:tc>
        <w:tc>
          <w:tcPr>
            <w:tcW w:w="3117" w:type="dxa"/>
            <w:gridSpan w:val="2"/>
            <w:tcBorders>
              <w:top w:val="nil"/>
              <w:left w:val="nil"/>
            </w:tcBorders>
          </w:tcPr>
          <w:p w:rsidR="00E26928" w:rsidRDefault="00E26928" w:rsidP="00E26928">
            <w:pPr>
              <w:tabs>
                <w:tab w:val="left" w:pos="1980"/>
              </w:tabs>
            </w:pPr>
            <w:r w:rsidRPr="00747A14">
              <w:t>-1.824</w:t>
            </w:r>
            <w:r w:rsidR="00747A14">
              <w:t>***</w:t>
            </w:r>
          </w:p>
        </w:tc>
      </w:tr>
      <w:tr w:rsidR="00E26928" w:rsidTr="003234DD">
        <w:tc>
          <w:tcPr>
            <w:tcW w:w="9350" w:type="dxa"/>
            <w:gridSpan w:val="6"/>
          </w:tcPr>
          <w:p w:rsidR="00E26928" w:rsidRPr="00E26928" w:rsidRDefault="00E26928" w:rsidP="00F5268B">
            <w:pPr>
              <w:rPr>
                <w:b/>
              </w:rPr>
            </w:pPr>
            <w:r w:rsidRPr="00E26928">
              <w:rPr>
                <w:b/>
              </w:rPr>
              <w:t xml:space="preserve">Panel C: REIT Total Return Indices with </w:t>
            </w:r>
            <w:r w:rsidR="00F5268B">
              <w:rPr>
                <w:b/>
              </w:rPr>
              <w:t xml:space="preserve">FRED </w:t>
            </w:r>
            <w:r w:rsidRPr="00E26928">
              <w:rPr>
                <w:b/>
              </w:rPr>
              <w:t>Treasury Benchmark 10-Year Index</w:t>
            </w:r>
          </w:p>
        </w:tc>
      </w:tr>
      <w:tr w:rsidR="00E26928" w:rsidTr="00747A14">
        <w:trPr>
          <w:trHeight w:val="275"/>
        </w:trPr>
        <w:tc>
          <w:tcPr>
            <w:tcW w:w="2337" w:type="dxa"/>
            <w:tcBorders>
              <w:bottom w:val="single" w:sz="4" w:space="0" w:color="auto"/>
            </w:tcBorders>
          </w:tcPr>
          <w:p w:rsidR="00E26928" w:rsidRDefault="00E26928" w:rsidP="00E26928">
            <w:r>
              <w:t>Period</w:t>
            </w:r>
          </w:p>
        </w:tc>
        <w:tc>
          <w:tcPr>
            <w:tcW w:w="2338" w:type="dxa"/>
            <w:gridSpan w:val="2"/>
            <w:tcBorders>
              <w:bottom w:val="single" w:sz="4" w:space="0" w:color="auto"/>
            </w:tcBorders>
          </w:tcPr>
          <w:p w:rsidR="00E26928" w:rsidRDefault="00E26928" w:rsidP="00E26928">
            <w:r>
              <w:t>All REIT</w:t>
            </w:r>
          </w:p>
        </w:tc>
        <w:tc>
          <w:tcPr>
            <w:tcW w:w="2337" w:type="dxa"/>
            <w:gridSpan w:val="2"/>
            <w:tcBorders>
              <w:bottom w:val="single" w:sz="4" w:space="0" w:color="auto"/>
            </w:tcBorders>
          </w:tcPr>
          <w:p w:rsidR="00E26928" w:rsidRDefault="00E26928" w:rsidP="00E26928">
            <w:r>
              <w:t>Equity REIT</w:t>
            </w:r>
          </w:p>
        </w:tc>
        <w:tc>
          <w:tcPr>
            <w:tcW w:w="2338" w:type="dxa"/>
            <w:tcBorders>
              <w:bottom w:val="single" w:sz="4" w:space="0" w:color="auto"/>
            </w:tcBorders>
          </w:tcPr>
          <w:p w:rsidR="00E26928" w:rsidRDefault="00E26928" w:rsidP="00E26928">
            <w:r>
              <w:t>Mortgage REIT</w:t>
            </w:r>
          </w:p>
        </w:tc>
      </w:tr>
      <w:tr w:rsidR="00E26928" w:rsidTr="00747A14">
        <w:trPr>
          <w:trHeight w:val="275"/>
        </w:trPr>
        <w:tc>
          <w:tcPr>
            <w:tcW w:w="2337" w:type="dxa"/>
            <w:tcBorders>
              <w:bottom w:val="nil"/>
              <w:right w:val="nil"/>
            </w:tcBorders>
          </w:tcPr>
          <w:p w:rsidR="00E26928" w:rsidRDefault="00E26928" w:rsidP="00E26928">
            <w:r>
              <w:t>1/80-12/96</w:t>
            </w:r>
          </w:p>
        </w:tc>
        <w:tc>
          <w:tcPr>
            <w:tcW w:w="2338" w:type="dxa"/>
            <w:gridSpan w:val="2"/>
            <w:tcBorders>
              <w:left w:val="nil"/>
              <w:bottom w:val="nil"/>
              <w:right w:val="nil"/>
            </w:tcBorders>
          </w:tcPr>
          <w:p w:rsidR="00E26928" w:rsidRDefault="00E26928" w:rsidP="00E26928">
            <w:r w:rsidRPr="00747A14">
              <w:t>-1.951</w:t>
            </w:r>
            <w:r w:rsidR="00747A14">
              <w:t>***</w:t>
            </w:r>
          </w:p>
        </w:tc>
        <w:tc>
          <w:tcPr>
            <w:tcW w:w="2337" w:type="dxa"/>
            <w:gridSpan w:val="2"/>
            <w:tcBorders>
              <w:left w:val="nil"/>
              <w:bottom w:val="nil"/>
              <w:right w:val="nil"/>
            </w:tcBorders>
          </w:tcPr>
          <w:p w:rsidR="00E26928" w:rsidRDefault="00E26928" w:rsidP="00E26928">
            <w:r w:rsidRPr="00747A14">
              <w:t>-2.181</w:t>
            </w:r>
            <w:r w:rsidR="00747A14">
              <w:t>**</w:t>
            </w:r>
          </w:p>
        </w:tc>
        <w:tc>
          <w:tcPr>
            <w:tcW w:w="2338" w:type="dxa"/>
            <w:tcBorders>
              <w:left w:val="nil"/>
              <w:bottom w:val="nil"/>
            </w:tcBorders>
          </w:tcPr>
          <w:p w:rsidR="00E26928" w:rsidRDefault="00E26928" w:rsidP="00E26928">
            <w:r w:rsidRPr="000E2C01">
              <w:t>-1.306</w:t>
            </w:r>
          </w:p>
        </w:tc>
      </w:tr>
      <w:tr w:rsidR="00E26928" w:rsidTr="00747A14">
        <w:trPr>
          <w:trHeight w:val="275"/>
        </w:trPr>
        <w:tc>
          <w:tcPr>
            <w:tcW w:w="2337" w:type="dxa"/>
            <w:tcBorders>
              <w:top w:val="nil"/>
              <w:bottom w:val="nil"/>
              <w:right w:val="nil"/>
            </w:tcBorders>
          </w:tcPr>
          <w:p w:rsidR="00E26928" w:rsidRDefault="00E26928" w:rsidP="00E26928">
            <w:r>
              <w:t>1/80-12/91</w:t>
            </w:r>
          </w:p>
        </w:tc>
        <w:tc>
          <w:tcPr>
            <w:tcW w:w="2338" w:type="dxa"/>
            <w:gridSpan w:val="2"/>
            <w:tcBorders>
              <w:top w:val="nil"/>
              <w:left w:val="nil"/>
              <w:bottom w:val="nil"/>
              <w:right w:val="nil"/>
            </w:tcBorders>
          </w:tcPr>
          <w:p w:rsidR="00E26928" w:rsidRDefault="00E26928" w:rsidP="00E26928">
            <w:r w:rsidRPr="00747A14">
              <w:t>-1.653</w:t>
            </w:r>
            <w:r w:rsidR="00747A14">
              <w:t>**</w:t>
            </w:r>
          </w:p>
        </w:tc>
        <w:tc>
          <w:tcPr>
            <w:tcW w:w="2337" w:type="dxa"/>
            <w:gridSpan w:val="2"/>
            <w:tcBorders>
              <w:top w:val="nil"/>
              <w:left w:val="nil"/>
              <w:bottom w:val="nil"/>
              <w:right w:val="nil"/>
            </w:tcBorders>
          </w:tcPr>
          <w:p w:rsidR="00E26928" w:rsidRDefault="00E26928" w:rsidP="00E26928">
            <w:r w:rsidRPr="00696ED6">
              <w:t>-1.614</w:t>
            </w:r>
          </w:p>
        </w:tc>
        <w:tc>
          <w:tcPr>
            <w:tcW w:w="2338" w:type="dxa"/>
            <w:tcBorders>
              <w:top w:val="nil"/>
              <w:left w:val="nil"/>
              <w:bottom w:val="nil"/>
            </w:tcBorders>
          </w:tcPr>
          <w:p w:rsidR="00E26928" w:rsidRDefault="00E26928" w:rsidP="00E26928">
            <w:r w:rsidRPr="00747A14">
              <w:t>-1.752</w:t>
            </w:r>
            <w:r w:rsidR="00747A14">
              <w:t>**</w:t>
            </w:r>
          </w:p>
        </w:tc>
      </w:tr>
      <w:tr w:rsidR="00E26928" w:rsidTr="00DE1426">
        <w:tc>
          <w:tcPr>
            <w:tcW w:w="2337" w:type="dxa"/>
            <w:tcBorders>
              <w:top w:val="nil"/>
              <w:bottom w:val="nil"/>
              <w:right w:val="nil"/>
            </w:tcBorders>
          </w:tcPr>
          <w:p w:rsidR="00E26928" w:rsidRDefault="00E26928" w:rsidP="00E26928">
            <w:r>
              <w:t>1/92-12/96</w:t>
            </w:r>
          </w:p>
        </w:tc>
        <w:tc>
          <w:tcPr>
            <w:tcW w:w="2338" w:type="dxa"/>
            <w:gridSpan w:val="2"/>
            <w:tcBorders>
              <w:top w:val="nil"/>
              <w:left w:val="nil"/>
              <w:bottom w:val="nil"/>
              <w:right w:val="nil"/>
            </w:tcBorders>
          </w:tcPr>
          <w:p w:rsidR="00E26928" w:rsidRDefault="00E26928" w:rsidP="00E26928">
            <w:r w:rsidRPr="00696ED6">
              <w:t>-0.6118</w:t>
            </w:r>
          </w:p>
        </w:tc>
        <w:tc>
          <w:tcPr>
            <w:tcW w:w="2337" w:type="dxa"/>
            <w:gridSpan w:val="2"/>
            <w:tcBorders>
              <w:top w:val="nil"/>
              <w:left w:val="nil"/>
              <w:bottom w:val="nil"/>
              <w:right w:val="nil"/>
            </w:tcBorders>
          </w:tcPr>
          <w:p w:rsidR="00E26928" w:rsidRDefault="00E26928" w:rsidP="00E26928">
            <w:r w:rsidRPr="000E2C01">
              <w:t>-1.049</w:t>
            </w:r>
          </w:p>
        </w:tc>
        <w:tc>
          <w:tcPr>
            <w:tcW w:w="2338" w:type="dxa"/>
            <w:tcBorders>
              <w:top w:val="nil"/>
              <w:left w:val="nil"/>
              <w:bottom w:val="nil"/>
            </w:tcBorders>
          </w:tcPr>
          <w:p w:rsidR="00E26928" w:rsidRDefault="00E26928" w:rsidP="00E26928">
            <w:r w:rsidRPr="000E2C01">
              <w:t>-0.178</w:t>
            </w:r>
          </w:p>
        </w:tc>
      </w:tr>
      <w:tr w:rsidR="00DE1426" w:rsidTr="00B36AC6">
        <w:tc>
          <w:tcPr>
            <w:tcW w:w="9350" w:type="dxa"/>
            <w:gridSpan w:val="6"/>
            <w:tcBorders>
              <w:top w:val="nil"/>
            </w:tcBorders>
          </w:tcPr>
          <w:p w:rsidR="00DE1426" w:rsidRDefault="00DE1426" w:rsidP="00DE1426">
            <w:pPr>
              <w:pStyle w:val="ListParagraph"/>
            </w:pPr>
          </w:p>
          <w:p w:rsidR="00DE1426" w:rsidRDefault="00DE1426" w:rsidP="00DE1426">
            <w:pPr>
              <w:pStyle w:val="ListParagraph"/>
            </w:pPr>
            <w:r>
              <w:t>t-stats are in parenthesis  *significant at the 1% level ; **significant at the 5% level; ***significant at the 10% level</w:t>
            </w:r>
          </w:p>
          <w:p w:rsidR="00DE1426" w:rsidRPr="000E2C01" w:rsidRDefault="00DE1426" w:rsidP="00E26928"/>
        </w:tc>
      </w:tr>
    </w:tbl>
    <w:p w:rsidR="00CC5425" w:rsidRDefault="00CC5425" w:rsidP="00A8660A">
      <w:pPr>
        <w:spacing w:line="480" w:lineRule="auto"/>
        <w:ind w:firstLine="720"/>
      </w:pPr>
    </w:p>
    <w:p w:rsidR="004F0EC2" w:rsidRPr="00A54426" w:rsidRDefault="00A54426" w:rsidP="00E26928">
      <w:pPr>
        <w:spacing w:line="480" w:lineRule="auto"/>
        <w:rPr>
          <w:i/>
        </w:rPr>
      </w:pPr>
      <w:r w:rsidRPr="00A54426">
        <w:rPr>
          <w:i/>
        </w:rPr>
        <w:t>4.3 Cointegration between REITs and unsecuritized real estate</w:t>
      </w:r>
    </w:p>
    <w:p w:rsidR="00A54426" w:rsidRDefault="00A54426" w:rsidP="00E26928">
      <w:pPr>
        <w:spacing w:line="480" w:lineRule="auto"/>
      </w:pPr>
      <w:r>
        <w:tab/>
        <w:t>The original paper posits that since REITs</w:t>
      </w:r>
      <w:r w:rsidR="003234DD">
        <w:t>’</w:t>
      </w:r>
      <w:r>
        <w:t xml:space="preserve"> assets </w:t>
      </w:r>
      <w:r w:rsidR="00627E4E">
        <w:t xml:space="preserve">and income </w:t>
      </w:r>
      <w:r>
        <w:t>must be 75%</w:t>
      </w:r>
      <w:r w:rsidR="003234DD">
        <w:t xml:space="preserve"> real estate</w:t>
      </w:r>
      <w:r w:rsidR="007C3B70">
        <w:t>,</w:t>
      </w:r>
      <w:r w:rsidR="00627E4E">
        <w:t xml:space="preserve"> underlying factors which would affect unsecuritized real estate would also affect securitized real estate and hence there is a cointegration relationship between REITs and unsecuritized real estate indices.</w:t>
      </w:r>
      <w:r w:rsidR="00DF5661">
        <w:t xml:space="preserve"> The relationship is logically straightforward and there is evidence of cointegration between all categories of REIT and the QUSR real estate index in the original and replication results.</w:t>
      </w:r>
      <w:r w:rsidR="00200B08">
        <w:t xml:space="preserve"> The replication results are displayed in Panel A of Table 4. Also, as noted in the original paper, only the full period cointegration is tested as the real estate index is quarterly, limiting the number of observations.</w:t>
      </w:r>
    </w:p>
    <w:p w:rsidR="00200B08" w:rsidRDefault="00200B08" w:rsidP="00E26928">
      <w:pPr>
        <w:spacing w:line="480" w:lineRule="auto"/>
      </w:pPr>
      <w:r>
        <w:tab/>
        <w:t>Two error correc</w:t>
      </w:r>
      <w:r w:rsidR="007C3B70">
        <w:t>tion models for each category of</w:t>
      </w:r>
      <w:r>
        <w:t xml:space="preserve"> </w:t>
      </w:r>
      <w:r w:rsidR="00EA68B6">
        <w:t>REIT were</w:t>
      </w:r>
      <w:r>
        <w:t xml:space="preserve"> calculated. Each ECM is the VAR model between the REIT index and the real estate index with the addition of an error-correctio</w:t>
      </w:r>
      <w:r w:rsidR="00EA68B6">
        <w:t xml:space="preserve">n term, the prior period’s equilibrium error. So for the first equation there is the REIT is on the left side as the dependent and a constant, </w:t>
      </w:r>
      <w:proofErr w:type="spellStart"/>
      <w:r w:rsidR="00EA68B6">
        <w:t>a</w:t>
      </w:r>
      <w:proofErr w:type="spellEnd"/>
      <w:r w:rsidR="00EA68B6">
        <w:t xml:space="preserve"> lagged REIT term, a lagged real estate term, and error correction term on the right. The second equation has the real estate index term on the left with the same variables on the right side. The main thing to look </w:t>
      </w:r>
      <w:r w:rsidR="007C3B70">
        <w:t>for</w:t>
      </w:r>
      <w:r w:rsidR="00EA68B6">
        <w:t xml:space="preserve"> in </w:t>
      </w:r>
      <w:r w:rsidR="007C3B70">
        <w:t>error correction model results</w:t>
      </w:r>
      <w:r w:rsidR="00EA68B6">
        <w:t xml:space="preserve"> is the sign and significance of the </w:t>
      </w:r>
      <w:r w:rsidR="00EA68B6">
        <w:lastRenderedPageBreak/>
        <w:t xml:space="preserve">error term. A significant and negative error coefficient indicates that the cointegrated variables move towards the equilibrium </w:t>
      </w:r>
      <w:r w:rsidR="007C3B70">
        <w:t xml:space="preserve">error </w:t>
      </w:r>
      <w:r w:rsidR="00EA68B6">
        <w:t>in the long run.</w:t>
      </w:r>
    </w:p>
    <w:p w:rsidR="00EA68B6" w:rsidRDefault="00EA68B6" w:rsidP="00E26928">
      <w:pPr>
        <w:spacing w:line="480" w:lineRule="auto"/>
      </w:pPr>
      <w:r>
        <w:tab/>
      </w:r>
      <w:r w:rsidR="001002EF">
        <w:t xml:space="preserve">Glascock, Lu, and </w:t>
      </w:r>
      <w:proofErr w:type="gramStart"/>
      <w:r w:rsidR="001002EF">
        <w:t>So</w:t>
      </w:r>
      <w:proofErr w:type="gramEnd"/>
      <w:r w:rsidR="001002EF">
        <w:t xml:space="preserve"> found the sign negative for every error coefficient</w:t>
      </w:r>
      <w:r w:rsidR="007C3B70">
        <w:t>,</w:t>
      </w:r>
      <w:r w:rsidR="001002EF">
        <w:t xml:space="preserve"> except for equation 4</w:t>
      </w:r>
      <w:r w:rsidR="007C3B70">
        <w:t>,</w:t>
      </w:r>
      <w:r w:rsidR="001002EF">
        <w:t xml:space="preserve"> with equations 3 and 6 negative and significant. This replication finds every REIT equation with negative, significant error coefficients. The QUSR equations actually have positive error coefficients, but they are insignificant. The replication results are stronger than the original’s, implying that REITs move towards a long-term cointegration equilibrium with the real estate index. The replication results actually make more logical sense than the originals, implying that when the long-term cointegrating relationship changes</w:t>
      </w:r>
      <w:r w:rsidR="005A0B6C">
        <w:t xml:space="preserve"> between the real </w:t>
      </w:r>
      <w:r w:rsidR="007C3B70">
        <w:t xml:space="preserve">estate index and REITs, REITs, which are </w:t>
      </w:r>
      <w:r w:rsidR="005A0B6C">
        <w:t>financial assets, are the series to adjust. Like in the original work, there is not much indication of short term Granger causation.</w:t>
      </w:r>
    </w:p>
    <w:tbl>
      <w:tblPr>
        <w:tblStyle w:val="TableGrid"/>
        <w:tblW w:w="0" w:type="auto"/>
        <w:tblLook w:val="04A0" w:firstRow="1" w:lastRow="0" w:firstColumn="1" w:lastColumn="0" w:noHBand="0" w:noVBand="1"/>
      </w:tblPr>
      <w:tblGrid>
        <w:gridCol w:w="2337"/>
        <w:gridCol w:w="2337"/>
        <w:gridCol w:w="2338"/>
        <w:gridCol w:w="2338"/>
      </w:tblGrid>
      <w:tr w:rsidR="004F0EC2" w:rsidTr="00936D3D">
        <w:tc>
          <w:tcPr>
            <w:tcW w:w="9350" w:type="dxa"/>
            <w:gridSpan w:val="4"/>
          </w:tcPr>
          <w:p w:rsidR="004F0EC2" w:rsidRPr="00DF5661" w:rsidRDefault="00DF5661" w:rsidP="00DF5661">
            <w:pPr>
              <w:rPr>
                <w:b/>
              </w:rPr>
            </w:pPr>
            <w:r w:rsidRPr="00DF5661">
              <w:rPr>
                <w:b/>
                <w:sz w:val="24"/>
              </w:rPr>
              <w:t xml:space="preserve">Table 4. </w:t>
            </w:r>
            <w:r w:rsidR="004F0EC2" w:rsidRPr="00DF5661">
              <w:rPr>
                <w:b/>
                <w:sz w:val="24"/>
              </w:rPr>
              <w:t>Cointegration test and error correction models for REIT indices and the QUSR R</w:t>
            </w:r>
            <w:r>
              <w:rPr>
                <w:b/>
                <w:sz w:val="24"/>
              </w:rPr>
              <w:t>eal Estate</w:t>
            </w:r>
            <w:r w:rsidR="004F0EC2" w:rsidRPr="00DF5661">
              <w:rPr>
                <w:b/>
                <w:sz w:val="24"/>
              </w:rPr>
              <w:t xml:space="preserve"> Index</w:t>
            </w:r>
          </w:p>
        </w:tc>
      </w:tr>
      <w:tr w:rsidR="004F0EC2" w:rsidTr="00936D3D">
        <w:tc>
          <w:tcPr>
            <w:tcW w:w="9350" w:type="dxa"/>
            <w:gridSpan w:val="4"/>
          </w:tcPr>
          <w:p w:rsidR="004F0EC2" w:rsidRPr="00141AD0" w:rsidRDefault="004F0EC2" w:rsidP="00CC5425">
            <w:pPr>
              <w:rPr>
                <w:b/>
              </w:rPr>
            </w:pPr>
            <w:r w:rsidRPr="00141AD0">
              <w:rPr>
                <w:b/>
              </w:rPr>
              <w:t>Panel A: Cointegration Test</w:t>
            </w:r>
          </w:p>
        </w:tc>
      </w:tr>
      <w:tr w:rsidR="004F0EC2" w:rsidTr="00747A14">
        <w:tc>
          <w:tcPr>
            <w:tcW w:w="2337" w:type="dxa"/>
            <w:tcBorders>
              <w:bottom w:val="single" w:sz="4" w:space="0" w:color="auto"/>
            </w:tcBorders>
          </w:tcPr>
          <w:p w:rsidR="004F0EC2" w:rsidRDefault="004F0EC2" w:rsidP="00CC5425">
            <w:r>
              <w:t>Period</w:t>
            </w:r>
          </w:p>
        </w:tc>
        <w:tc>
          <w:tcPr>
            <w:tcW w:w="2337" w:type="dxa"/>
            <w:tcBorders>
              <w:bottom w:val="single" w:sz="4" w:space="0" w:color="auto"/>
            </w:tcBorders>
          </w:tcPr>
          <w:p w:rsidR="004F0EC2" w:rsidRDefault="004F0EC2" w:rsidP="00CC5425">
            <w:r>
              <w:t>All REIT</w:t>
            </w:r>
          </w:p>
        </w:tc>
        <w:tc>
          <w:tcPr>
            <w:tcW w:w="2338" w:type="dxa"/>
            <w:tcBorders>
              <w:bottom w:val="single" w:sz="4" w:space="0" w:color="auto"/>
            </w:tcBorders>
          </w:tcPr>
          <w:p w:rsidR="004F0EC2" w:rsidRDefault="004F0EC2" w:rsidP="00CC5425">
            <w:r>
              <w:t>Equity REIT</w:t>
            </w:r>
          </w:p>
        </w:tc>
        <w:tc>
          <w:tcPr>
            <w:tcW w:w="2338" w:type="dxa"/>
            <w:tcBorders>
              <w:bottom w:val="single" w:sz="4" w:space="0" w:color="auto"/>
            </w:tcBorders>
          </w:tcPr>
          <w:p w:rsidR="004F0EC2" w:rsidRDefault="004F0EC2" w:rsidP="00CC5425">
            <w:r>
              <w:t>Mortgage REIT</w:t>
            </w:r>
          </w:p>
        </w:tc>
      </w:tr>
      <w:tr w:rsidR="004F0EC2" w:rsidTr="00747A14">
        <w:tc>
          <w:tcPr>
            <w:tcW w:w="2337" w:type="dxa"/>
            <w:tcBorders>
              <w:right w:val="nil"/>
            </w:tcBorders>
          </w:tcPr>
          <w:p w:rsidR="004F0EC2" w:rsidRDefault="004F0EC2" w:rsidP="00CC5425">
            <w:r>
              <w:t>12/77-09/96</w:t>
            </w:r>
          </w:p>
        </w:tc>
        <w:tc>
          <w:tcPr>
            <w:tcW w:w="2337" w:type="dxa"/>
            <w:tcBorders>
              <w:left w:val="nil"/>
              <w:right w:val="nil"/>
            </w:tcBorders>
          </w:tcPr>
          <w:p w:rsidR="004F0EC2" w:rsidRDefault="004F0EC2" w:rsidP="00CC5425">
            <w:r w:rsidRPr="00747A14">
              <w:t>-1.987</w:t>
            </w:r>
            <w:r w:rsidR="00747A14">
              <w:t>**</w:t>
            </w:r>
          </w:p>
        </w:tc>
        <w:tc>
          <w:tcPr>
            <w:tcW w:w="2338" w:type="dxa"/>
            <w:tcBorders>
              <w:left w:val="nil"/>
              <w:right w:val="nil"/>
            </w:tcBorders>
          </w:tcPr>
          <w:p w:rsidR="004F0EC2" w:rsidRDefault="00F64265" w:rsidP="00CC5425">
            <w:r w:rsidRPr="00747A14">
              <w:t>-1.982</w:t>
            </w:r>
            <w:r w:rsidR="00747A14">
              <w:t>**</w:t>
            </w:r>
          </w:p>
        </w:tc>
        <w:tc>
          <w:tcPr>
            <w:tcW w:w="2338" w:type="dxa"/>
            <w:tcBorders>
              <w:left w:val="nil"/>
            </w:tcBorders>
          </w:tcPr>
          <w:p w:rsidR="004F0EC2" w:rsidRDefault="00F64265" w:rsidP="00CC5425">
            <w:r w:rsidRPr="00747A14">
              <w:t>-1.99</w:t>
            </w:r>
            <w:r w:rsidR="00747A14">
              <w:t>**</w:t>
            </w:r>
          </w:p>
        </w:tc>
      </w:tr>
      <w:tr w:rsidR="00F64265" w:rsidTr="00936D3D">
        <w:tc>
          <w:tcPr>
            <w:tcW w:w="9350" w:type="dxa"/>
            <w:gridSpan w:val="4"/>
          </w:tcPr>
          <w:p w:rsidR="00F64265" w:rsidRPr="00141AD0" w:rsidRDefault="00F64265" w:rsidP="00CC5425">
            <w:pPr>
              <w:rPr>
                <w:b/>
              </w:rPr>
            </w:pPr>
            <w:r w:rsidRPr="00141AD0">
              <w:rPr>
                <w:b/>
              </w:rPr>
              <w:t>Panel B: Error Correction Model (Full Sample, 12/1977 to 06/1996)</w:t>
            </w:r>
          </w:p>
        </w:tc>
      </w:tr>
      <w:tr w:rsidR="00F64265" w:rsidTr="00936D3D">
        <w:trPr>
          <w:trHeight w:val="3273"/>
        </w:trPr>
        <w:tc>
          <w:tcPr>
            <w:tcW w:w="9350" w:type="dxa"/>
            <w:gridSpan w:val="4"/>
          </w:tcPr>
          <w:p w:rsidR="00524D6D" w:rsidRDefault="00524D6D" w:rsidP="00CC5425">
            <w:pPr>
              <w:pStyle w:val="ListParagraph"/>
              <w:numPr>
                <w:ilvl w:val="0"/>
                <w:numId w:val="1"/>
              </w:numPr>
            </w:pPr>
            <w:r>
              <w:rPr>
                <w:rFonts w:cstheme="minorHAnsi"/>
              </w:rPr>
              <w:t>Δ</w:t>
            </w:r>
            <w:r>
              <w:t>Y</w:t>
            </w:r>
            <w:r>
              <w:rPr>
                <w:vertAlign w:val="subscript"/>
              </w:rPr>
              <w:t>1t</w:t>
            </w:r>
            <w:r w:rsidR="001149AE">
              <w:t xml:space="preserve"> = 1.544 </w:t>
            </w:r>
            <w:r>
              <w:t>(2.97)</w:t>
            </w:r>
            <w:r w:rsidR="001149AE" w:rsidRPr="00936D3D">
              <w:t>*</w:t>
            </w:r>
            <w:r>
              <w:t xml:space="preserve"> + .10</w:t>
            </w:r>
            <w:r w:rsidR="001149AE">
              <w:t>2</w:t>
            </w:r>
            <w:r>
              <w:rPr>
                <w:rFonts w:cstheme="minorHAnsi"/>
              </w:rPr>
              <w:t xml:space="preserve"> Δ</w:t>
            </w:r>
            <w:r>
              <w:t>Y</w:t>
            </w:r>
            <w:r>
              <w:rPr>
                <w:vertAlign w:val="subscript"/>
              </w:rPr>
              <w:t>1t-1</w:t>
            </w:r>
            <w:r w:rsidR="001149AE">
              <w:rPr>
                <w:vertAlign w:val="subscript"/>
              </w:rPr>
              <w:t xml:space="preserve"> </w:t>
            </w:r>
            <w:r>
              <w:t>(</w:t>
            </w:r>
            <w:r w:rsidR="001149AE" w:rsidRPr="001149AE">
              <w:t>0.92</w:t>
            </w:r>
            <w:r w:rsidR="001149AE">
              <w:t>)</w:t>
            </w:r>
            <w:r>
              <w:t xml:space="preserve"> -.22 </w:t>
            </w:r>
            <w:r>
              <w:rPr>
                <w:rFonts w:cstheme="minorHAnsi"/>
              </w:rPr>
              <w:t>Δ</w:t>
            </w:r>
            <w:r>
              <w:t>Y</w:t>
            </w:r>
            <w:r w:rsidR="001149AE">
              <w:rPr>
                <w:vertAlign w:val="subscript"/>
              </w:rPr>
              <w:t>4</w:t>
            </w:r>
            <w:r>
              <w:rPr>
                <w:vertAlign w:val="subscript"/>
              </w:rPr>
              <w:t>t-1</w:t>
            </w:r>
            <w:r w:rsidR="001149AE">
              <w:rPr>
                <w:vertAlign w:val="subscript"/>
              </w:rPr>
              <w:t xml:space="preserve"> </w:t>
            </w:r>
            <w:r w:rsidR="001149AE">
              <w:t xml:space="preserve">(-.31) </w:t>
            </w:r>
            <w:r>
              <w:t>- .0994E</w:t>
            </w:r>
            <w:r>
              <w:rPr>
                <w:vertAlign w:val="subscript"/>
              </w:rPr>
              <w:t>14</w:t>
            </w:r>
            <w:r w:rsidR="001149AE">
              <w:rPr>
                <w:vertAlign w:val="subscript"/>
              </w:rPr>
              <w:t xml:space="preserve"> </w:t>
            </w:r>
            <w:r w:rsidR="001149AE">
              <w:t>(-2.92)</w:t>
            </w:r>
            <w:r w:rsidR="001149AE" w:rsidRPr="00936D3D">
              <w:t>*</w:t>
            </w:r>
          </w:p>
          <w:p w:rsidR="001149AE" w:rsidRDefault="001149AE" w:rsidP="00CC5425">
            <w:pPr>
              <w:pStyle w:val="ListParagraph"/>
              <w:numPr>
                <w:ilvl w:val="0"/>
                <w:numId w:val="1"/>
              </w:numPr>
            </w:pPr>
            <w:r>
              <w:rPr>
                <w:rFonts w:cstheme="minorHAnsi"/>
              </w:rPr>
              <w:t>Δ</w:t>
            </w:r>
            <w:r>
              <w:t>Y</w:t>
            </w:r>
            <w:r>
              <w:rPr>
                <w:vertAlign w:val="subscript"/>
              </w:rPr>
              <w:t>4t</w:t>
            </w:r>
            <w:r>
              <w:t xml:space="preserve"> = -0.045</w:t>
            </w:r>
            <w:r w:rsidRPr="001149AE">
              <w:t xml:space="preserve"> </w:t>
            </w:r>
            <w:r>
              <w:t>(</w:t>
            </w:r>
            <w:r w:rsidRPr="001149AE">
              <w:t>-0.73</w:t>
            </w:r>
            <w:r>
              <w:t xml:space="preserve">) + </w:t>
            </w:r>
            <w:r w:rsidRPr="001149AE">
              <w:t>0.021</w:t>
            </w:r>
            <w:r>
              <w:rPr>
                <w:rFonts w:cstheme="minorHAnsi"/>
              </w:rPr>
              <w:t xml:space="preserve"> Δ</w:t>
            </w:r>
            <w:r>
              <w:t>Y</w:t>
            </w:r>
            <w:r>
              <w:rPr>
                <w:vertAlign w:val="subscript"/>
              </w:rPr>
              <w:t xml:space="preserve">1t-1 </w:t>
            </w:r>
            <w:r>
              <w:t>(</w:t>
            </w:r>
            <w:r w:rsidRPr="001149AE">
              <w:t>1.59</w:t>
            </w:r>
            <w:r>
              <w:t xml:space="preserve">) + 0.694 </w:t>
            </w:r>
            <w:r>
              <w:rPr>
                <w:rFonts w:cstheme="minorHAnsi"/>
              </w:rPr>
              <w:t>Δ</w:t>
            </w:r>
            <w:r>
              <w:t>Y</w:t>
            </w:r>
            <w:r>
              <w:rPr>
                <w:vertAlign w:val="subscript"/>
              </w:rPr>
              <w:t xml:space="preserve">4t-1 </w:t>
            </w:r>
            <w:r>
              <w:t>(</w:t>
            </w:r>
            <w:r w:rsidRPr="001149AE">
              <w:t>8.18</w:t>
            </w:r>
            <w:r>
              <w:t>)</w:t>
            </w:r>
            <w:r w:rsidRPr="00936D3D">
              <w:t>*</w:t>
            </w:r>
            <w:r>
              <w:t xml:space="preserve"> + 0.0029 E</w:t>
            </w:r>
            <w:r>
              <w:rPr>
                <w:vertAlign w:val="subscript"/>
              </w:rPr>
              <w:t xml:space="preserve">41 </w:t>
            </w:r>
            <w:r w:rsidRPr="001149AE">
              <w:t>(0.72</w:t>
            </w:r>
            <w:r>
              <w:t>)</w:t>
            </w:r>
          </w:p>
          <w:p w:rsidR="001149AE" w:rsidRDefault="001149AE" w:rsidP="00CC5425">
            <w:pPr>
              <w:pStyle w:val="ListParagraph"/>
              <w:numPr>
                <w:ilvl w:val="0"/>
                <w:numId w:val="1"/>
              </w:numPr>
            </w:pPr>
            <w:r>
              <w:rPr>
                <w:rFonts w:cstheme="minorHAnsi"/>
              </w:rPr>
              <w:t>Δ</w:t>
            </w:r>
            <w:r>
              <w:t>Y</w:t>
            </w:r>
            <w:r>
              <w:rPr>
                <w:vertAlign w:val="subscript"/>
              </w:rPr>
              <w:t>2t</w:t>
            </w:r>
            <w:r>
              <w:t xml:space="preserve"> = </w:t>
            </w:r>
            <w:r w:rsidRPr="001149AE">
              <w:t xml:space="preserve">1.312 </w:t>
            </w:r>
            <w:r>
              <w:t>(</w:t>
            </w:r>
            <w:r w:rsidRPr="001149AE">
              <w:t>3.10</w:t>
            </w:r>
            <w:r>
              <w:t>)</w:t>
            </w:r>
            <w:r w:rsidRPr="00936D3D">
              <w:t>*</w:t>
            </w:r>
            <w:r>
              <w:t xml:space="preserve"> + </w:t>
            </w:r>
            <w:r w:rsidR="00D70C64">
              <w:t>0.006</w:t>
            </w:r>
            <w:r>
              <w:rPr>
                <w:rFonts w:cstheme="minorHAnsi"/>
              </w:rPr>
              <w:t xml:space="preserve"> Δ</w:t>
            </w:r>
            <w:r>
              <w:t>Y</w:t>
            </w:r>
            <w:r>
              <w:rPr>
                <w:vertAlign w:val="subscript"/>
              </w:rPr>
              <w:t xml:space="preserve">2t-1 </w:t>
            </w:r>
            <w:r>
              <w:t>(</w:t>
            </w:r>
            <w:r w:rsidR="00D70C64" w:rsidRPr="00D70C64">
              <w:t>0.05</w:t>
            </w:r>
            <w:r>
              <w:t xml:space="preserve">) </w:t>
            </w:r>
            <w:r w:rsidR="00D70C64">
              <w:t xml:space="preserve">+ </w:t>
            </w:r>
            <w:r w:rsidR="00D70C64" w:rsidRPr="00D70C64">
              <w:t>.700</w:t>
            </w:r>
            <w:r>
              <w:rPr>
                <w:rFonts w:cstheme="minorHAnsi"/>
              </w:rPr>
              <w:t>Δ</w:t>
            </w:r>
            <w:r>
              <w:t>Y</w:t>
            </w:r>
            <w:r>
              <w:rPr>
                <w:vertAlign w:val="subscript"/>
              </w:rPr>
              <w:t xml:space="preserve">4t-1 </w:t>
            </w:r>
            <w:r>
              <w:t>(</w:t>
            </w:r>
            <w:r w:rsidR="00D70C64" w:rsidRPr="00D70C64">
              <w:t>0.98</w:t>
            </w:r>
            <w:r>
              <w:t xml:space="preserve">) - </w:t>
            </w:r>
            <w:r w:rsidR="00D70C64">
              <w:t>0.12</w:t>
            </w:r>
            <w:r>
              <w:t>E</w:t>
            </w:r>
            <w:r w:rsidR="00D70C64">
              <w:rPr>
                <w:vertAlign w:val="subscript"/>
              </w:rPr>
              <w:t>24</w:t>
            </w:r>
            <w:r>
              <w:rPr>
                <w:vertAlign w:val="subscript"/>
              </w:rPr>
              <w:t xml:space="preserve"> </w:t>
            </w:r>
            <w:r>
              <w:t>(</w:t>
            </w:r>
            <w:r w:rsidR="00D70C64" w:rsidRPr="00D70C64">
              <w:t>-3.02</w:t>
            </w:r>
            <w:r>
              <w:t>)</w:t>
            </w:r>
            <w:r w:rsidRPr="00936D3D">
              <w:t>*</w:t>
            </w:r>
          </w:p>
          <w:p w:rsidR="00D70C64" w:rsidRPr="00FD47FE" w:rsidRDefault="00D70C64" w:rsidP="00CC5425">
            <w:pPr>
              <w:pStyle w:val="ListParagraph"/>
              <w:numPr>
                <w:ilvl w:val="0"/>
                <w:numId w:val="1"/>
              </w:numPr>
            </w:pPr>
            <w:r>
              <w:rPr>
                <w:rFonts w:cstheme="minorHAnsi"/>
              </w:rPr>
              <w:t>Δ</w:t>
            </w:r>
            <w:r>
              <w:t>Y</w:t>
            </w:r>
            <w:r>
              <w:rPr>
                <w:vertAlign w:val="subscript"/>
              </w:rPr>
              <w:t>4t</w:t>
            </w:r>
            <w:r>
              <w:t xml:space="preserve"> = </w:t>
            </w:r>
            <w:r w:rsidR="00FD47FE" w:rsidRPr="00FD47FE">
              <w:t xml:space="preserve">-0.02577 </w:t>
            </w:r>
            <w:r>
              <w:t>(</w:t>
            </w:r>
            <w:r w:rsidR="00FD47FE" w:rsidRPr="00FD47FE">
              <w:t>-0.51</w:t>
            </w:r>
            <w:r>
              <w:t xml:space="preserve">) + </w:t>
            </w:r>
            <w:r w:rsidR="00FD47FE">
              <w:t>0.010</w:t>
            </w:r>
            <w:r>
              <w:rPr>
                <w:rFonts w:cstheme="minorHAnsi"/>
              </w:rPr>
              <w:t>Δ</w:t>
            </w:r>
            <w:r>
              <w:t>Y</w:t>
            </w:r>
            <w:r>
              <w:rPr>
                <w:vertAlign w:val="subscript"/>
              </w:rPr>
              <w:t xml:space="preserve">2t-1 </w:t>
            </w:r>
            <w:r>
              <w:t>(</w:t>
            </w:r>
            <w:r w:rsidR="00FD47FE" w:rsidRPr="00FD47FE">
              <w:t>0.70</w:t>
            </w:r>
            <w:r>
              <w:t xml:space="preserve">) + </w:t>
            </w:r>
            <w:r w:rsidRPr="00D70C64">
              <w:t>.700</w:t>
            </w:r>
            <w:r>
              <w:rPr>
                <w:rFonts w:cstheme="minorHAnsi"/>
              </w:rPr>
              <w:t>Δ</w:t>
            </w:r>
            <w:r>
              <w:t>Y</w:t>
            </w:r>
            <w:r>
              <w:rPr>
                <w:vertAlign w:val="subscript"/>
              </w:rPr>
              <w:t xml:space="preserve">4t-1 </w:t>
            </w:r>
            <w:r>
              <w:t>(</w:t>
            </w:r>
            <w:r w:rsidR="00FD47FE" w:rsidRPr="00FD47FE">
              <w:t>8.09</w:t>
            </w:r>
            <w:r>
              <w:t>)</w:t>
            </w:r>
            <w:r w:rsidR="00936D3D">
              <w:t>*</w:t>
            </w:r>
            <w:r w:rsidR="00F554A9">
              <w:t xml:space="preserve"> +</w:t>
            </w:r>
            <w:r>
              <w:t xml:space="preserve"> </w:t>
            </w:r>
            <w:r w:rsidR="00FD47FE" w:rsidRPr="00FD47FE">
              <w:t>0.002</w:t>
            </w:r>
            <w:r>
              <w:t>E</w:t>
            </w:r>
            <w:r>
              <w:rPr>
                <w:vertAlign w:val="subscript"/>
              </w:rPr>
              <w:t xml:space="preserve">42 </w:t>
            </w:r>
            <w:r>
              <w:t>(</w:t>
            </w:r>
            <w:r w:rsidR="00FD47FE" w:rsidRPr="00FD47FE">
              <w:t>0.50</w:t>
            </w:r>
            <w:r>
              <w:t>)</w:t>
            </w:r>
          </w:p>
          <w:p w:rsidR="00FD47FE" w:rsidRPr="00FD47FE" w:rsidRDefault="00FD47FE" w:rsidP="00CC5425">
            <w:pPr>
              <w:pStyle w:val="ListParagraph"/>
              <w:numPr>
                <w:ilvl w:val="0"/>
                <w:numId w:val="1"/>
              </w:numPr>
            </w:pPr>
            <w:r>
              <w:rPr>
                <w:rFonts w:cstheme="minorHAnsi"/>
              </w:rPr>
              <w:t>Δ</w:t>
            </w:r>
            <w:r>
              <w:t>Y</w:t>
            </w:r>
            <w:r>
              <w:rPr>
                <w:vertAlign w:val="subscript"/>
              </w:rPr>
              <w:t>3t</w:t>
            </w:r>
            <w:r>
              <w:t xml:space="preserve"> = </w:t>
            </w:r>
            <w:r w:rsidR="00531DC2">
              <w:t>1.6423</w:t>
            </w:r>
            <w:r>
              <w:t>(</w:t>
            </w:r>
            <w:r w:rsidR="00531DC2" w:rsidRPr="00531DC2">
              <w:t>2.46</w:t>
            </w:r>
            <w:r>
              <w:t>)</w:t>
            </w:r>
            <w:r w:rsidR="00531DC2">
              <w:t>**</w:t>
            </w:r>
            <w:r>
              <w:t xml:space="preserve"> + </w:t>
            </w:r>
            <w:r w:rsidR="00531DC2" w:rsidRPr="00531DC2">
              <w:t>0.208</w:t>
            </w:r>
            <w:r>
              <w:rPr>
                <w:rFonts w:cstheme="minorHAnsi"/>
              </w:rPr>
              <w:t>Δ</w:t>
            </w:r>
            <w:r>
              <w:t>Y</w:t>
            </w:r>
            <w:r w:rsidR="00531DC2">
              <w:rPr>
                <w:vertAlign w:val="subscript"/>
              </w:rPr>
              <w:t>3</w:t>
            </w:r>
            <w:r>
              <w:rPr>
                <w:vertAlign w:val="subscript"/>
              </w:rPr>
              <w:t xml:space="preserve">t-1 </w:t>
            </w:r>
            <w:r>
              <w:t>(</w:t>
            </w:r>
            <w:r w:rsidR="00531DC2" w:rsidRPr="00531DC2">
              <w:t>1.91</w:t>
            </w:r>
            <w:r>
              <w:t>)</w:t>
            </w:r>
            <w:r w:rsidR="00531DC2">
              <w:t>***</w:t>
            </w:r>
            <w:r>
              <w:t xml:space="preserve"> </w:t>
            </w:r>
            <w:r w:rsidR="00531DC2" w:rsidRPr="00531DC2">
              <w:t>-</w:t>
            </w:r>
            <w:r w:rsidR="00531DC2">
              <w:t xml:space="preserve"> </w:t>
            </w:r>
            <w:r w:rsidR="00531DC2" w:rsidRPr="00531DC2">
              <w:t>0.755</w:t>
            </w:r>
            <w:r>
              <w:rPr>
                <w:rFonts w:cstheme="minorHAnsi"/>
              </w:rPr>
              <w:t>Δ</w:t>
            </w:r>
            <w:r>
              <w:t>Y</w:t>
            </w:r>
            <w:r>
              <w:rPr>
                <w:vertAlign w:val="subscript"/>
              </w:rPr>
              <w:t xml:space="preserve">4t-1 </w:t>
            </w:r>
            <w:r>
              <w:t>(</w:t>
            </w:r>
            <w:r w:rsidR="00531DC2" w:rsidRPr="00531DC2">
              <w:t>-0.85</w:t>
            </w:r>
            <w:r>
              <w:t>)</w:t>
            </w:r>
            <w:r w:rsidRPr="00936D3D">
              <w:t>*</w:t>
            </w:r>
            <w:r>
              <w:t xml:space="preserve"> - </w:t>
            </w:r>
            <w:r w:rsidRPr="00FD47FE">
              <w:t>0.0</w:t>
            </w:r>
            <w:r w:rsidR="00531DC2">
              <w:t>911</w:t>
            </w:r>
            <w:r>
              <w:t>E</w:t>
            </w:r>
            <w:r w:rsidR="00531DC2">
              <w:rPr>
                <w:vertAlign w:val="subscript"/>
              </w:rPr>
              <w:t>3</w:t>
            </w:r>
            <w:r w:rsidR="00936D3D">
              <w:rPr>
                <w:vertAlign w:val="subscript"/>
              </w:rPr>
              <w:t>4</w:t>
            </w:r>
            <w:r>
              <w:rPr>
                <w:vertAlign w:val="subscript"/>
              </w:rPr>
              <w:t xml:space="preserve"> </w:t>
            </w:r>
            <w:r>
              <w:t>(</w:t>
            </w:r>
            <w:r w:rsidR="00531DC2" w:rsidRPr="00531DC2">
              <w:t>-2.43</w:t>
            </w:r>
            <w:r>
              <w:t>)</w:t>
            </w:r>
            <w:r w:rsidR="00531DC2" w:rsidRPr="00936D3D">
              <w:t>**</w:t>
            </w:r>
          </w:p>
          <w:p w:rsidR="00936D3D" w:rsidRPr="00FD47FE" w:rsidRDefault="00936D3D" w:rsidP="00CC5425">
            <w:pPr>
              <w:pStyle w:val="ListParagraph"/>
              <w:numPr>
                <w:ilvl w:val="0"/>
                <w:numId w:val="1"/>
              </w:numPr>
            </w:pPr>
            <w:r>
              <w:rPr>
                <w:rFonts w:cstheme="minorHAnsi"/>
              </w:rPr>
              <w:t>Δ</w:t>
            </w:r>
            <w:r>
              <w:t>Y</w:t>
            </w:r>
            <w:r>
              <w:rPr>
                <w:vertAlign w:val="subscript"/>
              </w:rPr>
              <w:t>4t</w:t>
            </w:r>
            <w:r>
              <w:t xml:space="preserve"> = </w:t>
            </w:r>
            <w:r w:rsidR="00F554A9">
              <w:t>-.0734</w:t>
            </w:r>
            <w:r>
              <w:t>(</w:t>
            </w:r>
            <w:r w:rsidR="00F554A9" w:rsidRPr="00F554A9">
              <w:t>-1.12</w:t>
            </w:r>
            <w:r>
              <w:t xml:space="preserve">)** + </w:t>
            </w:r>
            <w:r w:rsidR="00F554A9" w:rsidRPr="00F554A9">
              <w:t>0.026</w:t>
            </w:r>
            <w:r>
              <w:rPr>
                <w:rFonts w:cstheme="minorHAnsi"/>
              </w:rPr>
              <w:t>Δ</w:t>
            </w:r>
            <w:r>
              <w:t>Y</w:t>
            </w:r>
            <w:r>
              <w:rPr>
                <w:vertAlign w:val="subscript"/>
              </w:rPr>
              <w:t xml:space="preserve">3t-1 </w:t>
            </w:r>
            <w:r>
              <w:t>(</w:t>
            </w:r>
            <w:r w:rsidR="00F554A9" w:rsidRPr="00F554A9">
              <w:t>2.45</w:t>
            </w:r>
            <w:r w:rsidR="00F554A9">
              <w:t>)**</w:t>
            </w:r>
            <w:r>
              <w:t xml:space="preserve"> </w:t>
            </w:r>
            <w:r w:rsidRPr="00531DC2">
              <w:t>-</w:t>
            </w:r>
            <w:r>
              <w:t xml:space="preserve"> </w:t>
            </w:r>
            <w:r w:rsidR="00F554A9" w:rsidRPr="00F554A9">
              <w:t>0.68</w:t>
            </w:r>
            <w:r>
              <w:rPr>
                <w:rFonts w:cstheme="minorHAnsi"/>
              </w:rPr>
              <w:t>Δ</w:t>
            </w:r>
            <w:r>
              <w:t>Y</w:t>
            </w:r>
            <w:r>
              <w:rPr>
                <w:vertAlign w:val="subscript"/>
              </w:rPr>
              <w:t xml:space="preserve">4t-1 </w:t>
            </w:r>
            <w:r>
              <w:t>(</w:t>
            </w:r>
            <w:r w:rsidR="00F554A9" w:rsidRPr="00F554A9">
              <w:t>7.84</w:t>
            </w:r>
            <w:r>
              <w:t xml:space="preserve">) </w:t>
            </w:r>
            <w:r w:rsidR="00F554A9">
              <w:t>+</w:t>
            </w:r>
            <w:r>
              <w:t xml:space="preserve"> </w:t>
            </w:r>
            <w:r w:rsidR="00F554A9" w:rsidRPr="00F554A9">
              <w:t>0.004</w:t>
            </w:r>
            <w:r>
              <w:t>E</w:t>
            </w:r>
            <w:r>
              <w:rPr>
                <w:vertAlign w:val="subscript"/>
              </w:rPr>
              <w:t xml:space="preserve">43 </w:t>
            </w:r>
            <w:r>
              <w:t>(</w:t>
            </w:r>
            <w:r w:rsidR="00F554A9" w:rsidRPr="00F554A9">
              <w:t>1.12</w:t>
            </w:r>
            <w:r w:rsidR="001002EF">
              <w:t>)</w:t>
            </w:r>
          </w:p>
          <w:p w:rsidR="00FD47FE" w:rsidRDefault="00FD47FE" w:rsidP="00CC5425">
            <w:pPr>
              <w:pStyle w:val="ListParagraph"/>
            </w:pPr>
          </w:p>
          <w:p w:rsidR="001149AE" w:rsidRDefault="00F554A9" w:rsidP="00CC5425">
            <w:pPr>
              <w:pStyle w:val="ListParagraph"/>
            </w:pPr>
            <w:r>
              <w:t>Subscripts: 1 = All REIT Total Return Index; 2= Equity Total Return Index; 3 = Mortgage REIT To</w:t>
            </w:r>
          </w:p>
          <w:p w:rsidR="00F554A9" w:rsidRDefault="00F554A9" w:rsidP="00CC5425">
            <w:pPr>
              <w:pStyle w:val="ListParagraph"/>
            </w:pPr>
            <w:r>
              <w:t>Total index; 4 = QUSR index.</w:t>
            </w:r>
          </w:p>
          <w:p w:rsidR="00F554A9" w:rsidRDefault="00F554A9" w:rsidP="00CC5425">
            <w:pPr>
              <w:pStyle w:val="ListParagraph"/>
            </w:pPr>
            <w:r>
              <w:t>t-stats are in parenthesis  *significant at</w:t>
            </w:r>
            <w:r w:rsidR="00735799">
              <w:t xml:space="preserve"> the</w:t>
            </w:r>
            <w:r>
              <w:t xml:space="preserve"> 1% level ; **significant at </w:t>
            </w:r>
            <w:r w:rsidR="00735799">
              <w:t xml:space="preserve">the </w:t>
            </w:r>
            <w:r>
              <w:t xml:space="preserve">5% level; ***significant at </w:t>
            </w:r>
            <w:r w:rsidR="00735799">
              <w:t xml:space="preserve">the </w:t>
            </w:r>
            <w:r>
              <w:t>10% level</w:t>
            </w:r>
          </w:p>
          <w:p w:rsidR="00524D6D" w:rsidRPr="00524D6D" w:rsidRDefault="00524D6D" w:rsidP="00CC5425">
            <w:pPr>
              <w:pStyle w:val="ListParagraph"/>
            </w:pPr>
          </w:p>
        </w:tc>
      </w:tr>
    </w:tbl>
    <w:p w:rsidR="004F0EC2" w:rsidRDefault="004F0EC2" w:rsidP="0040663A">
      <w:pPr>
        <w:spacing w:line="480" w:lineRule="auto"/>
      </w:pPr>
    </w:p>
    <w:p w:rsidR="005A0B6C" w:rsidRPr="00141AD0" w:rsidRDefault="005A0B6C" w:rsidP="0040663A">
      <w:pPr>
        <w:spacing w:line="480" w:lineRule="auto"/>
        <w:rPr>
          <w:i/>
        </w:rPr>
      </w:pPr>
      <w:r w:rsidRPr="00141AD0">
        <w:rPr>
          <w:i/>
        </w:rPr>
        <w:t>4.4</w:t>
      </w:r>
      <w:r w:rsidR="00141AD0" w:rsidRPr="00141AD0">
        <w:rPr>
          <w:i/>
        </w:rPr>
        <w:t>.</w:t>
      </w:r>
      <w:r w:rsidRPr="00141AD0">
        <w:rPr>
          <w:i/>
        </w:rPr>
        <w:t xml:space="preserve"> Cointegration between REITs and inflation</w:t>
      </w:r>
    </w:p>
    <w:p w:rsidR="005A0B6C" w:rsidRDefault="00141AD0" w:rsidP="00141AD0">
      <w:pPr>
        <w:spacing w:line="480" w:lineRule="auto"/>
        <w:ind w:firstLine="720"/>
      </w:pPr>
      <w:r>
        <w:t xml:space="preserve">As aforementioned, the authors expected to find a cointegrating relationship between REITs and inflation, measured by CPI, prior to 1992 but not after. Glascock, Lu, and So found that inflation and </w:t>
      </w:r>
      <w:r>
        <w:lastRenderedPageBreak/>
        <w:t>REITs were cointegrated for the whole period and prior to 1992</w:t>
      </w:r>
      <w:r w:rsidR="007C3B70">
        <w:t xml:space="preserve"> all and mortgage REITs, but not</w:t>
      </w:r>
      <w:r>
        <w:t xml:space="preserve"> for equity REITs, which had cointegration at the 5% level of significance. This replication find similar but not as strong of results, displayed in Panel </w:t>
      </w:r>
      <w:proofErr w:type="gramStart"/>
      <w:r>
        <w:t>A</w:t>
      </w:r>
      <w:proofErr w:type="gramEnd"/>
      <w:r>
        <w:t xml:space="preserve"> of Table 5. Cointegration is found in every test except th</w:t>
      </w:r>
      <w:r w:rsidR="007C3B70">
        <w:t>e one</w:t>
      </w:r>
      <w:r>
        <w:t xml:space="preserve"> for mortgage REITs after 1992. The replication results indicate that the theory </w:t>
      </w:r>
      <w:r w:rsidR="001B2C90">
        <w:t>of REITs being more tied to inflation like real estate prior to 1992 is valid, but are not very convincing.</w:t>
      </w:r>
    </w:p>
    <w:p w:rsidR="00141AD0" w:rsidRDefault="001B2C90" w:rsidP="00141AD0">
      <w:pPr>
        <w:spacing w:line="480" w:lineRule="auto"/>
        <w:ind w:firstLine="720"/>
      </w:pPr>
      <w:r>
        <w:t>The ECM results are displayed in Table 5 Panel B.</w:t>
      </w:r>
      <w:r w:rsidR="00E82D5A">
        <w:t xml:space="preserve"> The original paper found for the first and full period that REITs would adjust to the equilibrium error and that inflation would lead REITs, but not vice versa. The replication results are similar for the first period and the full period. All error correction terms are negative and significant in the REIT equations. Five out of six of the lagged CPI terms are significant in the REIT equations (1, 3, &amp; 5). For five out of six of the CPI equations, the first and second period equations have negative and significant error correction term coefficients. These results concur with the original papers results, implying a cointegrating result where inflation leads REIT returns for the first period and the full period. The original paper does not include the error correction terms for the second period, as no cointegration was found. The replication results implied cointegration, so error correction terms were included, but do not appear to be insightful as every error correction coefficient for the REIT equations is negative and significant and every error correction coefficient for the</w:t>
      </w:r>
      <w:r w:rsidR="008576E9">
        <w:t xml:space="preserve"> CPI equations is positive and significant. These results are likely due to weak cointegration, as the trace statistic </w:t>
      </w:r>
      <w:r w:rsidR="007C3B70">
        <w:t xml:space="preserve">for models 5 &amp;6 </w:t>
      </w:r>
      <w:r w:rsidR="008576E9">
        <w:t>produced a value right on the cusp of indicating one cointegrating vector.</w:t>
      </w:r>
      <w:r w:rsidR="00E82D5A">
        <w:t xml:space="preserve"> </w:t>
      </w:r>
    </w:p>
    <w:tbl>
      <w:tblPr>
        <w:tblStyle w:val="TableGrid"/>
        <w:tblW w:w="0" w:type="auto"/>
        <w:tblLook w:val="04A0" w:firstRow="1" w:lastRow="0" w:firstColumn="1" w:lastColumn="0" w:noHBand="0" w:noVBand="1"/>
      </w:tblPr>
      <w:tblGrid>
        <w:gridCol w:w="2337"/>
        <w:gridCol w:w="2337"/>
        <w:gridCol w:w="2338"/>
        <w:gridCol w:w="2338"/>
      </w:tblGrid>
      <w:tr w:rsidR="001A0D9A" w:rsidTr="005778CC">
        <w:tc>
          <w:tcPr>
            <w:tcW w:w="9350" w:type="dxa"/>
            <w:gridSpan w:val="4"/>
          </w:tcPr>
          <w:p w:rsidR="001A0D9A" w:rsidRPr="00747A14" w:rsidRDefault="005A0B6C" w:rsidP="00747A14">
            <w:pPr>
              <w:rPr>
                <w:b/>
              </w:rPr>
            </w:pPr>
            <w:r>
              <w:rPr>
                <w:b/>
                <w:sz w:val="24"/>
              </w:rPr>
              <w:t xml:space="preserve">Table 5. </w:t>
            </w:r>
            <w:r w:rsidR="001A0D9A" w:rsidRPr="00747A14">
              <w:rPr>
                <w:b/>
                <w:sz w:val="24"/>
              </w:rPr>
              <w:t>Cointegration tests and error correction models for REIT total return indices with the Consumer Price Index</w:t>
            </w:r>
          </w:p>
        </w:tc>
      </w:tr>
      <w:tr w:rsidR="001A0D9A" w:rsidTr="005778CC">
        <w:tc>
          <w:tcPr>
            <w:tcW w:w="9350" w:type="dxa"/>
            <w:gridSpan w:val="4"/>
          </w:tcPr>
          <w:p w:rsidR="001A0D9A" w:rsidRPr="00747A14" w:rsidRDefault="003441D0" w:rsidP="00747A14">
            <w:pPr>
              <w:rPr>
                <w:b/>
              </w:rPr>
            </w:pPr>
            <w:r w:rsidRPr="00747A14">
              <w:rPr>
                <w:b/>
              </w:rPr>
              <w:t>Panel A: Cointegration Test</w:t>
            </w:r>
          </w:p>
        </w:tc>
      </w:tr>
      <w:tr w:rsidR="001A0D9A" w:rsidTr="00747A14">
        <w:tc>
          <w:tcPr>
            <w:tcW w:w="2337" w:type="dxa"/>
            <w:tcBorders>
              <w:bottom w:val="single" w:sz="4" w:space="0" w:color="auto"/>
            </w:tcBorders>
          </w:tcPr>
          <w:p w:rsidR="001A0D9A" w:rsidRDefault="003441D0" w:rsidP="00747A14">
            <w:r>
              <w:t>Period</w:t>
            </w:r>
          </w:p>
        </w:tc>
        <w:tc>
          <w:tcPr>
            <w:tcW w:w="2337" w:type="dxa"/>
            <w:tcBorders>
              <w:bottom w:val="single" w:sz="4" w:space="0" w:color="auto"/>
            </w:tcBorders>
          </w:tcPr>
          <w:p w:rsidR="001A0D9A" w:rsidRDefault="003441D0" w:rsidP="00747A14">
            <w:r>
              <w:t>All REIT</w:t>
            </w:r>
          </w:p>
        </w:tc>
        <w:tc>
          <w:tcPr>
            <w:tcW w:w="2338" w:type="dxa"/>
            <w:tcBorders>
              <w:bottom w:val="single" w:sz="4" w:space="0" w:color="auto"/>
            </w:tcBorders>
          </w:tcPr>
          <w:p w:rsidR="001A0D9A" w:rsidRDefault="003441D0" w:rsidP="00747A14">
            <w:r>
              <w:t>Equity REIT</w:t>
            </w:r>
          </w:p>
        </w:tc>
        <w:tc>
          <w:tcPr>
            <w:tcW w:w="2338" w:type="dxa"/>
            <w:tcBorders>
              <w:bottom w:val="single" w:sz="4" w:space="0" w:color="auto"/>
            </w:tcBorders>
          </w:tcPr>
          <w:p w:rsidR="001A0D9A" w:rsidRDefault="003441D0" w:rsidP="00747A14">
            <w:r>
              <w:t>Mortgage REIT</w:t>
            </w:r>
          </w:p>
        </w:tc>
      </w:tr>
      <w:tr w:rsidR="001A0D9A" w:rsidTr="00747A14">
        <w:tc>
          <w:tcPr>
            <w:tcW w:w="2337" w:type="dxa"/>
            <w:tcBorders>
              <w:bottom w:val="nil"/>
              <w:right w:val="nil"/>
            </w:tcBorders>
          </w:tcPr>
          <w:p w:rsidR="001A0D9A" w:rsidRDefault="003441D0" w:rsidP="00747A14">
            <w:r>
              <w:t>1/72-12/96</w:t>
            </w:r>
          </w:p>
        </w:tc>
        <w:tc>
          <w:tcPr>
            <w:tcW w:w="2337" w:type="dxa"/>
            <w:tcBorders>
              <w:left w:val="nil"/>
              <w:bottom w:val="nil"/>
              <w:right w:val="nil"/>
            </w:tcBorders>
          </w:tcPr>
          <w:p w:rsidR="001A0D9A" w:rsidRDefault="003441D0" w:rsidP="00747A14">
            <w:r w:rsidRPr="003441D0">
              <w:t>-2.552</w:t>
            </w:r>
            <w:r>
              <w:t>**</w:t>
            </w:r>
          </w:p>
        </w:tc>
        <w:tc>
          <w:tcPr>
            <w:tcW w:w="2338" w:type="dxa"/>
            <w:tcBorders>
              <w:left w:val="nil"/>
              <w:bottom w:val="nil"/>
              <w:right w:val="nil"/>
            </w:tcBorders>
          </w:tcPr>
          <w:p w:rsidR="001A0D9A" w:rsidRDefault="003441D0" w:rsidP="00747A14">
            <w:r w:rsidRPr="003441D0">
              <w:t>-2.803</w:t>
            </w:r>
            <w:r>
              <w:t>*</w:t>
            </w:r>
          </w:p>
        </w:tc>
        <w:tc>
          <w:tcPr>
            <w:tcW w:w="2338" w:type="dxa"/>
            <w:tcBorders>
              <w:left w:val="nil"/>
              <w:bottom w:val="nil"/>
            </w:tcBorders>
          </w:tcPr>
          <w:p w:rsidR="001A0D9A" w:rsidRDefault="003441D0" w:rsidP="00747A14">
            <w:r w:rsidRPr="003441D0">
              <w:t>-2.119</w:t>
            </w:r>
            <w:r>
              <w:t>**</w:t>
            </w:r>
          </w:p>
        </w:tc>
      </w:tr>
      <w:tr w:rsidR="001A0D9A" w:rsidTr="00747A14">
        <w:tc>
          <w:tcPr>
            <w:tcW w:w="2337" w:type="dxa"/>
            <w:tcBorders>
              <w:top w:val="nil"/>
              <w:bottom w:val="nil"/>
              <w:right w:val="nil"/>
            </w:tcBorders>
          </w:tcPr>
          <w:p w:rsidR="001A0D9A" w:rsidRDefault="003441D0" w:rsidP="00747A14">
            <w:r>
              <w:t>1/72-12/91</w:t>
            </w:r>
          </w:p>
        </w:tc>
        <w:tc>
          <w:tcPr>
            <w:tcW w:w="2337" w:type="dxa"/>
            <w:tcBorders>
              <w:top w:val="nil"/>
              <w:left w:val="nil"/>
              <w:bottom w:val="nil"/>
              <w:right w:val="nil"/>
            </w:tcBorders>
          </w:tcPr>
          <w:p w:rsidR="001A0D9A" w:rsidRDefault="003441D0" w:rsidP="00747A14">
            <w:r w:rsidRPr="003441D0">
              <w:t>-2.289</w:t>
            </w:r>
            <w:r>
              <w:t>**</w:t>
            </w:r>
          </w:p>
        </w:tc>
        <w:tc>
          <w:tcPr>
            <w:tcW w:w="2338" w:type="dxa"/>
            <w:tcBorders>
              <w:top w:val="nil"/>
              <w:left w:val="nil"/>
              <w:bottom w:val="nil"/>
              <w:right w:val="nil"/>
            </w:tcBorders>
          </w:tcPr>
          <w:p w:rsidR="001A0D9A" w:rsidRDefault="003441D0" w:rsidP="00747A14">
            <w:r w:rsidRPr="003441D0">
              <w:t>-2.449</w:t>
            </w:r>
            <w:r>
              <w:t>**</w:t>
            </w:r>
          </w:p>
        </w:tc>
        <w:tc>
          <w:tcPr>
            <w:tcW w:w="2338" w:type="dxa"/>
            <w:tcBorders>
              <w:top w:val="nil"/>
              <w:left w:val="nil"/>
              <w:bottom w:val="nil"/>
            </w:tcBorders>
          </w:tcPr>
          <w:p w:rsidR="001A0D9A" w:rsidRDefault="003441D0" w:rsidP="00747A14">
            <w:r w:rsidRPr="003441D0">
              <w:t>-2.194</w:t>
            </w:r>
            <w:r>
              <w:t>**</w:t>
            </w:r>
          </w:p>
        </w:tc>
      </w:tr>
      <w:tr w:rsidR="001A0D9A" w:rsidTr="00747A14">
        <w:tc>
          <w:tcPr>
            <w:tcW w:w="2337" w:type="dxa"/>
            <w:tcBorders>
              <w:top w:val="nil"/>
              <w:right w:val="nil"/>
            </w:tcBorders>
          </w:tcPr>
          <w:p w:rsidR="001A0D9A" w:rsidRDefault="003441D0" w:rsidP="00747A14">
            <w:r>
              <w:t>1/92-12/96</w:t>
            </w:r>
          </w:p>
        </w:tc>
        <w:tc>
          <w:tcPr>
            <w:tcW w:w="2337" w:type="dxa"/>
            <w:tcBorders>
              <w:top w:val="nil"/>
              <w:left w:val="nil"/>
              <w:right w:val="nil"/>
            </w:tcBorders>
          </w:tcPr>
          <w:p w:rsidR="001A0D9A" w:rsidRDefault="000D783A" w:rsidP="00747A14">
            <w:r w:rsidRPr="000D783A">
              <w:t>-1.768</w:t>
            </w:r>
            <w:r>
              <w:t>***</w:t>
            </w:r>
          </w:p>
        </w:tc>
        <w:tc>
          <w:tcPr>
            <w:tcW w:w="2338" w:type="dxa"/>
            <w:tcBorders>
              <w:top w:val="nil"/>
              <w:left w:val="nil"/>
              <w:right w:val="nil"/>
            </w:tcBorders>
          </w:tcPr>
          <w:p w:rsidR="001A0D9A" w:rsidRDefault="000D783A" w:rsidP="00747A14">
            <w:r w:rsidRPr="000D783A">
              <w:t>-2.005</w:t>
            </w:r>
            <w:r>
              <w:t>**</w:t>
            </w:r>
          </w:p>
        </w:tc>
        <w:tc>
          <w:tcPr>
            <w:tcW w:w="2338" w:type="dxa"/>
            <w:tcBorders>
              <w:top w:val="nil"/>
              <w:left w:val="nil"/>
            </w:tcBorders>
          </w:tcPr>
          <w:p w:rsidR="001A0D9A" w:rsidRDefault="000D783A" w:rsidP="00747A14">
            <w:r w:rsidRPr="000D783A">
              <w:t>-0.9941</w:t>
            </w:r>
          </w:p>
        </w:tc>
      </w:tr>
      <w:tr w:rsidR="000D783A" w:rsidTr="005778CC">
        <w:tc>
          <w:tcPr>
            <w:tcW w:w="9350" w:type="dxa"/>
            <w:gridSpan w:val="4"/>
          </w:tcPr>
          <w:p w:rsidR="000D783A" w:rsidRPr="00747A14" w:rsidRDefault="000D783A" w:rsidP="00747A14">
            <w:pPr>
              <w:rPr>
                <w:b/>
              </w:rPr>
            </w:pPr>
            <w:r w:rsidRPr="00747A14">
              <w:rPr>
                <w:b/>
              </w:rPr>
              <w:t>Panel B: Error-Correction Models</w:t>
            </w:r>
          </w:p>
        </w:tc>
      </w:tr>
      <w:tr w:rsidR="000D783A" w:rsidTr="005778CC">
        <w:tc>
          <w:tcPr>
            <w:tcW w:w="9350" w:type="dxa"/>
            <w:gridSpan w:val="4"/>
          </w:tcPr>
          <w:p w:rsidR="000D783A" w:rsidRDefault="000D783A" w:rsidP="00747A14">
            <w:r>
              <w:t>Full Sample: 01/1972 to 12/1996</w:t>
            </w:r>
          </w:p>
        </w:tc>
      </w:tr>
      <w:tr w:rsidR="000D783A" w:rsidTr="005778CC">
        <w:tc>
          <w:tcPr>
            <w:tcW w:w="9350" w:type="dxa"/>
            <w:gridSpan w:val="4"/>
          </w:tcPr>
          <w:p w:rsidR="000D783A" w:rsidRDefault="000D783A" w:rsidP="00747A14">
            <w:pPr>
              <w:pStyle w:val="ListParagraph"/>
              <w:numPr>
                <w:ilvl w:val="0"/>
                <w:numId w:val="2"/>
              </w:numPr>
            </w:pPr>
            <w:r>
              <w:rPr>
                <w:rFonts w:cstheme="minorHAnsi"/>
              </w:rPr>
              <w:t>Δ</w:t>
            </w:r>
            <w:r>
              <w:t>Y</w:t>
            </w:r>
            <w:r>
              <w:rPr>
                <w:vertAlign w:val="subscript"/>
              </w:rPr>
              <w:t>1t</w:t>
            </w:r>
            <w:r>
              <w:t xml:space="preserve"> = </w:t>
            </w:r>
            <w:r w:rsidRPr="000D783A">
              <w:t>-0.00</w:t>
            </w:r>
            <w:r>
              <w:t>2</w:t>
            </w:r>
            <w:r w:rsidRPr="000D783A">
              <w:t xml:space="preserve"> </w:t>
            </w:r>
            <w:r>
              <w:t>(</w:t>
            </w:r>
            <w:r w:rsidRPr="000D783A">
              <w:t>-0.21</w:t>
            </w:r>
            <w:r>
              <w:t xml:space="preserve">) + </w:t>
            </w:r>
            <w:r w:rsidRPr="000D783A">
              <w:t>0.078</w:t>
            </w:r>
            <w:r>
              <w:rPr>
                <w:rFonts w:cstheme="minorHAnsi"/>
              </w:rPr>
              <w:t>Δ</w:t>
            </w:r>
            <w:r>
              <w:t>Y</w:t>
            </w:r>
            <w:r>
              <w:rPr>
                <w:vertAlign w:val="subscript"/>
              </w:rPr>
              <w:t xml:space="preserve">1t-1 </w:t>
            </w:r>
            <w:r>
              <w:t>(</w:t>
            </w:r>
            <w:r w:rsidRPr="000D783A">
              <w:t>1.32</w:t>
            </w:r>
            <w:r>
              <w:t xml:space="preserve">) </w:t>
            </w:r>
            <w:r w:rsidRPr="000D783A">
              <w:t>-1.549</w:t>
            </w:r>
            <w:r>
              <w:rPr>
                <w:rFonts w:cstheme="minorHAnsi"/>
              </w:rPr>
              <w:t>Δ</w:t>
            </w:r>
            <w:r>
              <w:t>Y</w:t>
            </w:r>
            <w:r>
              <w:rPr>
                <w:vertAlign w:val="subscript"/>
              </w:rPr>
              <w:t xml:space="preserve">4t-1 </w:t>
            </w:r>
            <w:r>
              <w:t>(</w:t>
            </w:r>
            <w:r w:rsidRPr="000D783A">
              <w:t>-1.55</w:t>
            </w:r>
            <w:r>
              <w:t>) -0.014E</w:t>
            </w:r>
            <w:r>
              <w:rPr>
                <w:vertAlign w:val="subscript"/>
              </w:rPr>
              <w:t xml:space="preserve">14 </w:t>
            </w:r>
            <w:r>
              <w:t>(</w:t>
            </w:r>
            <w:r w:rsidRPr="000D783A">
              <w:t>-1.65</w:t>
            </w:r>
            <w:r>
              <w:t>)</w:t>
            </w:r>
            <w:r w:rsidRPr="00936D3D">
              <w:t>*</w:t>
            </w:r>
            <w:r>
              <w:t>**</w:t>
            </w:r>
          </w:p>
          <w:p w:rsidR="000D783A" w:rsidRDefault="000D783A" w:rsidP="00747A14">
            <w:pPr>
              <w:pStyle w:val="ListParagraph"/>
              <w:numPr>
                <w:ilvl w:val="0"/>
                <w:numId w:val="2"/>
              </w:numPr>
            </w:pPr>
            <w:r>
              <w:rPr>
                <w:rFonts w:cstheme="minorHAnsi"/>
              </w:rPr>
              <w:lastRenderedPageBreak/>
              <w:t>Δ</w:t>
            </w:r>
            <w:r>
              <w:t>Y</w:t>
            </w:r>
            <w:r>
              <w:rPr>
                <w:vertAlign w:val="subscript"/>
              </w:rPr>
              <w:t>4t</w:t>
            </w:r>
            <w:r>
              <w:t xml:space="preserve"> = </w:t>
            </w:r>
            <w:r w:rsidRPr="000D783A">
              <w:t xml:space="preserve">-0.0002 </w:t>
            </w:r>
            <w:r>
              <w:t>(</w:t>
            </w:r>
            <w:r w:rsidRPr="000D783A">
              <w:t>-0.54</w:t>
            </w:r>
            <w:r>
              <w:t xml:space="preserve">) + </w:t>
            </w:r>
            <w:r w:rsidRPr="000D783A">
              <w:t>-0.001</w:t>
            </w:r>
            <w:r>
              <w:rPr>
                <w:rFonts w:cstheme="minorHAnsi"/>
              </w:rPr>
              <w:t>Δ</w:t>
            </w:r>
            <w:r>
              <w:t>Y</w:t>
            </w:r>
            <w:r>
              <w:rPr>
                <w:vertAlign w:val="subscript"/>
              </w:rPr>
              <w:t xml:space="preserve">1t-1 </w:t>
            </w:r>
            <w:r>
              <w:t>(</w:t>
            </w:r>
            <w:r w:rsidRPr="000D783A">
              <w:t>-0.64</w:t>
            </w:r>
            <w:r>
              <w:t xml:space="preserve">) + </w:t>
            </w:r>
            <w:r w:rsidR="008177C5" w:rsidRPr="008177C5">
              <w:t>0.528</w:t>
            </w:r>
            <w:r>
              <w:rPr>
                <w:rFonts w:cstheme="minorHAnsi"/>
              </w:rPr>
              <w:t>Δ</w:t>
            </w:r>
            <w:r>
              <w:t>Y</w:t>
            </w:r>
            <w:r>
              <w:rPr>
                <w:vertAlign w:val="subscript"/>
              </w:rPr>
              <w:t xml:space="preserve">4t-1 </w:t>
            </w:r>
            <w:r>
              <w:t>(</w:t>
            </w:r>
            <w:r w:rsidR="008177C5" w:rsidRPr="008177C5">
              <w:t>10.22</w:t>
            </w:r>
            <w:r>
              <w:t>)</w:t>
            </w:r>
            <w:r w:rsidRPr="00936D3D">
              <w:t>*</w:t>
            </w:r>
            <w:r>
              <w:t xml:space="preserve"> </w:t>
            </w:r>
            <w:r w:rsidR="008177C5" w:rsidRPr="008177C5">
              <w:t>-0.002</w:t>
            </w:r>
            <w:r>
              <w:t>E</w:t>
            </w:r>
            <w:r>
              <w:rPr>
                <w:vertAlign w:val="subscript"/>
              </w:rPr>
              <w:t xml:space="preserve">41 </w:t>
            </w:r>
            <w:r w:rsidRPr="001149AE">
              <w:t>(</w:t>
            </w:r>
            <w:r w:rsidR="008177C5" w:rsidRPr="008177C5">
              <w:t>-4.66</w:t>
            </w:r>
            <w:r>
              <w:t>)</w:t>
            </w:r>
            <w:r w:rsidR="008177C5">
              <w:t>*</w:t>
            </w:r>
          </w:p>
          <w:p w:rsidR="000D783A" w:rsidRDefault="008177C5" w:rsidP="00747A14">
            <w:pPr>
              <w:pStyle w:val="ListParagraph"/>
              <w:numPr>
                <w:ilvl w:val="0"/>
                <w:numId w:val="2"/>
              </w:numPr>
            </w:pPr>
            <w:r>
              <w:rPr>
                <w:rFonts w:cstheme="minorHAnsi"/>
              </w:rPr>
              <w:t>Δ</w:t>
            </w:r>
            <w:r>
              <w:t>Y</w:t>
            </w:r>
            <w:r>
              <w:rPr>
                <w:vertAlign w:val="subscript"/>
              </w:rPr>
              <w:t>2t</w:t>
            </w:r>
            <w:r>
              <w:t xml:space="preserve"> = </w:t>
            </w:r>
            <w:r w:rsidRPr="008177C5">
              <w:t xml:space="preserve">0.006 </w:t>
            </w:r>
            <w:r>
              <w:t>(</w:t>
            </w:r>
            <w:r w:rsidRPr="008177C5">
              <w:t>1.25</w:t>
            </w:r>
            <w:r>
              <w:t xml:space="preserve">) + </w:t>
            </w:r>
            <w:r w:rsidRPr="008177C5">
              <w:t>0.113</w:t>
            </w:r>
            <w:r>
              <w:rPr>
                <w:rFonts w:cstheme="minorHAnsi"/>
              </w:rPr>
              <w:t>Δ</w:t>
            </w:r>
            <w:r>
              <w:t>Y</w:t>
            </w:r>
            <w:r>
              <w:rPr>
                <w:vertAlign w:val="subscript"/>
              </w:rPr>
              <w:t xml:space="preserve">2t-1 </w:t>
            </w:r>
            <w:r>
              <w:t>(</w:t>
            </w:r>
            <w:r w:rsidRPr="008177C5">
              <w:t>1.93</w:t>
            </w:r>
            <w:r>
              <w:t>)*** -1.464</w:t>
            </w:r>
            <w:r>
              <w:rPr>
                <w:rFonts w:cstheme="minorHAnsi"/>
              </w:rPr>
              <w:t>Δ</w:t>
            </w:r>
            <w:r>
              <w:t>Y</w:t>
            </w:r>
            <w:r>
              <w:rPr>
                <w:vertAlign w:val="subscript"/>
              </w:rPr>
              <w:t xml:space="preserve">4t-1 </w:t>
            </w:r>
            <w:r>
              <w:t>(</w:t>
            </w:r>
            <w:r w:rsidRPr="008177C5">
              <w:t>-1.73</w:t>
            </w:r>
            <w:r>
              <w:t xml:space="preserve">)*** </w:t>
            </w:r>
            <w:r w:rsidRPr="008177C5">
              <w:t>-0.015</w:t>
            </w:r>
            <w:r>
              <w:t>E</w:t>
            </w:r>
            <w:r>
              <w:rPr>
                <w:vertAlign w:val="subscript"/>
              </w:rPr>
              <w:t xml:space="preserve">24 </w:t>
            </w:r>
            <w:r>
              <w:t>(</w:t>
            </w:r>
            <w:r w:rsidRPr="008177C5">
              <w:t>-1.86</w:t>
            </w:r>
            <w:r>
              <w:t>)</w:t>
            </w:r>
            <w:r w:rsidRPr="00936D3D">
              <w:t>*</w:t>
            </w:r>
            <w:r>
              <w:t>**</w:t>
            </w:r>
          </w:p>
          <w:p w:rsidR="008177C5" w:rsidRDefault="008177C5" w:rsidP="00747A14">
            <w:pPr>
              <w:pStyle w:val="ListParagraph"/>
              <w:numPr>
                <w:ilvl w:val="0"/>
                <w:numId w:val="2"/>
              </w:numPr>
            </w:pPr>
            <w:r>
              <w:rPr>
                <w:rFonts w:cstheme="minorHAnsi"/>
              </w:rPr>
              <w:t>Δ</w:t>
            </w:r>
            <w:r>
              <w:t>Y</w:t>
            </w:r>
            <w:r>
              <w:rPr>
                <w:vertAlign w:val="subscript"/>
              </w:rPr>
              <w:t>4t</w:t>
            </w:r>
            <w:r>
              <w:t xml:space="preserve"> = </w:t>
            </w:r>
            <w:r w:rsidRPr="00FD47FE">
              <w:t>0.0</w:t>
            </w:r>
            <w:r>
              <w:t>01</w:t>
            </w:r>
            <w:r w:rsidRPr="00FD47FE">
              <w:t xml:space="preserve"> </w:t>
            </w:r>
            <w:r>
              <w:t>(</w:t>
            </w:r>
            <w:r w:rsidRPr="008177C5">
              <w:t>2.16</w:t>
            </w:r>
            <w:r>
              <w:t>)** + 0.001</w:t>
            </w:r>
            <w:r>
              <w:rPr>
                <w:rFonts w:cstheme="minorHAnsi"/>
              </w:rPr>
              <w:t>Δ</w:t>
            </w:r>
            <w:r>
              <w:t>Y</w:t>
            </w:r>
            <w:r>
              <w:rPr>
                <w:vertAlign w:val="subscript"/>
              </w:rPr>
              <w:t xml:space="preserve">2t-1 </w:t>
            </w:r>
            <w:r>
              <w:t>(</w:t>
            </w:r>
            <w:r w:rsidRPr="008177C5">
              <w:t>0.00</w:t>
            </w:r>
            <w:r>
              <w:t xml:space="preserve">) + </w:t>
            </w:r>
            <w:r w:rsidRPr="00D70C64">
              <w:t>.</w:t>
            </w:r>
            <w:r>
              <w:t>005</w:t>
            </w:r>
            <w:r>
              <w:rPr>
                <w:rFonts w:cstheme="minorHAnsi"/>
              </w:rPr>
              <w:t>Δ</w:t>
            </w:r>
            <w:r>
              <w:t>Y</w:t>
            </w:r>
            <w:r>
              <w:rPr>
                <w:vertAlign w:val="subscript"/>
              </w:rPr>
              <w:t xml:space="preserve">4t-1 </w:t>
            </w:r>
            <w:r>
              <w:t>(</w:t>
            </w:r>
            <w:r w:rsidRPr="008177C5">
              <w:t>10.84</w:t>
            </w:r>
            <w:r>
              <w:t xml:space="preserve">)* + </w:t>
            </w:r>
            <w:r w:rsidRPr="00FD47FE">
              <w:t>0.002</w:t>
            </w:r>
            <w:r>
              <w:t>E</w:t>
            </w:r>
            <w:r>
              <w:rPr>
                <w:vertAlign w:val="subscript"/>
              </w:rPr>
              <w:t xml:space="preserve">42 </w:t>
            </w:r>
            <w:r>
              <w:t>(</w:t>
            </w:r>
            <w:r w:rsidRPr="008177C5">
              <w:t>-4.30</w:t>
            </w:r>
            <w:r>
              <w:t>)*</w:t>
            </w:r>
          </w:p>
          <w:p w:rsidR="008177C5" w:rsidRDefault="008177C5" w:rsidP="00747A14">
            <w:pPr>
              <w:pStyle w:val="ListParagraph"/>
              <w:numPr>
                <w:ilvl w:val="0"/>
                <w:numId w:val="2"/>
              </w:numPr>
            </w:pPr>
            <w:r>
              <w:rPr>
                <w:rFonts w:cstheme="minorHAnsi"/>
              </w:rPr>
              <w:t>Δ</w:t>
            </w:r>
            <w:r>
              <w:t>Y</w:t>
            </w:r>
            <w:r>
              <w:rPr>
                <w:vertAlign w:val="subscript"/>
              </w:rPr>
              <w:t>3t</w:t>
            </w:r>
            <w:r>
              <w:t xml:space="preserve"> = </w:t>
            </w:r>
            <w:r w:rsidRPr="008177C5">
              <w:t xml:space="preserve">0.007 </w:t>
            </w:r>
            <w:r>
              <w:t>(</w:t>
            </w:r>
            <w:r w:rsidRPr="008177C5">
              <w:t>1.18</w:t>
            </w:r>
            <w:r>
              <w:t>) + 0.048</w:t>
            </w:r>
            <w:r>
              <w:rPr>
                <w:rFonts w:cstheme="minorHAnsi"/>
              </w:rPr>
              <w:t>Δ</w:t>
            </w:r>
            <w:r>
              <w:t>Y</w:t>
            </w:r>
            <w:r>
              <w:rPr>
                <w:vertAlign w:val="subscript"/>
              </w:rPr>
              <w:t xml:space="preserve">3t-1 </w:t>
            </w:r>
            <w:r>
              <w:t>(</w:t>
            </w:r>
            <w:r w:rsidRPr="008177C5">
              <w:t>0.81</w:t>
            </w:r>
            <w:r w:rsidR="0040663A">
              <w:t>)</w:t>
            </w:r>
            <w:r>
              <w:t xml:space="preserve"> </w:t>
            </w:r>
            <w:r w:rsidRPr="008177C5">
              <w:t>-1.768</w:t>
            </w:r>
            <w:r>
              <w:rPr>
                <w:rFonts w:cstheme="minorHAnsi"/>
              </w:rPr>
              <w:t>Δ</w:t>
            </w:r>
            <w:r>
              <w:t>Y</w:t>
            </w:r>
            <w:r>
              <w:rPr>
                <w:vertAlign w:val="subscript"/>
              </w:rPr>
              <w:t xml:space="preserve">4t-1 </w:t>
            </w:r>
            <w:r>
              <w:t>(</w:t>
            </w:r>
            <w:r w:rsidRPr="008177C5">
              <w:t>-1.49</w:t>
            </w:r>
            <w:r>
              <w:t xml:space="preserve">) </w:t>
            </w:r>
            <w:r w:rsidR="007E44C3">
              <w:t>-0.009</w:t>
            </w:r>
            <w:r>
              <w:t>E</w:t>
            </w:r>
            <w:r>
              <w:rPr>
                <w:vertAlign w:val="subscript"/>
              </w:rPr>
              <w:t xml:space="preserve">34 </w:t>
            </w:r>
            <w:r>
              <w:t>(</w:t>
            </w:r>
            <w:r w:rsidR="007E44C3" w:rsidRPr="007E44C3">
              <w:t>-1.06</w:t>
            </w:r>
            <w:r>
              <w:t>)</w:t>
            </w:r>
          </w:p>
          <w:p w:rsidR="000D783A" w:rsidRDefault="007E44C3" w:rsidP="00747A14">
            <w:pPr>
              <w:pStyle w:val="ListParagraph"/>
              <w:numPr>
                <w:ilvl w:val="0"/>
                <w:numId w:val="2"/>
              </w:numPr>
            </w:pPr>
            <w:r>
              <w:rPr>
                <w:rFonts w:cstheme="minorHAnsi"/>
              </w:rPr>
              <w:t>Δ</w:t>
            </w:r>
            <w:r>
              <w:t>Y</w:t>
            </w:r>
            <w:r>
              <w:rPr>
                <w:vertAlign w:val="subscript"/>
              </w:rPr>
              <w:t>4t</w:t>
            </w:r>
            <w:r>
              <w:t xml:space="preserve"> = </w:t>
            </w:r>
            <w:r w:rsidRPr="007E44C3">
              <w:t xml:space="preserve">0.001 </w:t>
            </w:r>
            <w:r>
              <w:t>(</w:t>
            </w:r>
            <w:r w:rsidRPr="007E44C3">
              <w:t>3.91</w:t>
            </w:r>
            <w:r>
              <w:t>)* -0.003</w:t>
            </w:r>
            <w:r>
              <w:rPr>
                <w:rFonts w:cstheme="minorHAnsi"/>
              </w:rPr>
              <w:t>Δ</w:t>
            </w:r>
            <w:r>
              <w:t>Y</w:t>
            </w:r>
            <w:r>
              <w:rPr>
                <w:vertAlign w:val="subscript"/>
              </w:rPr>
              <w:t xml:space="preserve">3t-1 </w:t>
            </w:r>
            <w:r>
              <w:t>(</w:t>
            </w:r>
            <w:r w:rsidRPr="007E44C3">
              <w:t>-1.10</w:t>
            </w:r>
            <w:r>
              <w:t xml:space="preserve">) + </w:t>
            </w:r>
            <w:r w:rsidRPr="007E44C3">
              <w:t>0.517</w:t>
            </w:r>
            <w:r>
              <w:rPr>
                <w:rFonts w:cstheme="minorHAnsi"/>
              </w:rPr>
              <w:t>Δ</w:t>
            </w:r>
            <w:r>
              <w:t>Y</w:t>
            </w:r>
            <w:r>
              <w:rPr>
                <w:vertAlign w:val="subscript"/>
              </w:rPr>
              <w:t xml:space="preserve">4t-1 </w:t>
            </w:r>
            <w:r>
              <w:t>(</w:t>
            </w:r>
            <w:r w:rsidRPr="007E44C3">
              <w:t>10.08</w:t>
            </w:r>
            <w:r>
              <w:t>)</w:t>
            </w:r>
            <w:r w:rsidRPr="00936D3D">
              <w:t>*</w:t>
            </w:r>
            <w:r>
              <w:t xml:space="preserve"> -0.002E</w:t>
            </w:r>
            <w:r>
              <w:rPr>
                <w:vertAlign w:val="subscript"/>
              </w:rPr>
              <w:t xml:space="preserve">43 </w:t>
            </w:r>
            <w:r>
              <w:t>(</w:t>
            </w:r>
            <w:r w:rsidRPr="007E44C3">
              <w:t>-4.91</w:t>
            </w:r>
            <w:r>
              <w:t>)*</w:t>
            </w:r>
          </w:p>
        </w:tc>
      </w:tr>
      <w:tr w:rsidR="007E44C3" w:rsidTr="005778CC">
        <w:tc>
          <w:tcPr>
            <w:tcW w:w="9350" w:type="dxa"/>
            <w:gridSpan w:val="4"/>
          </w:tcPr>
          <w:p w:rsidR="007E44C3" w:rsidRDefault="007E44C3" w:rsidP="00747A14">
            <w:r>
              <w:lastRenderedPageBreak/>
              <w:t xml:space="preserve">First </w:t>
            </w:r>
            <w:proofErr w:type="spellStart"/>
            <w:r>
              <w:t>Subperiod</w:t>
            </w:r>
            <w:proofErr w:type="spellEnd"/>
            <w:r>
              <w:t>: 01/1972 to 12/1991</w:t>
            </w:r>
          </w:p>
        </w:tc>
      </w:tr>
      <w:tr w:rsidR="00747A14" w:rsidTr="005778CC">
        <w:tc>
          <w:tcPr>
            <w:tcW w:w="9350" w:type="dxa"/>
            <w:gridSpan w:val="4"/>
          </w:tcPr>
          <w:p w:rsidR="00747A14" w:rsidRDefault="00747A14" w:rsidP="00747A14">
            <w:pPr>
              <w:pStyle w:val="ListParagraph"/>
              <w:numPr>
                <w:ilvl w:val="0"/>
                <w:numId w:val="3"/>
              </w:numPr>
            </w:pPr>
            <w:r>
              <w:rPr>
                <w:rFonts w:cstheme="minorHAnsi"/>
              </w:rPr>
              <w:t>Δ</w:t>
            </w:r>
            <w:r>
              <w:t>Y</w:t>
            </w:r>
            <w:r>
              <w:rPr>
                <w:vertAlign w:val="subscript"/>
              </w:rPr>
              <w:t>1t</w:t>
            </w:r>
            <w:r>
              <w:t xml:space="preserve"> = </w:t>
            </w:r>
            <w:r w:rsidRPr="001E0F33">
              <w:t xml:space="preserve">-0.178 </w:t>
            </w:r>
            <w:r>
              <w:t>(</w:t>
            </w:r>
            <w:r w:rsidRPr="001E0F33">
              <w:t>-2.42</w:t>
            </w:r>
            <w:r>
              <w:t>)** + 0.062</w:t>
            </w:r>
            <w:r>
              <w:rPr>
                <w:rFonts w:cstheme="minorHAnsi"/>
              </w:rPr>
              <w:t>Δ</w:t>
            </w:r>
            <w:r>
              <w:t>Y</w:t>
            </w:r>
            <w:r>
              <w:rPr>
                <w:vertAlign w:val="subscript"/>
              </w:rPr>
              <w:t xml:space="preserve">1t-1 </w:t>
            </w:r>
            <w:r>
              <w:t>(</w:t>
            </w:r>
            <w:r w:rsidRPr="001E0F33">
              <w:t>0.95</w:t>
            </w:r>
            <w:r>
              <w:t>) - 2.037</w:t>
            </w:r>
            <w:r>
              <w:rPr>
                <w:rFonts w:cstheme="minorHAnsi"/>
              </w:rPr>
              <w:t>Δ</w:t>
            </w:r>
            <w:r>
              <w:t>Y</w:t>
            </w:r>
            <w:r>
              <w:rPr>
                <w:vertAlign w:val="subscript"/>
              </w:rPr>
              <w:t xml:space="preserve">4t-1 </w:t>
            </w:r>
            <w:r>
              <w:t>(</w:t>
            </w:r>
            <w:r w:rsidRPr="001E0F33">
              <w:t>-1.91</w:t>
            </w:r>
            <w:r>
              <w:t>)*** -0.032E</w:t>
            </w:r>
            <w:r>
              <w:rPr>
                <w:vertAlign w:val="subscript"/>
              </w:rPr>
              <w:t xml:space="preserve">14 </w:t>
            </w:r>
            <w:r>
              <w:t>(</w:t>
            </w:r>
            <w:r w:rsidRPr="001E0F33">
              <w:t>-2.95</w:t>
            </w:r>
            <w:r>
              <w:t>)</w:t>
            </w:r>
            <w:r w:rsidRPr="00936D3D">
              <w:t>*</w:t>
            </w:r>
          </w:p>
          <w:p w:rsidR="00747A14" w:rsidRDefault="00747A14" w:rsidP="00747A14">
            <w:pPr>
              <w:pStyle w:val="ListParagraph"/>
              <w:numPr>
                <w:ilvl w:val="0"/>
                <w:numId w:val="3"/>
              </w:numPr>
            </w:pPr>
            <w:r>
              <w:rPr>
                <w:rFonts w:cstheme="minorHAnsi"/>
              </w:rPr>
              <w:t>Δ</w:t>
            </w:r>
            <w:r>
              <w:t>Y</w:t>
            </w:r>
            <w:r>
              <w:rPr>
                <w:vertAlign w:val="subscript"/>
              </w:rPr>
              <w:t>4t</w:t>
            </w:r>
            <w:r>
              <w:t xml:space="preserve"> = </w:t>
            </w:r>
            <w:r w:rsidRPr="001E0F33">
              <w:t xml:space="preserve">-0.008 </w:t>
            </w:r>
            <w:r>
              <w:t>(</w:t>
            </w:r>
            <w:r w:rsidRPr="000D783A">
              <w:t>-0.54</w:t>
            </w:r>
            <w:r>
              <w:t xml:space="preserve">) </w:t>
            </w:r>
            <w:r w:rsidRPr="001E0F33">
              <w:t>-0.003</w:t>
            </w:r>
            <w:r>
              <w:rPr>
                <w:rFonts w:cstheme="minorHAnsi"/>
              </w:rPr>
              <w:t>Δ</w:t>
            </w:r>
            <w:r>
              <w:t>Y</w:t>
            </w:r>
            <w:r>
              <w:rPr>
                <w:vertAlign w:val="subscript"/>
              </w:rPr>
              <w:t xml:space="preserve">1t-1 </w:t>
            </w:r>
            <w:r>
              <w:t>(</w:t>
            </w:r>
            <w:r w:rsidRPr="001E0F33">
              <w:t>-0.91</w:t>
            </w:r>
            <w:r>
              <w:t>) + 0.552</w:t>
            </w:r>
            <w:r>
              <w:rPr>
                <w:rFonts w:cstheme="minorHAnsi"/>
              </w:rPr>
              <w:t>Δ</w:t>
            </w:r>
            <w:r>
              <w:t>Y</w:t>
            </w:r>
            <w:r>
              <w:rPr>
                <w:vertAlign w:val="subscript"/>
              </w:rPr>
              <w:t xml:space="preserve">4t-1 </w:t>
            </w:r>
            <w:r>
              <w:t>(</w:t>
            </w:r>
            <w:r w:rsidRPr="001E0F33">
              <w:t>9.63</w:t>
            </w:r>
            <w:r>
              <w:t>)</w:t>
            </w:r>
            <w:r w:rsidRPr="00936D3D">
              <w:t>*</w:t>
            </w:r>
            <w:r>
              <w:t xml:space="preserve"> </w:t>
            </w:r>
            <w:r w:rsidRPr="001E0F33">
              <w:t>-</w:t>
            </w:r>
            <w:r>
              <w:t xml:space="preserve"> </w:t>
            </w:r>
            <w:r w:rsidRPr="001E0F33">
              <w:t>0.001</w:t>
            </w:r>
            <w:r>
              <w:t>E</w:t>
            </w:r>
            <w:r>
              <w:rPr>
                <w:vertAlign w:val="subscript"/>
              </w:rPr>
              <w:t xml:space="preserve">41 </w:t>
            </w:r>
            <w:r w:rsidRPr="001149AE">
              <w:t>(</w:t>
            </w:r>
            <w:r w:rsidRPr="001E0F33">
              <w:t>-2.98</w:t>
            </w:r>
            <w:r>
              <w:t>)*</w:t>
            </w:r>
          </w:p>
          <w:p w:rsidR="00747A14" w:rsidRDefault="00747A14" w:rsidP="00747A14">
            <w:pPr>
              <w:pStyle w:val="ListParagraph"/>
              <w:numPr>
                <w:ilvl w:val="0"/>
                <w:numId w:val="3"/>
              </w:numPr>
            </w:pPr>
            <w:r>
              <w:rPr>
                <w:rFonts w:cstheme="minorHAnsi"/>
              </w:rPr>
              <w:t>Δ</w:t>
            </w:r>
            <w:r>
              <w:t>Y</w:t>
            </w:r>
            <w:r>
              <w:rPr>
                <w:vertAlign w:val="subscript"/>
              </w:rPr>
              <w:t>2t</w:t>
            </w:r>
            <w:r>
              <w:t xml:space="preserve"> = </w:t>
            </w:r>
            <w:r w:rsidRPr="0040663A">
              <w:t xml:space="preserve">-0.08 </w:t>
            </w:r>
            <w:r>
              <w:t>(</w:t>
            </w:r>
            <w:r w:rsidRPr="0040663A">
              <w:t>-2.40</w:t>
            </w:r>
            <w:r>
              <w:t>)** + 0.111</w:t>
            </w:r>
            <w:r>
              <w:rPr>
                <w:rFonts w:cstheme="minorHAnsi"/>
              </w:rPr>
              <w:t>Δ</w:t>
            </w:r>
            <w:r>
              <w:t>Y</w:t>
            </w:r>
            <w:r>
              <w:rPr>
                <w:vertAlign w:val="subscript"/>
              </w:rPr>
              <w:t xml:space="preserve">2t-1 </w:t>
            </w:r>
            <w:r>
              <w:t>(</w:t>
            </w:r>
            <w:r w:rsidRPr="0040663A">
              <w:t>1.70</w:t>
            </w:r>
            <w:r>
              <w:t xml:space="preserve">)*** </w:t>
            </w:r>
            <w:r w:rsidRPr="0040663A">
              <w:t>-1.726</w:t>
            </w:r>
            <w:r>
              <w:rPr>
                <w:rFonts w:cstheme="minorHAnsi"/>
              </w:rPr>
              <w:t>Δ</w:t>
            </w:r>
            <w:r>
              <w:t>Y</w:t>
            </w:r>
            <w:r>
              <w:rPr>
                <w:vertAlign w:val="subscript"/>
              </w:rPr>
              <w:t xml:space="preserve">4t-1 </w:t>
            </w:r>
            <w:r>
              <w:t>(</w:t>
            </w:r>
            <w:r w:rsidRPr="0040663A">
              <w:t>-1.95</w:t>
            </w:r>
            <w:r>
              <w:t xml:space="preserve">)*** </w:t>
            </w:r>
            <w:r w:rsidRPr="0040663A">
              <w:t>-0.031</w:t>
            </w:r>
            <w:r>
              <w:t>E</w:t>
            </w:r>
            <w:r>
              <w:rPr>
                <w:vertAlign w:val="subscript"/>
              </w:rPr>
              <w:t xml:space="preserve">24 </w:t>
            </w:r>
            <w:r>
              <w:t>(</w:t>
            </w:r>
            <w:r w:rsidRPr="0040663A">
              <w:t>-2.80</w:t>
            </w:r>
            <w:r>
              <w:t>)</w:t>
            </w:r>
            <w:r w:rsidRPr="00936D3D">
              <w:t>*</w:t>
            </w:r>
          </w:p>
          <w:p w:rsidR="00747A14" w:rsidRDefault="00747A14" w:rsidP="00747A14">
            <w:pPr>
              <w:pStyle w:val="ListParagraph"/>
              <w:numPr>
                <w:ilvl w:val="0"/>
                <w:numId w:val="3"/>
              </w:numPr>
            </w:pPr>
            <w:r>
              <w:rPr>
                <w:rFonts w:cstheme="minorHAnsi"/>
              </w:rPr>
              <w:t>Δ</w:t>
            </w:r>
            <w:r>
              <w:t>Y</w:t>
            </w:r>
            <w:r>
              <w:rPr>
                <w:vertAlign w:val="subscript"/>
              </w:rPr>
              <w:t>4t</w:t>
            </w:r>
            <w:r>
              <w:t xml:space="preserve"> = </w:t>
            </w:r>
            <w:r w:rsidRPr="0040663A">
              <w:t xml:space="preserve">-0.003 </w:t>
            </w:r>
            <w:r>
              <w:t>(</w:t>
            </w:r>
            <w:r w:rsidRPr="0040663A">
              <w:t>-1.69</w:t>
            </w:r>
            <w:r>
              <w:t>)*** + 0.001</w:t>
            </w:r>
            <w:r>
              <w:rPr>
                <w:rFonts w:cstheme="minorHAnsi"/>
              </w:rPr>
              <w:t>Δ</w:t>
            </w:r>
            <w:r>
              <w:t>Y</w:t>
            </w:r>
            <w:r>
              <w:rPr>
                <w:vertAlign w:val="subscript"/>
              </w:rPr>
              <w:t xml:space="preserve">2t-1 </w:t>
            </w:r>
            <w:r>
              <w:t>(</w:t>
            </w:r>
            <w:r w:rsidRPr="0040663A">
              <w:t>-0.29</w:t>
            </w:r>
            <w:r>
              <w:t xml:space="preserve">) + </w:t>
            </w:r>
            <w:r w:rsidRPr="0040663A">
              <w:t>0.575</w:t>
            </w:r>
            <w:r>
              <w:rPr>
                <w:rFonts w:cstheme="minorHAnsi"/>
              </w:rPr>
              <w:t>Δ</w:t>
            </w:r>
            <w:r>
              <w:t>Y</w:t>
            </w:r>
            <w:r>
              <w:rPr>
                <w:vertAlign w:val="subscript"/>
              </w:rPr>
              <w:t xml:space="preserve">4t-1 </w:t>
            </w:r>
            <w:r>
              <w:t>(</w:t>
            </w:r>
            <w:r w:rsidRPr="0040663A">
              <w:t>10.24</w:t>
            </w:r>
            <w:r>
              <w:t>)* -0.002E</w:t>
            </w:r>
            <w:r>
              <w:rPr>
                <w:vertAlign w:val="subscript"/>
              </w:rPr>
              <w:t xml:space="preserve">42 </w:t>
            </w:r>
            <w:r>
              <w:t>(</w:t>
            </w:r>
            <w:r w:rsidRPr="0040663A">
              <w:t>-2.58</w:t>
            </w:r>
            <w:r>
              <w:t>)**</w:t>
            </w:r>
          </w:p>
          <w:p w:rsidR="00747A14" w:rsidRDefault="00747A14" w:rsidP="00747A14">
            <w:pPr>
              <w:pStyle w:val="ListParagraph"/>
              <w:numPr>
                <w:ilvl w:val="0"/>
                <w:numId w:val="3"/>
              </w:numPr>
            </w:pPr>
            <w:r>
              <w:rPr>
                <w:rFonts w:cstheme="minorHAnsi"/>
              </w:rPr>
              <w:t>Δ</w:t>
            </w:r>
            <w:r>
              <w:t>Y</w:t>
            </w:r>
            <w:r>
              <w:rPr>
                <w:vertAlign w:val="subscript"/>
              </w:rPr>
              <w:t>3t</w:t>
            </w:r>
            <w:r>
              <w:t xml:space="preserve"> = </w:t>
            </w:r>
            <w:r w:rsidRPr="0040663A">
              <w:t xml:space="preserve">-0.248 </w:t>
            </w:r>
            <w:r>
              <w:t>(</w:t>
            </w:r>
            <w:r w:rsidRPr="0040663A">
              <w:t>-3.06</w:t>
            </w:r>
            <w:r>
              <w:t xml:space="preserve">)* + </w:t>
            </w:r>
            <w:r w:rsidRPr="0040663A">
              <w:t>0.013</w:t>
            </w:r>
            <w:r>
              <w:rPr>
                <w:rFonts w:cstheme="minorHAnsi"/>
              </w:rPr>
              <w:t>Δ</w:t>
            </w:r>
            <w:r>
              <w:t>Y</w:t>
            </w:r>
            <w:r>
              <w:rPr>
                <w:vertAlign w:val="subscript"/>
              </w:rPr>
              <w:t xml:space="preserve">3t-1 </w:t>
            </w:r>
            <w:r>
              <w:t>(</w:t>
            </w:r>
            <w:r w:rsidRPr="0040663A">
              <w:t>0.21</w:t>
            </w:r>
            <w:r>
              <w:t>)  -2.868</w:t>
            </w:r>
            <w:r>
              <w:rPr>
                <w:rFonts w:cstheme="minorHAnsi"/>
              </w:rPr>
              <w:t>Δ</w:t>
            </w:r>
            <w:r>
              <w:t>Y</w:t>
            </w:r>
            <w:r>
              <w:rPr>
                <w:vertAlign w:val="subscript"/>
              </w:rPr>
              <w:t xml:space="preserve">4t-1 </w:t>
            </w:r>
            <w:r>
              <w:t>(</w:t>
            </w:r>
            <w:r w:rsidRPr="0040663A">
              <w:t>-2.26</w:t>
            </w:r>
            <w:r>
              <w:t xml:space="preserve">)** </w:t>
            </w:r>
            <w:r w:rsidRPr="0040663A">
              <w:t>-0.037</w:t>
            </w:r>
            <w:r>
              <w:t>E</w:t>
            </w:r>
            <w:r>
              <w:rPr>
                <w:vertAlign w:val="subscript"/>
              </w:rPr>
              <w:t xml:space="preserve">34 </w:t>
            </w:r>
            <w:r>
              <w:t>(-3.16)*</w:t>
            </w:r>
          </w:p>
          <w:p w:rsidR="00747A14" w:rsidRDefault="00747A14" w:rsidP="00747A14">
            <w:pPr>
              <w:pStyle w:val="ListParagraph"/>
              <w:numPr>
                <w:ilvl w:val="0"/>
                <w:numId w:val="3"/>
              </w:numPr>
            </w:pPr>
            <w:r>
              <w:rPr>
                <w:rFonts w:cstheme="minorHAnsi"/>
              </w:rPr>
              <w:t>Δ</w:t>
            </w:r>
            <w:r>
              <w:t>Y</w:t>
            </w:r>
            <w:r>
              <w:rPr>
                <w:vertAlign w:val="subscript"/>
              </w:rPr>
              <w:t>4t</w:t>
            </w:r>
            <w:r>
              <w:t xml:space="preserve"> = </w:t>
            </w:r>
            <w:r w:rsidRPr="0040663A">
              <w:t xml:space="preserve">-0.010 </w:t>
            </w:r>
            <w:r>
              <w:t>(-2.82)* -0.004</w:t>
            </w:r>
            <w:r>
              <w:rPr>
                <w:rFonts w:cstheme="minorHAnsi"/>
              </w:rPr>
              <w:t>Δ</w:t>
            </w:r>
            <w:r>
              <w:t>Y</w:t>
            </w:r>
            <w:r>
              <w:rPr>
                <w:vertAlign w:val="subscript"/>
              </w:rPr>
              <w:t xml:space="preserve">3t-1 </w:t>
            </w:r>
            <w:r>
              <w:t>(-1.45) + 0.533</w:t>
            </w:r>
            <w:r>
              <w:rPr>
                <w:rFonts w:cstheme="minorHAnsi"/>
              </w:rPr>
              <w:t>Δ</w:t>
            </w:r>
            <w:r>
              <w:t>Y</w:t>
            </w:r>
            <w:r>
              <w:rPr>
                <w:vertAlign w:val="subscript"/>
              </w:rPr>
              <w:t xml:space="preserve">4t-1 </w:t>
            </w:r>
            <w:r>
              <w:t>(9.22)</w:t>
            </w:r>
            <w:r w:rsidRPr="00936D3D">
              <w:t>*</w:t>
            </w:r>
            <w:r>
              <w:t xml:space="preserve"> -0.002E</w:t>
            </w:r>
            <w:r>
              <w:rPr>
                <w:vertAlign w:val="subscript"/>
              </w:rPr>
              <w:t xml:space="preserve">43 </w:t>
            </w:r>
            <w:r>
              <w:t>(</w:t>
            </w:r>
            <w:r w:rsidRPr="00AC0AE4">
              <w:t>-3.33</w:t>
            </w:r>
            <w:r>
              <w:t>)*</w:t>
            </w:r>
          </w:p>
          <w:p w:rsidR="00747A14" w:rsidRDefault="00747A14" w:rsidP="00747A14"/>
        </w:tc>
      </w:tr>
      <w:tr w:rsidR="001E0F33" w:rsidTr="005778CC">
        <w:tc>
          <w:tcPr>
            <w:tcW w:w="9350" w:type="dxa"/>
            <w:gridSpan w:val="4"/>
          </w:tcPr>
          <w:p w:rsidR="001E0F33" w:rsidRDefault="00AC0AE4" w:rsidP="00747A14">
            <w:r>
              <w:t xml:space="preserve">Second </w:t>
            </w:r>
            <w:proofErr w:type="spellStart"/>
            <w:r>
              <w:t>Subperiod</w:t>
            </w:r>
            <w:proofErr w:type="spellEnd"/>
            <w:r>
              <w:t>: 01/1992 to 12/1996</w:t>
            </w:r>
          </w:p>
        </w:tc>
      </w:tr>
      <w:tr w:rsidR="00AC0AE4" w:rsidTr="005778CC">
        <w:tc>
          <w:tcPr>
            <w:tcW w:w="9350" w:type="dxa"/>
            <w:gridSpan w:val="4"/>
          </w:tcPr>
          <w:p w:rsidR="00AC0AE4" w:rsidRDefault="00AC0AE4" w:rsidP="00747A14">
            <w:pPr>
              <w:pStyle w:val="ListParagraph"/>
              <w:numPr>
                <w:ilvl w:val="0"/>
                <w:numId w:val="4"/>
              </w:numPr>
            </w:pPr>
            <w:r>
              <w:rPr>
                <w:rFonts w:cstheme="minorHAnsi"/>
              </w:rPr>
              <w:t>Δ</w:t>
            </w:r>
            <w:r>
              <w:t>Y</w:t>
            </w:r>
            <w:r>
              <w:rPr>
                <w:vertAlign w:val="subscript"/>
              </w:rPr>
              <w:t>1t</w:t>
            </w:r>
            <w:r>
              <w:t xml:space="preserve"> = </w:t>
            </w:r>
            <w:r w:rsidRPr="00AC0AE4">
              <w:t xml:space="preserve">-45.537 </w:t>
            </w:r>
            <w:r>
              <w:t>(</w:t>
            </w:r>
            <w:r w:rsidRPr="00AC0AE4">
              <w:t>-2.58</w:t>
            </w:r>
            <w:r>
              <w:t>)** + 0.123</w:t>
            </w:r>
            <w:r>
              <w:rPr>
                <w:rFonts w:cstheme="minorHAnsi"/>
              </w:rPr>
              <w:t>Δ</w:t>
            </w:r>
            <w:r>
              <w:t>Y</w:t>
            </w:r>
            <w:r>
              <w:rPr>
                <w:vertAlign w:val="subscript"/>
              </w:rPr>
              <w:t xml:space="preserve">1t-1 </w:t>
            </w:r>
            <w:r>
              <w:t>(</w:t>
            </w:r>
            <w:r w:rsidRPr="00AC0AE4">
              <w:t>0.88</w:t>
            </w:r>
            <w:r>
              <w:t xml:space="preserve">) </w:t>
            </w:r>
            <w:r w:rsidRPr="00AC0AE4">
              <w:t>-3.201</w:t>
            </w:r>
            <w:r>
              <w:rPr>
                <w:rFonts w:cstheme="minorHAnsi"/>
              </w:rPr>
              <w:t>Δ</w:t>
            </w:r>
            <w:r>
              <w:t>Y</w:t>
            </w:r>
            <w:r>
              <w:rPr>
                <w:vertAlign w:val="subscript"/>
              </w:rPr>
              <w:t xml:space="preserve">4t-1 </w:t>
            </w:r>
            <w:r>
              <w:t>(</w:t>
            </w:r>
            <w:r w:rsidRPr="00AC0AE4">
              <w:t>-0.78</w:t>
            </w:r>
            <w:r>
              <w:t>) -0.068E</w:t>
            </w:r>
            <w:r>
              <w:rPr>
                <w:vertAlign w:val="subscript"/>
              </w:rPr>
              <w:t xml:space="preserve">14 </w:t>
            </w:r>
            <w:r>
              <w:t>(</w:t>
            </w:r>
            <w:r w:rsidRPr="00AC0AE4">
              <w:t>-2.58</w:t>
            </w:r>
            <w:r>
              <w:t>)</w:t>
            </w:r>
            <w:r w:rsidRPr="00936D3D">
              <w:t>*</w:t>
            </w:r>
            <w:r>
              <w:t>*</w:t>
            </w:r>
          </w:p>
          <w:p w:rsidR="00AC0AE4" w:rsidRDefault="00AC0AE4" w:rsidP="00747A14">
            <w:pPr>
              <w:pStyle w:val="ListParagraph"/>
              <w:numPr>
                <w:ilvl w:val="0"/>
                <w:numId w:val="4"/>
              </w:numPr>
            </w:pPr>
            <w:r>
              <w:rPr>
                <w:rFonts w:cstheme="minorHAnsi"/>
              </w:rPr>
              <w:t>Δ</w:t>
            </w:r>
            <w:r>
              <w:t>Y</w:t>
            </w:r>
            <w:r>
              <w:rPr>
                <w:vertAlign w:val="subscript"/>
              </w:rPr>
              <w:t>4t</w:t>
            </w:r>
            <w:r>
              <w:t xml:space="preserve"> = 2.111 (3.68)* + </w:t>
            </w:r>
            <w:r w:rsidRPr="00AC0AE4">
              <w:t>0.008</w:t>
            </w:r>
            <w:r>
              <w:rPr>
                <w:rFonts w:cstheme="minorHAnsi"/>
              </w:rPr>
              <w:t>Δ</w:t>
            </w:r>
            <w:r>
              <w:t>Y</w:t>
            </w:r>
            <w:r>
              <w:rPr>
                <w:vertAlign w:val="subscript"/>
              </w:rPr>
              <w:t xml:space="preserve">1t-1 </w:t>
            </w:r>
            <w:r>
              <w:t>(</w:t>
            </w:r>
            <w:r w:rsidRPr="00AC0AE4">
              <w:t>1.80</w:t>
            </w:r>
            <w:r>
              <w:t xml:space="preserve">)*** + </w:t>
            </w:r>
            <w:r w:rsidR="00704263">
              <w:t>0.205</w:t>
            </w:r>
            <w:r>
              <w:rPr>
                <w:rFonts w:cstheme="minorHAnsi"/>
              </w:rPr>
              <w:t>Δ</w:t>
            </w:r>
            <w:r>
              <w:t>Y</w:t>
            </w:r>
            <w:r>
              <w:rPr>
                <w:vertAlign w:val="subscript"/>
              </w:rPr>
              <w:t xml:space="preserve">4t-1 </w:t>
            </w:r>
            <w:r>
              <w:t>(</w:t>
            </w:r>
            <w:r w:rsidR="00704263" w:rsidRPr="00704263">
              <w:t>1.52</w:t>
            </w:r>
            <w:r>
              <w:t xml:space="preserve">) + </w:t>
            </w:r>
            <w:r w:rsidRPr="00AC0AE4">
              <w:t xml:space="preserve">0.003 </w:t>
            </w:r>
            <w:r>
              <w:t>E</w:t>
            </w:r>
            <w:r>
              <w:rPr>
                <w:vertAlign w:val="subscript"/>
              </w:rPr>
              <w:t xml:space="preserve">41 </w:t>
            </w:r>
            <w:r w:rsidRPr="001149AE">
              <w:t>(</w:t>
            </w:r>
            <w:r w:rsidRPr="00AC0AE4">
              <w:t>3.67</w:t>
            </w:r>
            <w:r>
              <w:t>)*</w:t>
            </w:r>
          </w:p>
          <w:p w:rsidR="00AC0AE4" w:rsidRDefault="00704263" w:rsidP="00747A14">
            <w:pPr>
              <w:pStyle w:val="ListParagraph"/>
              <w:numPr>
                <w:ilvl w:val="0"/>
                <w:numId w:val="4"/>
              </w:numPr>
            </w:pPr>
            <w:r>
              <w:rPr>
                <w:rFonts w:cstheme="minorHAnsi"/>
              </w:rPr>
              <w:t>Δ</w:t>
            </w:r>
            <w:r>
              <w:t>Y</w:t>
            </w:r>
            <w:r>
              <w:rPr>
                <w:vertAlign w:val="subscript"/>
              </w:rPr>
              <w:t>2t</w:t>
            </w:r>
            <w:r>
              <w:t xml:space="preserve"> = </w:t>
            </w:r>
            <w:r w:rsidRPr="00704263">
              <w:t xml:space="preserve">-52.473 </w:t>
            </w:r>
            <w:r>
              <w:t>(</w:t>
            </w:r>
            <w:r w:rsidRPr="00704263">
              <w:t>-2.77</w:t>
            </w:r>
            <w:r>
              <w:t xml:space="preserve">)* + </w:t>
            </w:r>
            <w:r w:rsidRPr="00704263">
              <w:t>0.097</w:t>
            </w:r>
            <w:r>
              <w:rPr>
                <w:rFonts w:cstheme="minorHAnsi"/>
              </w:rPr>
              <w:t>Δ</w:t>
            </w:r>
            <w:r>
              <w:t>Y</w:t>
            </w:r>
            <w:r>
              <w:rPr>
                <w:vertAlign w:val="subscript"/>
              </w:rPr>
              <w:t xml:space="preserve">2t-1 </w:t>
            </w:r>
            <w:r>
              <w:t>(</w:t>
            </w:r>
            <w:r w:rsidRPr="00704263">
              <w:t>0.70</w:t>
            </w:r>
            <w:r>
              <w:t xml:space="preserve">) </w:t>
            </w:r>
            <w:r w:rsidRPr="00704263">
              <w:t>-4.097</w:t>
            </w:r>
            <w:r>
              <w:rPr>
                <w:rFonts w:cstheme="minorHAnsi"/>
              </w:rPr>
              <w:t>Δ</w:t>
            </w:r>
            <w:r>
              <w:t>Y</w:t>
            </w:r>
            <w:r>
              <w:rPr>
                <w:vertAlign w:val="subscript"/>
              </w:rPr>
              <w:t xml:space="preserve">4t-1 </w:t>
            </w:r>
            <w:r>
              <w:t>(</w:t>
            </w:r>
            <w:r w:rsidRPr="00704263">
              <w:t>-0.92</w:t>
            </w:r>
            <w:r>
              <w:t xml:space="preserve">) </w:t>
            </w:r>
            <w:r w:rsidR="003610A0">
              <w:t>-0.082</w:t>
            </w:r>
            <w:r>
              <w:t>E</w:t>
            </w:r>
            <w:r>
              <w:rPr>
                <w:vertAlign w:val="subscript"/>
              </w:rPr>
              <w:t xml:space="preserve">24 </w:t>
            </w:r>
            <w:r>
              <w:t>(</w:t>
            </w:r>
            <w:r w:rsidR="003610A0" w:rsidRPr="003610A0">
              <w:t>-2.77</w:t>
            </w:r>
            <w:r>
              <w:t>)</w:t>
            </w:r>
            <w:r w:rsidRPr="00936D3D">
              <w:t>*</w:t>
            </w:r>
          </w:p>
          <w:p w:rsidR="003610A0" w:rsidRDefault="003610A0" w:rsidP="00747A14">
            <w:pPr>
              <w:pStyle w:val="ListParagraph"/>
              <w:numPr>
                <w:ilvl w:val="0"/>
                <w:numId w:val="4"/>
              </w:numPr>
            </w:pPr>
            <w:r>
              <w:rPr>
                <w:rFonts w:cstheme="minorHAnsi"/>
              </w:rPr>
              <w:t>Δ</w:t>
            </w:r>
            <w:r>
              <w:t>Y</w:t>
            </w:r>
            <w:r>
              <w:rPr>
                <w:vertAlign w:val="subscript"/>
              </w:rPr>
              <w:t>4t</w:t>
            </w:r>
            <w:r>
              <w:t xml:space="preserve"> = </w:t>
            </w:r>
            <w:r w:rsidRPr="003610A0">
              <w:t xml:space="preserve">2.096 </w:t>
            </w:r>
            <w:r>
              <w:t>(</w:t>
            </w:r>
            <w:r w:rsidRPr="003610A0">
              <w:t>3.60</w:t>
            </w:r>
            <w:r>
              <w:t xml:space="preserve">)* + </w:t>
            </w:r>
            <w:r w:rsidRPr="003610A0">
              <w:t>0.007</w:t>
            </w:r>
            <w:r>
              <w:rPr>
                <w:rFonts w:cstheme="minorHAnsi"/>
              </w:rPr>
              <w:t>Δ</w:t>
            </w:r>
            <w:r>
              <w:t>Y</w:t>
            </w:r>
            <w:r>
              <w:rPr>
                <w:vertAlign w:val="subscript"/>
              </w:rPr>
              <w:t xml:space="preserve">2t-1 </w:t>
            </w:r>
            <w:r>
              <w:t>(</w:t>
            </w:r>
            <w:r w:rsidRPr="003610A0">
              <w:t>1.72</w:t>
            </w:r>
            <w:r>
              <w:t>)*** + 0.214</w:t>
            </w:r>
            <w:r>
              <w:rPr>
                <w:rFonts w:cstheme="minorHAnsi"/>
              </w:rPr>
              <w:t>Δ</w:t>
            </w:r>
            <w:r>
              <w:t>Y</w:t>
            </w:r>
            <w:r>
              <w:rPr>
                <w:vertAlign w:val="subscript"/>
              </w:rPr>
              <w:t xml:space="preserve">4t-1 </w:t>
            </w:r>
            <w:r>
              <w:t>(</w:t>
            </w:r>
            <w:r w:rsidRPr="003610A0">
              <w:t>1.56</w:t>
            </w:r>
            <w:r>
              <w:t xml:space="preserve">) + </w:t>
            </w:r>
            <w:r w:rsidRPr="003610A0">
              <w:t>0.003</w:t>
            </w:r>
            <w:r>
              <w:t>E</w:t>
            </w:r>
            <w:r>
              <w:rPr>
                <w:vertAlign w:val="subscript"/>
              </w:rPr>
              <w:t xml:space="preserve">42 </w:t>
            </w:r>
            <w:r>
              <w:t>(</w:t>
            </w:r>
            <w:r w:rsidRPr="003610A0">
              <w:t>3.59</w:t>
            </w:r>
            <w:r>
              <w:t>)*</w:t>
            </w:r>
          </w:p>
          <w:p w:rsidR="003610A0" w:rsidRDefault="003610A0" w:rsidP="00747A14">
            <w:pPr>
              <w:pStyle w:val="ListParagraph"/>
              <w:numPr>
                <w:ilvl w:val="0"/>
                <w:numId w:val="4"/>
              </w:numPr>
            </w:pPr>
            <w:r>
              <w:rPr>
                <w:rFonts w:cstheme="minorHAnsi"/>
              </w:rPr>
              <w:t>Δ</w:t>
            </w:r>
            <w:r>
              <w:t>Y</w:t>
            </w:r>
            <w:r>
              <w:rPr>
                <w:vertAlign w:val="subscript"/>
              </w:rPr>
              <w:t>3t</w:t>
            </w:r>
            <w:r>
              <w:t xml:space="preserve"> = </w:t>
            </w:r>
            <w:r w:rsidRPr="003610A0">
              <w:t xml:space="preserve">-36.337 </w:t>
            </w:r>
            <w:r>
              <w:t>(</w:t>
            </w:r>
            <w:r w:rsidRPr="003610A0">
              <w:t>-1.63</w:t>
            </w:r>
            <w:r>
              <w:t xml:space="preserve">) + </w:t>
            </w:r>
            <w:r w:rsidRPr="003610A0">
              <w:t>0.212</w:t>
            </w:r>
            <w:r>
              <w:rPr>
                <w:rFonts w:cstheme="minorHAnsi"/>
              </w:rPr>
              <w:t>Δ</w:t>
            </w:r>
            <w:r>
              <w:t>Y</w:t>
            </w:r>
            <w:r>
              <w:rPr>
                <w:vertAlign w:val="subscript"/>
              </w:rPr>
              <w:t xml:space="preserve">3t-1 </w:t>
            </w:r>
            <w:r>
              <w:t>(</w:t>
            </w:r>
            <w:r w:rsidRPr="003610A0">
              <w:t>1.62</w:t>
            </w:r>
            <w:r>
              <w:t xml:space="preserve">)  -3.997 </w:t>
            </w:r>
            <w:r>
              <w:rPr>
                <w:rFonts w:cstheme="minorHAnsi"/>
              </w:rPr>
              <w:t>Δ</w:t>
            </w:r>
            <w:r>
              <w:t>Y</w:t>
            </w:r>
            <w:r>
              <w:rPr>
                <w:vertAlign w:val="subscript"/>
              </w:rPr>
              <w:t xml:space="preserve">4t-1 </w:t>
            </w:r>
            <w:r>
              <w:t>(</w:t>
            </w:r>
            <w:r w:rsidRPr="003610A0">
              <w:t>-0.74</w:t>
            </w:r>
            <w:r>
              <w:t xml:space="preserve">)  </w:t>
            </w:r>
            <w:r w:rsidRPr="003610A0">
              <w:t>-0.020</w:t>
            </w:r>
            <w:r w:rsidRPr="0040663A">
              <w:t>7</w:t>
            </w:r>
            <w:r>
              <w:t>E</w:t>
            </w:r>
            <w:r>
              <w:rPr>
                <w:vertAlign w:val="subscript"/>
              </w:rPr>
              <w:t xml:space="preserve">34 </w:t>
            </w:r>
            <w:r>
              <w:t>(</w:t>
            </w:r>
            <w:r w:rsidRPr="003610A0">
              <w:t>-1.63</w:t>
            </w:r>
            <w:r w:rsidR="001B2C90">
              <w:t>)</w:t>
            </w:r>
          </w:p>
          <w:p w:rsidR="00670764" w:rsidRDefault="00670764" w:rsidP="00747A14">
            <w:pPr>
              <w:pStyle w:val="ListParagraph"/>
              <w:numPr>
                <w:ilvl w:val="0"/>
                <w:numId w:val="4"/>
              </w:numPr>
            </w:pPr>
            <w:r>
              <w:rPr>
                <w:rFonts w:cstheme="minorHAnsi"/>
              </w:rPr>
              <w:t>Δ</w:t>
            </w:r>
            <w:r>
              <w:t>Y</w:t>
            </w:r>
            <w:r>
              <w:rPr>
                <w:vertAlign w:val="subscript"/>
              </w:rPr>
              <w:t>4t</w:t>
            </w:r>
            <w:r>
              <w:t xml:space="preserve"> = </w:t>
            </w:r>
            <w:r w:rsidRPr="00670764">
              <w:t xml:space="preserve">1.802 </w:t>
            </w:r>
            <w:r>
              <w:t>(</w:t>
            </w:r>
            <w:r w:rsidRPr="00670764">
              <w:t>3.37</w:t>
            </w:r>
            <w:r>
              <w:t xml:space="preserve">)*+ </w:t>
            </w:r>
            <w:r w:rsidRPr="00670764">
              <w:t>0.004</w:t>
            </w:r>
            <w:r>
              <w:rPr>
                <w:rFonts w:cstheme="minorHAnsi"/>
              </w:rPr>
              <w:t>Δ</w:t>
            </w:r>
            <w:r>
              <w:t>Y</w:t>
            </w:r>
            <w:r>
              <w:rPr>
                <w:vertAlign w:val="subscript"/>
              </w:rPr>
              <w:t xml:space="preserve">3t-1 </w:t>
            </w:r>
            <w:r>
              <w:t>(</w:t>
            </w:r>
            <w:r w:rsidRPr="00670764">
              <w:t>1.30</w:t>
            </w:r>
            <w:r>
              <w:t xml:space="preserve">) + </w:t>
            </w:r>
            <w:r w:rsidRPr="00670764">
              <w:t>0.098</w:t>
            </w:r>
            <w:r>
              <w:rPr>
                <w:rFonts w:cstheme="minorHAnsi"/>
              </w:rPr>
              <w:t>Δ</w:t>
            </w:r>
            <w:r>
              <w:t>Y</w:t>
            </w:r>
            <w:r>
              <w:rPr>
                <w:vertAlign w:val="subscript"/>
              </w:rPr>
              <w:t xml:space="preserve">4t-1 </w:t>
            </w:r>
            <w:r>
              <w:t>(</w:t>
            </w:r>
            <w:r w:rsidRPr="00670764">
              <w:t>0.76</w:t>
            </w:r>
            <w:r>
              <w:t>) + 0.001E</w:t>
            </w:r>
            <w:r>
              <w:rPr>
                <w:vertAlign w:val="subscript"/>
              </w:rPr>
              <w:t xml:space="preserve">43 </w:t>
            </w:r>
            <w:r>
              <w:t>(-3.37)*</w:t>
            </w:r>
          </w:p>
          <w:p w:rsidR="00670764" w:rsidRDefault="00670764" w:rsidP="00747A14">
            <w:pPr>
              <w:pStyle w:val="ListParagraph"/>
            </w:pPr>
          </w:p>
          <w:p w:rsidR="00670764" w:rsidRDefault="00670764" w:rsidP="00747A14">
            <w:pPr>
              <w:pStyle w:val="ListParagraph"/>
            </w:pPr>
            <w:r>
              <w:t>Subscripts: 1 = All REIT Total Return Index; 2= Equity Total Return Index; 3 = Mortgage REIT To</w:t>
            </w:r>
          </w:p>
          <w:p w:rsidR="00670764" w:rsidRDefault="00670764" w:rsidP="00747A14">
            <w:pPr>
              <w:pStyle w:val="ListParagraph"/>
            </w:pPr>
            <w:r>
              <w:t>Total index; 4 = CPI</w:t>
            </w:r>
          </w:p>
          <w:p w:rsidR="00670764" w:rsidRDefault="00670764" w:rsidP="00747A14">
            <w:pPr>
              <w:pStyle w:val="ListParagraph"/>
            </w:pPr>
            <w:r>
              <w:t>t-stats are in parenthesis  *significant at the 1% level ; **significant at the 5% level; ***significant at the 10% level</w:t>
            </w:r>
          </w:p>
          <w:p w:rsidR="00AC0AE4" w:rsidRDefault="00AC0AE4" w:rsidP="00747A14"/>
        </w:tc>
      </w:tr>
    </w:tbl>
    <w:p w:rsidR="001A0D9A" w:rsidRDefault="001A0D9A" w:rsidP="00A8660A">
      <w:pPr>
        <w:spacing w:line="480" w:lineRule="auto"/>
        <w:ind w:firstLine="720"/>
      </w:pPr>
    </w:p>
    <w:p w:rsidR="008576E9" w:rsidRPr="008576E9" w:rsidRDefault="008576E9" w:rsidP="008576E9">
      <w:pPr>
        <w:spacing w:line="480" w:lineRule="auto"/>
        <w:rPr>
          <w:i/>
        </w:rPr>
      </w:pPr>
      <w:r w:rsidRPr="008576E9">
        <w:rPr>
          <w:i/>
        </w:rPr>
        <w:t>4.5 Cointegration between equity and mortgage REITs</w:t>
      </w:r>
    </w:p>
    <w:p w:rsidR="008576E9" w:rsidRDefault="008576E9" w:rsidP="008576E9">
      <w:pPr>
        <w:spacing w:line="480" w:lineRule="auto"/>
      </w:pPr>
      <w:r>
        <w:tab/>
        <w:t>The last section of the original paper tests for cointegration between equity REITs and mortgage REITs. Each</w:t>
      </w:r>
      <w:r w:rsidR="007C3B70">
        <w:t xml:space="preserve"> category</w:t>
      </w:r>
      <w:r>
        <w:t xml:space="preserve"> must invest 75 percent in its namesake. One would expect that factors affecting the real estate market would also affect the subcategories of REITs in a similar way.</w:t>
      </w:r>
      <w:r w:rsidR="00ED5DA3">
        <w:t xml:space="preserve"> However, mortgages are different from owning property (equity), so it is not a forgone conclusion that the two are cointegrated over every period. Glascock, Lu, and So found that the total return index and share price index between the two types of REIT were cointegrated over the full period  and the first period but not the second period. This replication finds the same results, almost exactly. Glascock, Lu, and So argue that this result </w:t>
      </w:r>
      <w:r w:rsidR="00ED5DA3">
        <w:lastRenderedPageBreak/>
        <w:t>is due to the changing legislation around REITs which caused REITs to be o</w:t>
      </w:r>
      <w:r w:rsidR="0085037E">
        <w:t>verpriced in the 1970s and 1980 and later</w:t>
      </w:r>
      <w:r w:rsidR="00ED5DA3">
        <w:t xml:space="preserve"> caused greater variation in pricing and generally underpricing in the 1990s.</w:t>
      </w:r>
    </w:p>
    <w:p w:rsidR="00687484" w:rsidRDefault="00687484" w:rsidP="008576E9">
      <w:pPr>
        <w:spacing w:line="480" w:lineRule="auto"/>
      </w:pPr>
      <w:r>
        <w:tab/>
        <w:t>The</w:t>
      </w:r>
      <w:r w:rsidR="0085037E">
        <w:t xml:space="preserve"> original</w:t>
      </w:r>
      <w:r>
        <w:t xml:space="preserve"> paper’s error correction terms were non-significant for five out of the six models, but they did identify a p</w:t>
      </w:r>
      <w:r w:rsidR="0085037E">
        <w:t>ositive feedback loop</w:t>
      </w:r>
      <w:r>
        <w:t xml:space="preserve"> between the two REIT types. The replication results showed five out of the six error correction terms as negative and significant, implying the a strong cointegration presence. As opposed to finding a feedback loop, the replication results indicate that </w:t>
      </w:r>
      <w:r w:rsidR="0085037E">
        <w:t xml:space="preserve">the </w:t>
      </w:r>
      <w:r>
        <w:t>equity REIT index lead</w:t>
      </w:r>
      <w:r w:rsidR="0085037E">
        <w:t>s</w:t>
      </w:r>
      <w:r>
        <w:t xml:space="preserve"> the Mortgage REIT index, at least in the full and first period. The replication results contradict the original paper’s theory that mortgage REITs are more sensitive to interest-rate movements, as they are constituted by mortgages, and hence lead equity REITs.</w:t>
      </w:r>
    </w:p>
    <w:tbl>
      <w:tblPr>
        <w:tblStyle w:val="TableGrid"/>
        <w:tblW w:w="0" w:type="auto"/>
        <w:tblLook w:val="04A0" w:firstRow="1" w:lastRow="0" w:firstColumn="1" w:lastColumn="0" w:noHBand="0" w:noVBand="1"/>
      </w:tblPr>
      <w:tblGrid>
        <w:gridCol w:w="3116"/>
        <w:gridCol w:w="3117"/>
        <w:gridCol w:w="3117"/>
      </w:tblGrid>
      <w:tr w:rsidR="00670764" w:rsidTr="005778CC">
        <w:tc>
          <w:tcPr>
            <w:tcW w:w="9350" w:type="dxa"/>
            <w:gridSpan w:val="3"/>
          </w:tcPr>
          <w:p w:rsidR="00670764" w:rsidRPr="00747A14" w:rsidRDefault="00ED5DA3" w:rsidP="00747A14">
            <w:pPr>
              <w:rPr>
                <w:b/>
              </w:rPr>
            </w:pPr>
            <w:r>
              <w:rPr>
                <w:b/>
                <w:sz w:val="24"/>
              </w:rPr>
              <w:t xml:space="preserve">Table 6. </w:t>
            </w:r>
            <w:r w:rsidR="00670764" w:rsidRPr="00747A14">
              <w:rPr>
                <w:b/>
                <w:sz w:val="24"/>
              </w:rPr>
              <w:t>Cointegration tests and error correction model for the Equity REIT Index with the Mortgage REIT Index</w:t>
            </w:r>
          </w:p>
        </w:tc>
      </w:tr>
      <w:tr w:rsidR="00670764" w:rsidTr="005778CC">
        <w:tc>
          <w:tcPr>
            <w:tcW w:w="9350" w:type="dxa"/>
            <w:gridSpan w:val="3"/>
          </w:tcPr>
          <w:p w:rsidR="00670764" w:rsidRPr="00747A14" w:rsidRDefault="00670764" w:rsidP="00747A14">
            <w:pPr>
              <w:rPr>
                <w:b/>
              </w:rPr>
            </w:pPr>
            <w:r w:rsidRPr="00747A14">
              <w:rPr>
                <w:b/>
              </w:rPr>
              <w:t>Panel A: Cointegration Text</w:t>
            </w:r>
          </w:p>
        </w:tc>
      </w:tr>
      <w:tr w:rsidR="00670764" w:rsidTr="00747A14">
        <w:tc>
          <w:tcPr>
            <w:tcW w:w="3116" w:type="dxa"/>
            <w:tcBorders>
              <w:bottom w:val="single" w:sz="4" w:space="0" w:color="auto"/>
            </w:tcBorders>
          </w:tcPr>
          <w:p w:rsidR="00670764" w:rsidRDefault="00670764" w:rsidP="00747A14">
            <w:r>
              <w:t>Period</w:t>
            </w:r>
          </w:p>
        </w:tc>
        <w:tc>
          <w:tcPr>
            <w:tcW w:w="3117" w:type="dxa"/>
            <w:tcBorders>
              <w:bottom w:val="single" w:sz="4" w:space="0" w:color="auto"/>
            </w:tcBorders>
          </w:tcPr>
          <w:p w:rsidR="00670764" w:rsidRDefault="00670764" w:rsidP="00747A14">
            <w:r>
              <w:t>Total Return Index</w:t>
            </w:r>
          </w:p>
        </w:tc>
        <w:tc>
          <w:tcPr>
            <w:tcW w:w="3117" w:type="dxa"/>
            <w:tcBorders>
              <w:bottom w:val="single" w:sz="4" w:space="0" w:color="auto"/>
            </w:tcBorders>
          </w:tcPr>
          <w:p w:rsidR="00670764" w:rsidRDefault="00670764" w:rsidP="00747A14">
            <w:r>
              <w:t>Share Price Index</w:t>
            </w:r>
          </w:p>
        </w:tc>
      </w:tr>
      <w:tr w:rsidR="00670764" w:rsidTr="00747A14">
        <w:tc>
          <w:tcPr>
            <w:tcW w:w="3116" w:type="dxa"/>
            <w:tcBorders>
              <w:bottom w:val="nil"/>
              <w:right w:val="nil"/>
            </w:tcBorders>
          </w:tcPr>
          <w:p w:rsidR="00670764" w:rsidRDefault="00670764" w:rsidP="00747A14">
            <w:r>
              <w:t>1/72-12/96</w:t>
            </w:r>
          </w:p>
        </w:tc>
        <w:tc>
          <w:tcPr>
            <w:tcW w:w="3117" w:type="dxa"/>
            <w:tcBorders>
              <w:left w:val="nil"/>
              <w:bottom w:val="nil"/>
              <w:right w:val="nil"/>
            </w:tcBorders>
          </w:tcPr>
          <w:p w:rsidR="00670764" w:rsidRDefault="002C673D" w:rsidP="00747A14">
            <w:r w:rsidRPr="002C673D">
              <w:t>-2.193</w:t>
            </w:r>
            <w:r>
              <w:t>*</w:t>
            </w:r>
          </w:p>
        </w:tc>
        <w:tc>
          <w:tcPr>
            <w:tcW w:w="3117" w:type="dxa"/>
            <w:tcBorders>
              <w:left w:val="nil"/>
              <w:bottom w:val="nil"/>
            </w:tcBorders>
          </w:tcPr>
          <w:p w:rsidR="00670764" w:rsidRDefault="00F44C2A" w:rsidP="00747A14">
            <w:r w:rsidRPr="00F44C2A">
              <w:t>-3.235</w:t>
            </w:r>
            <w:r>
              <w:t>*</w:t>
            </w:r>
          </w:p>
        </w:tc>
      </w:tr>
      <w:tr w:rsidR="00670764" w:rsidTr="00747A14">
        <w:tc>
          <w:tcPr>
            <w:tcW w:w="3116" w:type="dxa"/>
            <w:tcBorders>
              <w:top w:val="nil"/>
              <w:bottom w:val="nil"/>
              <w:right w:val="nil"/>
            </w:tcBorders>
          </w:tcPr>
          <w:p w:rsidR="00670764" w:rsidRDefault="002C673D" w:rsidP="00747A14">
            <w:r>
              <w:t>1/72-12/91</w:t>
            </w:r>
          </w:p>
        </w:tc>
        <w:tc>
          <w:tcPr>
            <w:tcW w:w="3117" w:type="dxa"/>
            <w:tcBorders>
              <w:top w:val="nil"/>
              <w:left w:val="nil"/>
              <w:bottom w:val="nil"/>
              <w:right w:val="nil"/>
            </w:tcBorders>
          </w:tcPr>
          <w:p w:rsidR="00670764" w:rsidRDefault="002C673D" w:rsidP="00747A14">
            <w:r w:rsidRPr="002C673D">
              <w:t>-2.942</w:t>
            </w:r>
            <w:r>
              <w:t>*</w:t>
            </w:r>
          </w:p>
        </w:tc>
        <w:tc>
          <w:tcPr>
            <w:tcW w:w="3117" w:type="dxa"/>
            <w:tcBorders>
              <w:top w:val="nil"/>
              <w:left w:val="nil"/>
              <w:bottom w:val="nil"/>
            </w:tcBorders>
          </w:tcPr>
          <w:p w:rsidR="00670764" w:rsidRDefault="00F44C2A" w:rsidP="00747A14">
            <w:r w:rsidRPr="00F44C2A">
              <w:t>-3.139</w:t>
            </w:r>
            <w:r>
              <w:t>*</w:t>
            </w:r>
          </w:p>
        </w:tc>
      </w:tr>
      <w:tr w:rsidR="00670764" w:rsidTr="00747A14">
        <w:tc>
          <w:tcPr>
            <w:tcW w:w="3116" w:type="dxa"/>
            <w:tcBorders>
              <w:top w:val="nil"/>
              <w:right w:val="nil"/>
            </w:tcBorders>
          </w:tcPr>
          <w:p w:rsidR="00670764" w:rsidRDefault="002C673D" w:rsidP="00747A14">
            <w:r>
              <w:t>1/92-12/96</w:t>
            </w:r>
          </w:p>
        </w:tc>
        <w:tc>
          <w:tcPr>
            <w:tcW w:w="3117" w:type="dxa"/>
            <w:tcBorders>
              <w:top w:val="nil"/>
              <w:left w:val="nil"/>
              <w:right w:val="nil"/>
            </w:tcBorders>
          </w:tcPr>
          <w:p w:rsidR="00670764" w:rsidRDefault="002C673D" w:rsidP="00747A14">
            <w:r w:rsidRPr="002C673D">
              <w:t>-1.81</w:t>
            </w:r>
          </w:p>
        </w:tc>
        <w:tc>
          <w:tcPr>
            <w:tcW w:w="3117" w:type="dxa"/>
            <w:tcBorders>
              <w:top w:val="nil"/>
              <w:left w:val="nil"/>
            </w:tcBorders>
          </w:tcPr>
          <w:p w:rsidR="00670764" w:rsidRDefault="00F44C2A" w:rsidP="00747A14">
            <w:r w:rsidRPr="00F44C2A">
              <w:t>-1.746</w:t>
            </w:r>
          </w:p>
        </w:tc>
      </w:tr>
      <w:tr w:rsidR="00EB25BA" w:rsidTr="005778CC">
        <w:tc>
          <w:tcPr>
            <w:tcW w:w="9350" w:type="dxa"/>
            <w:gridSpan w:val="3"/>
          </w:tcPr>
          <w:p w:rsidR="00EB25BA" w:rsidRPr="00747A14" w:rsidRDefault="00EB25BA" w:rsidP="00747A14">
            <w:pPr>
              <w:rPr>
                <w:b/>
              </w:rPr>
            </w:pPr>
            <w:r w:rsidRPr="00747A14">
              <w:rPr>
                <w:b/>
              </w:rPr>
              <w:t>Panel B: Error Correction Model (Full Sample, 01/1972 to 12/1996)</w:t>
            </w:r>
          </w:p>
        </w:tc>
      </w:tr>
      <w:tr w:rsidR="00EB25BA" w:rsidTr="005778CC">
        <w:tc>
          <w:tcPr>
            <w:tcW w:w="9350" w:type="dxa"/>
            <w:gridSpan w:val="3"/>
          </w:tcPr>
          <w:p w:rsidR="00EB25BA" w:rsidRDefault="00EB25BA" w:rsidP="00747A14">
            <w:pPr>
              <w:pStyle w:val="ListParagraph"/>
              <w:numPr>
                <w:ilvl w:val="0"/>
                <w:numId w:val="5"/>
              </w:numPr>
            </w:pPr>
            <w:r>
              <w:rPr>
                <w:rFonts w:cstheme="minorHAnsi"/>
              </w:rPr>
              <w:t>Δ</w:t>
            </w:r>
            <w:r>
              <w:t>Y</w:t>
            </w:r>
            <w:r>
              <w:rPr>
                <w:vertAlign w:val="subscript"/>
              </w:rPr>
              <w:t>1t</w:t>
            </w:r>
            <w:r>
              <w:t xml:space="preserve"> = </w:t>
            </w:r>
            <w:r w:rsidRPr="00EB25BA">
              <w:t xml:space="preserve">0.203 </w:t>
            </w:r>
            <w:r>
              <w:t>(</w:t>
            </w:r>
            <w:r w:rsidRPr="00EB25BA">
              <w:t>4.16</w:t>
            </w:r>
            <w:r>
              <w:t>)* + 0.051</w:t>
            </w:r>
            <w:r>
              <w:rPr>
                <w:rFonts w:cstheme="minorHAnsi"/>
              </w:rPr>
              <w:t>Δ</w:t>
            </w:r>
            <w:r>
              <w:t>Y</w:t>
            </w:r>
            <w:r>
              <w:rPr>
                <w:vertAlign w:val="subscript"/>
              </w:rPr>
              <w:t xml:space="preserve">1t-1 </w:t>
            </w:r>
            <w:r>
              <w:t>(</w:t>
            </w:r>
            <w:r w:rsidRPr="00EB25BA">
              <w:t>0.67</w:t>
            </w:r>
            <w:r>
              <w:t>) + 0.083</w:t>
            </w:r>
            <w:r>
              <w:rPr>
                <w:rFonts w:cstheme="minorHAnsi"/>
              </w:rPr>
              <w:t>Δ</w:t>
            </w:r>
            <w:r>
              <w:t>Y</w:t>
            </w:r>
            <w:r w:rsidR="00917ACF">
              <w:rPr>
                <w:vertAlign w:val="subscript"/>
              </w:rPr>
              <w:t>2</w:t>
            </w:r>
            <w:r>
              <w:rPr>
                <w:vertAlign w:val="subscript"/>
              </w:rPr>
              <w:t xml:space="preserve">t-1 </w:t>
            </w:r>
            <w:r>
              <w:t>(</w:t>
            </w:r>
            <w:r w:rsidRPr="00EB25BA">
              <w:t>1.48</w:t>
            </w:r>
            <w:r>
              <w:t xml:space="preserve">) </w:t>
            </w:r>
            <w:r w:rsidR="00917ACF" w:rsidRPr="00917ACF">
              <w:t>-0.102</w:t>
            </w:r>
            <w:r>
              <w:t>E</w:t>
            </w:r>
            <w:r w:rsidR="00917ACF">
              <w:rPr>
                <w:vertAlign w:val="subscript"/>
              </w:rPr>
              <w:t>12</w:t>
            </w:r>
            <w:r>
              <w:rPr>
                <w:vertAlign w:val="subscript"/>
              </w:rPr>
              <w:t xml:space="preserve"> </w:t>
            </w:r>
            <w:r>
              <w:t>(</w:t>
            </w:r>
            <w:r w:rsidR="00917ACF" w:rsidRPr="00917ACF">
              <w:t>-3.96</w:t>
            </w:r>
            <w:r>
              <w:t>)</w:t>
            </w:r>
            <w:r w:rsidRPr="00936D3D">
              <w:t>*</w:t>
            </w:r>
          </w:p>
          <w:p w:rsidR="00EB25BA" w:rsidRPr="00F44C2A" w:rsidRDefault="00917ACF" w:rsidP="00747A14">
            <w:pPr>
              <w:pStyle w:val="ListParagraph"/>
              <w:numPr>
                <w:ilvl w:val="0"/>
                <w:numId w:val="5"/>
              </w:numPr>
            </w:pPr>
            <w:r>
              <w:rPr>
                <w:rFonts w:cstheme="minorHAnsi"/>
              </w:rPr>
              <w:t>Δ</w:t>
            </w:r>
            <w:r>
              <w:t>Y</w:t>
            </w:r>
            <w:r>
              <w:rPr>
                <w:vertAlign w:val="subscript"/>
              </w:rPr>
              <w:t>2t</w:t>
            </w:r>
            <w:r>
              <w:t xml:space="preserve"> = </w:t>
            </w:r>
            <w:r w:rsidRPr="00917ACF">
              <w:t xml:space="preserve">0.242 </w:t>
            </w:r>
            <w:r>
              <w:t>(</w:t>
            </w:r>
            <w:r w:rsidRPr="00917ACF">
              <w:t>3.57</w:t>
            </w:r>
            <w:r>
              <w:t>)* + 0.286</w:t>
            </w:r>
            <w:r>
              <w:rPr>
                <w:rFonts w:cstheme="minorHAnsi"/>
              </w:rPr>
              <w:t>Δ</w:t>
            </w:r>
            <w:r>
              <w:t>Y</w:t>
            </w:r>
            <w:r>
              <w:rPr>
                <w:vertAlign w:val="subscript"/>
              </w:rPr>
              <w:t xml:space="preserve">1t-1 </w:t>
            </w:r>
            <w:r>
              <w:t>(</w:t>
            </w:r>
            <w:r w:rsidRPr="00917ACF">
              <w:t>2.75</w:t>
            </w:r>
            <w:r>
              <w:t xml:space="preserve">)* </w:t>
            </w:r>
            <w:r w:rsidRPr="00917ACF">
              <w:t>-0.124</w:t>
            </w:r>
            <w:r>
              <w:rPr>
                <w:rFonts w:cstheme="minorHAnsi"/>
              </w:rPr>
              <w:t>Δ</w:t>
            </w:r>
            <w:r>
              <w:t>Y</w:t>
            </w:r>
            <w:r>
              <w:rPr>
                <w:vertAlign w:val="subscript"/>
              </w:rPr>
              <w:t xml:space="preserve">2t-1 </w:t>
            </w:r>
            <w:r>
              <w:t>(</w:t>
            </w:r>
            <w:r w:rsidRPr="00917ACF">
              <w:t>-1.60</w:t>
            </w:r>
            <w:r>
              <w:t xml:space="preserve">) </w:t>
            </w:r>
            <w:r w:rsidRPr="00917ACF">
              <w:t>-0.126</w:t>
            </w:r>
            <w:r w:rsidRPr="00AC0AE4">
              <w:t xml:space="preserve"> </w:t>
            </w:r>
            <w:r>
              <w:t>E</w:t>
            </w:r>
            <w:r>
              <w:rPr>
                <w:vertAlign w:val="subscript"/>
              </w:rPr>
              <w:t xml:space="preserve">21 </w:t>
            </w:r>
            <w:r w:rsidRPr="001149AE">
              <w:t>(</w:t>
            </w:r>
            <w:r w:rsidRPr="00917ACF">
              <w:t>-3.53</w:t>
            </w:r>
            <w:r>
              <w:t>)*</w:t>
            </w:r>
          </w:p>
        </w:tc>
      </w:tr>
      <w:tr w:rsidR="00917ACF" w:rsidTr="005778CC">
        <w:tc>
          <w:tcPr>
            <w:tcW w:w="9350" w:type="dxa"/>
            <w:gridSpan w:val="3"/>
          </w:tcPr>
          <w:p w:rsidR="00917ACF" w:rsidRPr="00747A14" w:rsidRDefault="00917ACF" w:rsidP="00747A14">
            <w:pPr>
              <w:rPr>
                <w:b/>
              </w:rPr>
            </w:pPr>
            <w:r w:rsidRPr="00747A14">
              <w:rPr>
                <w:b/>
              </w:rPr>
              <w:t>Panel C: Error Correction Model (First Subsample, 01/1972 to 12/1991)</w:t>
            </w:r>
          </w:p>
        </w:tc>
      </w:tr>
      <w:tr w:rsidR="00917ACF" w:rsidTr="005778CC">
        <w:tc>
          <w:tcPr>
            <w:tcW w:w="9350" w:type="dxa"/>
            <w:gridSpan w:val="3"/>
          </w:tcPr>
          <w:p w:rsidR="00917ACF" w:rsidRDefault="00917ACF" w:rsidP="00747A14">
            <w:pPr>
              <w:pStyle w:val="ListParagraph"/>
              <w:numPr>
                <w:ilvl w:val="0"/>
                <w:numId w:val="6"/>
              </w:numPr>
            </w:pPr>
            <w:r>
              <w:rPr>
                <w:rFonts w:cstheme="minorHAnsi"/>
              </w:rPr>
              <w:t>Δ</w:t>
            </w:r>
            <w:r>
              <w:t>Y</w:t>
            </w:r>
            <w:r>
              <w:rPr>
                <w:vertAlign w:val="subscript"/>
              </w:rPr>
              <w:t>1t</w:t>
            </w:r>
            <w:r>
              <w:t xml:space="preserve"> = 0.249</w:t>
            </w:r>
            <w:r w:rsidRPr="00917ACF">
              <w:t xml:space="preserve"> </w:t>
            </w:r>
            <w:r>
              <w:t>(</w:t>
            </w:r>
            <w:r w:rsidRPr="00917ACF">
              <w:t>4.06</w:t>
            </w:r>
            <w:r>
              <w:t xml:space="preserve">)* +  </w:t>
            </w:r>
            <w:r w:rsidRPr="00917ACF">
              <w:t>0.050</w:t>
            </w:r>
            <w:r>
              <w:rPr>
                <w:rFonts w:cstheme="minorHAnsi"/>
              </w:rPr>
              <w:t>Δ</w:t>
            </w:r>
            <w:r>
              <w:t>Y</w:t>
            </w:r>
            <w:r>
              <w:rPr>
                <w:vertAlign w:val="subscript"/>
              </w:rPr>
              <w:t xml:space="preserve">1t-1 </w:t>
            </w:r>
            <w:r>
              <w:t>(</w:t>
            </w:r>
            <w:r w:rsidRPr="00917ACF">
              <w:t>0.59</w:t>
            </w:r>
            <w:r>
              <w:t xml:space="preserve">) + </w:t>
            </w:r>
            <w:r w:rsidRPr="00917ACF">
              <w:t>0.077</w:t>
            </w:r>
            <w:r>
              <w:rPr>
                <w:rFonts w:cstheme="minorHAnsi"/>
              </w:rPr>
              <w:t>Δ</w:t>
            </w:r>
            <w:r>
              <w:t>Y</w:t>
            </w:r>
            <w:r>
              <w:rPr>
                <w:vertAlign w:val="subscript"/>
              </w:rPr>
              <w:t xml:space="preserve">2t-1 </w:t>
            </w:r>
            <w:r>
              <w:t>(</w:t>
            </w:r>
            <w:r w:rsidRPr="00917ACF">
              <w:t>1.20</w:t>
            </w:r>
            <w:r>
              <w:t>) -0.149 E</w:t>
            </w:r>
            <w:r>
              <w:rPr>
                <w:vertAlign w:val="subscript"/>
              </w:rPr>
              <w:t xml:space="preserve">12 </w:t>
            </w:r>
            <w:r>
              <w:t>(</w:t>
            </w:r>
            <w:r w:rsidRPr="00917ACF">
              <w:t>-3.91</w:t>
            </w:r>
            <w:r>
              <w:t>)</w:t>
            </w:r>
            <w:r w:rsidRPr="00936D3D">
              <w:t>*</w:t>
            </w:r>
          </w:p>
          <w:p w:rsidR="00917ACF" w:rsidRPr="00F44C2A" w:rsidRDefault="00917ACF" w:rsidP="00747A14">
            <w:pPr>
              <w:pStyle w:val="ListParagraph"/>
              <w:numPr>
                <w:ilvl w:val="0"/>
                <w:numId w:val="6"/>
              </w:numPr>
            </w:pPr>
            <w:r>
              <w:rPr>
                <w:rFonts w:cstheme="minorHAnsi"/>
              </w:rPr>
              <w:t>Δ</w:t>
            </w:r>
            <w:r>
              <w:t>Y</w:t>
            </w:r>
            <w:r>
              <w:rPr>
                <w:vertAlign w:val="subscript"/>
              </w:rPr>
              <w:t>2t</w:t>
            </w:r>
            <w:r>
              <w:t xml:space="preserve"> = </w:t>
            </w:r>
            <w:r w:rsidRPr="00917ACF">
              <w:t xml:space="preserve">0.196 </w:t>
            </w:r>
            <w:r>
              <w:t>(</w:t>
            </w:r>
            <w:r w:rsidR="00EA75C5" w:rsidRPr="00EA75C5">
              <w:t>2.27</w:t>
            </w:r>
            <w:r>
              <w:t>)*</w:t>
            </w:r>
            <w:r w:rsidR="00EA75C5">
              <w:t>*</w:t>
            </w:r>
            <w:r>
              <w:t xml:space="preserve"> + </w:t>
            </w:r>
            <w:r w:rsidR="00EA75C5" w:rsidRPr="00EA75C5">
              <w:t>0.333</w:t>
            </w:r>
            <w:r>
              <w:rPr>
                <w:rFonts w:cstheme="minorHAnsi"/>
              </w:rPr>
              <w:t>Δ</w:t>
            </w:r>
            <w:r>
              <w:t>Y</w:t>
            </w:r>
            <w:r>
              <w:rPr>
                <w:vertAlign w:val="subscript"/>
              </w:rPr>
              <w:t xml:space="preserve">1t-1 </w:t>
            </w:r>
            <w:r>
              <w:t>(</w:t>
            </w:r>
            <w:r w:rsidR="00EA75C5" w:rsidRPr="00EA75C5">
              <w:t>2.74</w:t>
            </w:r>
            <w:r>
              <w:t xml:space="preserve">)* </w:t>
            </w:r>
            <w:r w:rsidR="00EA75C5" w:rsidRPr="00EA75C5">
              <w:t>-0.162</w:t>
            </w:r>
            <w:r>
              <w:rPr>
                <w:rFonts w:cstheme="minorHAnsi"/>
              </w:rPr>
              <w:t>Δ</w:t>
            </w:r>
            <w:r>
              <w:t>Y</w:t>
            </w:r>
            <w:r>
              <w:rPr>
                <w:vertAlign w:val="subscript"/>
              </w:rPr>
              <w:t xml:space="preserve">2t-1 </w:t>
            </w:r>
            <w:r>
              <w:t>(</w:t>
            </w:r>
            <w:r w:rsidR="00EA75C5" w:rsidRPr="00EA75C5">
              <w:t>-1.78</w:t>
            </w:r>
            <w:r>
              <w:t>)</w:t>
            </w:r>
            <w:r w:rsidR="00EA75C5">
              <w:t>***</w:t>
            </w:r>
            <w:r>
              <w:t xml:space="preserve"> </w:t>
            </w:r>
            <w:r w:rsidR="00EA75C5">
              <w:t>-0.122</w:t>
            </w:r>
            <w:r>
              <w:t>E</w:t>
            </w:r>
            <w:r>
              <w:rPr>
                <w:vertAlign w:val="subscript"/>
              </w:rPr>
              <w:t xml:space="preserve">21 </w:t>
            </w:r>
            <w:r w:rsidRPr="001149AE">
              <w:t>(</w:t>
            </w:r>
            <w:r w:rsidR="00EA75C5" w:rsidRPr="00EA75C5">
              <w:t>-2.27</w:t>
            </w:r>
            <w:r>
              <w:t>)*</w:t>
            </w:r>
          </w:p>
        </w:tc>
      </w:tr>
      <w:tr w:rsidR="00917ACF" w:rsidTr="005778CC">
        <w:tc>
          <w:tcPr>
            <w:tcW w:w="9350" w:type="dxa"/>
            <w:gridSpan w:val="3"/>
          </w:tcPr>
          <w:p w:rsidR="00917ACF" w:rsidRPr="00747A14" w:rsidRDefault="00917ACF" w:rsidP="00747A14">
            <w:pPr>
              <w:rPr>
                <w:b/>
              </w:rPr>
            </w:pPr>
            <w:r w:rsidRPr="00747A14">
              <w:rPr>
                <w:b/>
              </w:rPr>
              <w:t>Panel D: Error Correction Model (Second Subsample, 01/1992 to 12/1996)</w:t>
            </w:r>
          </w:p>
        </w:tc>
      </w:tr>
      <w:tr w:rsidR="00917ACF" w:rsidTr="005778CC">
        <w:tc>
          <w:tcPr>
            <w:tcW w:w="9350" w:type="dxa"/>
            <w:gridSpan w:val="3"/>
          </w:tcPr>
          <w:p w:rsidR="00EA75C5" w:rsidRDefault="00EA75C5" w:rsidP="00747A14">
            <w:pPr>
              <w:pStyle w:val="ListParagraph"/>
              <w:numPr>
                <w:ilvl w:val="0"/>
                <w:numId w:val="7"/>
              </w:numPr>
            </w:pPr>
            <w:r>
              <w:rPr>
                <w:rFonts w:cstheme="minorHAnsi"/>
              </w:rPr>
              <w:t>Δ</w:t>
            </w:r>
            <w:r>
              <w:t>Y</w:t>
            </w:r>
            <w:r>
              <w:rPr>
                <w:vertAlign w:val="subscript"/>
              </w:rPr>
              <w:t>1t</w:t>
            </w:r>
            <w:r>
              <w:t xml:space="preserve"> = </w:t>
            </w:r>
            <w:r w:rsidRPr="00EA75C5">
              <w:t xml:space="preserve">0.111 </w:t>
            </w:r>
            <w:r>
              <w:t>(</w:t>
            </w:r>
            <w:r w:rsidRPr="00EA75C5">
              <w:t>0.61</w:t>
            </w:r>
            <w:r>
              <w:t xml:space="preserve">) + 0.005 </w:t>
            </w:r>
            <w:r>
              <w:rPr>
                <w:rFonts w:cstheme="minorHAnsi"/>
              </w:rPr>
              <w:t>Δ</w:t>
            </w:r>
            <w:r>
              <w:t>Y</w:t>
            </w:r>
            <w:r>
              <w:rPr>
                <w:vertAlign w:val="subscript"/>
              </w:rPr>
              <w:t xml:space="preserve">1t-1 </w:t>
            </w:r>
            <w:r>
              <w:t>(</w:t>
            </w:r>
            <w:r w:rsidRPr="00EA75C5">
              <w:t>0.03</w:t>
            </w:r>
            <w:r>
              <w:t>) + 0.163</w:t>
            </w:r>
            <w:r>
              <w:rPr>
                <w:rFonts w:cstheme="minorHAnsi"/>
              </w:rPr>
              <w:t>Δ</w:t>
            </w:r>
            <w:r>
              <w:t>Y</w:t>
            </w:r>
            <w:r>
              <w:rPr>
                <w:vertAlign w:val="subscript"/>
              </w:rPr>
              <w:t xml:space="preserve">2t-1 </w:t>
            </w:r>
            <w:r>
              <w:t>(</w:t>
            </w:r>
            <w:r w:rsidRPr="00EA75C5">
              <w:t>1.34</w:t>
            </w:r>
            <w:r>
              <w:t>) -0.014 E</w:t>
            </w:r>
            <w:r>
              <w:rPr>
                <w:vertAlign w:val="subscript"/>
              </w:rPr>
              <w:t xml:space="preserve">12 </w:t>
            </w:r>
            <w:r>
              <w:t>(</w:t>
            </w:r>
            <w:r w:rsidRPr="00EA75C5">
              <w:t>-0.55</w:t>
            </w:r>
            <w:r>
              <w:t>)</w:t>
            </w:r>
          </w:p>
          <w:p w:rsidR="00917ACF" w:rsidRDefault="00EA75C5" w:rsidP="00747A14">
            <w:pPr>
              <w:pStyle w:val="ListParagraph"/>
              <w:numPr>
                <w:ilvl w:val="0"/>
                <w:numId w:val="7"/>
              </w:numPr>
            </w:pPr>
            <w:r>
              <w:rPr>
                <w:rFonts w:cstheme="minorHAnsi"/>
              </w:rPr>
              <w:t>Δ</w:t>
            </w:r>
            <w:r>
              <w:t>Y</w:t>
            </w:r>
            <w:r>
              <w:rPr>
                <w:vertAlign w:val="subscript"/>
              </w:rPr>
              <w:t>2t</w:t>
            </w:r>
            <w:r>
              <w:t xml:space="preserve"> = </w:t>
            </w:r>
            <w:r w:rsidRPr="00EA75C5">
              <w:t xml:space="preserve">0.562 </w:t>
            </w:r>
            <w:r>
              <w:t>(</w:t>
            </w:r>
            <w:r w:rsidRPr="00EA75C5">
              <w:t>2.53</w:t>
            </w:r>
            <w:r>
              <w:t xml:space="preserve">)** </w:t>
            </w:r>
            <w:r w:rsidRPr="00EA75C5">
              <w:t>-0.019</w:t>
            </w:r>
            <w:r>
              <w:rPr>
                <w:rFonts w:cstheme="minorHAnsi"/>
              </w:rPr>
              <w:t>Δ</w:t>
            </w:r>
            <w:r>
              <w:t>Y</w:t>
            </w:r>
            <w:r>
              <w:rPr>
                <w:vertAlign w:val="subscript"/>
              </w:rPr>
              <w:t xml:space="preserve">1t-1 </w:t>
            </w:r>
            <w:r>
              <w:t>(</w:t>
            </w:r>
            <w:r w:rsidRPr="00EA75C5">
              <w:t>-0.10</w:t>
            </w:r>
            <w:r>
              <w:t xml:space="preserve">) + </w:t>
            </w:r>
            <w:r w:rsidRPr="00EA75C5">
              <w:t>0.154</w:t>
            </w:r>
            <w:r>
              <w:rPr>
                <w:rFonts w:cstheme="minorHAnsi"/>
              </w:rPr>
              <w:t>Δ</w:t>
            </w:r>
            <w:r>
              <w:t>Y</w:t>
            </w:r>
            <w:r>
              <w:rPr>
                <w:vertAlign w:val="subscript"/>
              </w:rPr>
              <w:t xml:space="preserve">2t-1 </w:t>
            </w:r>
            <w:r>
              <w:t>(</w:t>
            </w:r>
            <w:r w:rsidRPr="00EA75C5">
              <w:t>1.04</w:t>
            </w:r>
            <w:r>
              <w:t>) -0.076E</w:t>
            </w:r>
            <w:r>
              <w:rPr>
                <w:vertAlign w:val="subscript"/>
              </w:rPr>
              <w:t xml:space="preserve">21 </w:t>
            </w:r>
            <w:r w:rsidRPr="001149AE">
              <w:t>(</w:t>
            </w:r>
            <w:r w:rsidRPr="00EA75C5">
              <w:t>-2.49</w:t>
            </w:r>
            <w:r>
              <w:t>)**</w:t>
            </w:r>
          </w:p>
          <w:p w:rsidR="00687484" w:rsidRDefault="00687484" w:rsidP="00687484">
            <w:pPr>
              <w:pStyle w:val="ListParagraph"/>
              <w:rPr>
                <w:rFonts w:cstheme="minorHAnsi"/>
              </w:rPr>
            </w:pPr>
          </w:p>
          <w:p w:rsidR="00687484" w:rsidRDefault="00687484" w:rsidP="00687484">
            <w:pPr>
              <w:pStyle w:val="ListParagraph"/>
            </w:pPr>
            <w:r>
              <w:t>Subscripts: 1 = Equity REIT Total Return Index; 2 = Mortgage REIT To</w:t>
            </w:r>
          </w:p>
          <w:p w:rsidR="00687484" w:rsidRDefault="00687484" w:rsidP="00687484">
            <w:pPr>
              <w:pStyle w:val="ListParagraph"/>
            </w:pPr>
            <w:r>
              <w:t>Total index</w:t>
            </w:r>
          </w:p>
          <w:p w:rsidR="00687484" w:rsidRDefault="00687484" w:rsidP="00687484">
            <w:pPr>
              <w:pStyle w:val="ListParagraph"/>
            </w:pPr>
            <w:r>
              <w:t>t-stats are in parenthesis  *significant at the 1% level ; **significant at the 5% level; ***significant at the 10% level</w:t>
            </w:r>
          </w:p>
          <w:p w:rsidR="00687484" w:rsidRPr="00F44C2A" w:rsidRDefault="00687484" w:rsidP="00687484">
            <w:pPr>
              <w:pStyle w:val="ListParagraph"/>
            </w:pPr>
          </w:p>
        </w:tc>
      </w:tr>
    </w:tbl>
    <w:p w:rsidR="00670764" w:rsidRDefault="00670764" w:rsidP="00A8660A">
      <w:pPr>
        <w:spacing w:line="480" w:lineRule="auto"/>
        <w:ind w:firstLine="720"/>
      </w:pPr>
    </w:p>
    <w:p w:rsidR="00DE1426" w:rsidRDefault="00DE1426" w:rsidP="00A8660A">
      <w:pPr>
        <w:spacing w:line="480" w:lineRule="auto"/>
        <w:ind w:firstLine="720"/>
      </w:pPr>
    </w:p>
    <w:p w:rsidR="00DE1426" w:rsidRDefault="00DE1426" w:rsidP="00A8660A">
      <w:pPr>
        <w:spacing w:line="480" w:lineRule="auto"/>
        <w:ind w:firstLine="720"/>
      </w:pPr>
    </w:p>
    <w:p w:rsidR="00CC5425" w:rsidRPr="00687484" w:rsidRDefault="00687484" w:rsidP="00687484">
      <w:pPr>
        <w:spacing w:line="480" w:lineRule="auto"/>
        <w:rPr>
          <w:b/>
          <w:sz w:val="28"/>
        </w:rPr>
      </w:pPr>
      <w:r w:rsidRPr="00687484">
        <w:rPr>
          <w:b/>
          <w:sz w:val="28"/>
        </w:rPr>
        <w:lastRenderedPageBreak/>
        <w:t>5. Conclusions</w:t>
      </w:r>
    </w:p>
    <w:p w:rsidR="00CC5425" w:rsidRDefault="00432448" w:rsidP="00A8660A">
      <w:pPr>
        <w:spacing w:line="480" w:lineRule="auto"/>
        <w:ind w:firstLine="720"/>
      </w:pPr>
      <w:r>
        <w:t xml:space="preserve">The results of the replication appear to concur with the original paper on most counts. It appear that 1992 was a crucial year for REITs, as the cointegration results pivot around it. From the replication results, it also does appear that REITs did behave more like fixed-income instruments prior to 1992 and stock like post 1992, but the results are not completely conclusive. Perhaps most interesting is the diversion of Mortgage and Equity REITs after 1992, which could be the result of deeper or more changes in REITs structure than </w:t>
      </w:r>
      <w:r w:rsidR="0085037E">
        <w:t xml:space="preserve">just </w:t>
      </w:r>
      <w:r>
        <w:t>REITs becoming more stock-like</w:t>
      </w:r>
      <w:r w:rsidR="0085037E">
        <w:t xml:space="preserve"> and less bond-like over the period</w:t>
      </w:r>
      <w:r>
        <w:t>.</w:t>
      </w:r>
    </w:p>
    <w:p w:rsidR="00CC5425" w:rsidRDefault="00CC5425" w:rsidP="00A8660A">
      <w:pPr>
        <w:spacing w:line="480" w:lineRule="auto"/>
        <w:ind w:firstLine="720"/>
      </w:pPr>
    </w:p>
    <w:p w:rsidR="00CC5425" w:rsidRDefault="00CC5425" w:rsidP="00A8660A">
      <w:pPr>
        <w:spacing w:line="480" w:lineRule="auto"/>
        <w:ind w:firstLine="720"/>
      </w:pPr>
    </w:p>
    <w:p w:rsidR="00CC5425" w:rsidRDefault="00CC5425" w:rsidP="00A8660A">
      <w:pPr>
        <w:spacing w:line="480" w:lineRule="auto"/>
        <w:ind w:firstLine="720"/>
      </w:pPr>
    </w:p>
    <w:sectPr w:rsidR="00CC5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75B94"/>
    <w:multiLevelType w:val="hybridMultilevel"/>
    <w:tmpl w:val="4BE63EE4"/>
    <w:lvl w:ilvl="0" w:tplc="9FB8DF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C17A2"/>
    <w:multiLevelType w:val="hybridMultilevel"/>
    <w:tmpl w:val="4BE63EE4"/>
    <w:lvl w:ilvl="0" w:tplc="9FB8DF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9A3AF2"/>
    <w:multiLevelType w:val="hybridMultilevel"/>
    <w:tmpl w:val="4BE63EE4"/>
    <w:lvl w:ilvl="0" w:tplc="9FB8DF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0828FC"/>
    <w:multiLevelType w:val="hybridMultilevel"/>
    <w:tmpl w:val="4BE63EE4"/>
    <w:lvl w:ilvl="0" w:tplc="9FB8DF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86A93"/>
    <w:multiLevelType w:val="hybridMultilevel"/>
    <w:tmpl w:val="2BF4BC06"/>
    <w:lvl w:ilvl="0" w:tplc="85C6844E">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045EC4"/>
    <w:multiLevelType w:val="hybridMultilevel"/>
    <w:tmpl w:val="4BE63EE4"/>
    <w:lvl w:ilvl="0" w:tplc="9FB8DF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6F0706"/>
    <w:multiLevelType w:val="hybridMultilevel"/>
    <w:tmpl w:val="4BE63EE4"/>
    <w:lvl w:ilvl="0" w:tplc="9FB8DF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46009E"/>
    <w:multiLevelType w:val="hybridMultilevel"/>
    <w:tmpl w:val="4BE63EE4"/>
    <w:lvl w:ilvl="0" w:tplc="9FB8DF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7"/>
  </w:num>
  <w:num w:numId="5">
    <w:abstractNumId w:val="1"/>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32F"/>
    <w:rsid w:val="00014F79"/>
    <w:rsid w:val="000530E5"/>
    <w:rsid w:val="000D783A"/>
    <w:rsid w:val="000E2C01"/>
    <w:rsid w:val="001002EF"/>
    <w:rsid w:val="001149AE"/>
    <w:rsid w:val="00141AD0"/>
    <w:rsid w:val="0019154B"/>
    <w:rsid w:val="00191ECD"/>
    <w:rsid w:val="001A0D9A"/>
    <w:rsid w:val="001B2C90"/>
    <w:rsid w:val="001D6697"/>
    <w:rsid w:val="001E0F33"/>
    <w:rsid w:val="00200B08"/>
    <w:rsid w:val="00256E5F"/>
    <w:rsid w:val="00283A6C"/>
    <w:rsid w:val="00287955"/>
    <w:rsid w:val="002934E3"/>
    <w:rsid w:val="002C2013"/>
    <w:rsid w:val="002C673D"/>
    <w:rsid w:val="003234DD"/>
    <w:rsid w:val="00324641"/>
    <w:rsid w:val="003441D0"/>
    <w:rsid w:val="00356FA7"/>
    <w:rsid w:val="003610A0"/>
    <w:rsid w:val="003F436E"/>
    <w:rsid w:val="0040663A"/>
    <w:rsid w:val="00426D9C"/>
    <w:rsid w:val="00432448"/>
    <w:rsid w:val="00451F5B"/>
    <w:rsid w:val="004957F7"/>
    <w:rsid w:val="004F0EC2"/>
    <w:rsid w:val="004F6CEF"/>
    <w:rsid w:val="005130CC"/>
    <w:rsid w:val="005138CF"/>
    <w:rsid w:val="00524D6D"/>
    <w:rsid w:val="00531DC2"/>
    <w:rsid w:val="00563DD9"/>
    <w:rsid w:val="00564BEA"/>
    <w:rsid w:val="005778CC"/>
    <w:rsid w:val="00585288"/>
    <w:rsid w:val="005A0B6C"/>
    <w:rsid w:val="00620FB9"/>
    <w:rsid w:val="00627E4E"/>
    <w:rsid w:val="00637C7D"/>
    <w:rsid w:val="00670764"/>
    <w:rsid w:val="00687484"/>
    <w:rsid w:val="00696ED6"/>
    <w:rsid w:val="006A390E"/>
    <w:rsid w:val="006F09CF"/>
    <w:rsid w:val="006F4A67"/>
    <w:rsid w:val="0070332F"/>
    <w:rsid w:val="00704263"/>
    <w:rsid w:val="0071206E"/>
    <w:rsid w:val="007332F1"/>
    <w:rsid w:val="00735799"/>
    <w:rsid w:val="00747A14"/>
    <w:rsid w:val="0076731F"/>
    <w:rsid w:val="00776B64"/>
    <w:rsid w:val="007A15A0"/>
    <w:rsid w:val="007B20FA"/>
    <w:rsid w:val="007B2331"/>
    <w:rsid w:val="007C3B70"/>
    <w:rsid w:val="007E44C3"/>
    <w:rsid w:val="008177C5"/>
    <w:rsid w:val="0085037E"/>
    <w:rsid w:val="008538D9"/>
    <w:rsid w:val="008576E9"/>
    <w:rsid w:val="0089473B"/>
    <w:rsid w:val="008A54BD"/>
    <w:rsid w:val="008B2ACA"/>
    <w:rsid w:val="00917ACF"/>
    <w:rsid w:val="00927D42"/>
    <w:rsid w:val="00936D3D"/>
    <w:rsid w:val="0093753B"/>
    <w:rsid w:val="009669D4"/>
    <w:rsid w:val="0096790E"/>
    <w:rsid w:val="00980FDF"/>
    <w:rsid w:val="00A0443A"/>
    <w:rsid w:val="00A36E27"/>
    <w:rsid w:val="00A43D9A"/>
    <w:rsid w:val="00A54426"/>
    <w:rsid w:val="00A60C14"/>
    <w:rsid w:val="00A8660A"/>
    <w:rsid w:val="00AC0AE4"/>
    <w:rsid w:val="00B92821"/>
    <w:rsid w:val="00B96E9F"/>
    <w:rsid w:val="00BA7F20"/>
    <w:rsid w:val="00BE241F"/>
    <w:rsid w:val="00BE34D8"/>
    <w:rsid w:val="00C30D62"/>
    <w:rsid w:val="00C31DA8"/>
    <w:rsid w:val="00C851C0"/>
    <w:rsid w:val="00CA3A09"/>
    <w:rsid w:val="00CB6501"/>
    <w:rsid w:val="00CC5425"/>
    <w:rsid w:val="00CC6EE3"/>
    <w:rsid w:val="00D70C64"/>
    <w:rsid w:val="00DA2FC3"/>
    <w:rsid w:val="00DE1426"/>
    <w:rsid w:val="00DF5661"/>
    <w:rsid w:val="00E26928"/>
    <w:rsid w:val="00E574D4"/>
    <w:rsid w:val="00E82D5A"/>
    <w:rsid w:val="00EA68B6"/>
    <w:rsid w:val="00EA75C5"/>
    <w:rsid w:val="00EB25BA"/>
    <w:rsid w:val="00ED5DA3"/>
    <w:rsid w:val="00F12ADF"/>
    <w:rsid w:val="00F44C2A"/>
    <w:rsid w:val="00F5268B"/>
    <w:rsid w:val="00F554A9"/>
    <w:rsid w:val="00F64265"/>
    <w:rsid w:val="00FD47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7D4855-BCCF-44B8-815F-6CCB9BCF6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0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91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154B"/>
    <w:rPr>
      <w:rFonts w:ascii="Courier New" w:eastAsia="Times New Roman" w:hAnsi="Courier New" w:cs="Courier New"/>
      <w:sz w:val="20"/>
      <w:szCs w:val="20"/>
    </w:rPr>
  </w:style>
  <w:style w:type="paragraph" w:styleId="ListParagraph">
    <w:name w:val="List Paragraph"/>
    <w:basedOn w:val="Normal"/>
    <w:uiPriority w:val="34"/>
    <w:qFormat/>
    <w:rsid w:val="00F64265"/>
    <w:pPr>
      <w:ind w:left="720"/>
      <w:contextualSpacing/>
    </w:pPr>
  </w:style>
  <w:style w:type="character" w:styleId="PlaceholderText">
    <w:name w:val="Placeholder Text"/>
    <w:basedOn w:val="DefaultParagraphFont"/>
    <w:uiPriority w:val="99"/>
    <w:semiHidden/>
    <w:rsid w:val="00F642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1754">
      <w:bodyDiv w:val="1"/>
      <w:marLeft w:val="0"/>
      <w:marRight w:val="0"/>
      <w:marTop w:val="0"/>
      <w:marBottom w:val="0"/>
      <w:divBdr>
        <w:top w:val="none" w:sz="0" w:space="0" w:color="auto"/>
        <w:left w:val="none" w:sz="0" w:space="0" w:color="auto"/>
        <w:bottom w:val="none" w:sz="0" w:space="0" w:color="auto"/>
        <w:right w:val="none" w:sz="0" w:space="0" w:color="auto"/>
      </w:divBdr>
    </w:div>
    <w:div w:id="19819360">
      <w:bodyDiv w:val="1"/>
      <w:marLeft w:val="0"/>
      <w:marRight w:val="0"/>
      <w:marTop w:val="0"/>
      <w:marBottom w:val="0"/>
      <w:divBdr>
        <w:top w:val="none" w:sz="0" w:space="0" w:color="auto"/>
        <w:left w:val="none" w:sz="0" w:space="0" w:color="auto"/>
        <w:bottom w:val="none" w:sz="0" w:space="0" w:color="auto"/>
        <w:right w:val="none" w:sz="0" w:space="0" w:color="auto"/>
      </w:divBdr>
    </w:div>
    <w:div w:id="21831126">
      <w:bodyDiv w:val="1"/>
      <w:marLeft w:val="0"/>
      <w:marRight w:val="0"/>
      <w:marTop w:val="0"/>
      <w:marBottom w:val="0"/>
      <w:divBdr>
        <w:top w:val="none" w:sz="0" w:space="0" w:color="auto"/>
        <w:left w:val="none" w:sz="0" w:space="0" w:color="auto"/>
        <w:bottom w:val="none" w:sz="0" w:space="0" w:color="auto"/>
        <w:right w:val="none" w:sz="0" w:space="0" w:color="auto"/>
      </w:divBdr>
    </w:div>
    <w:div w:id="32657451">
      <w:bodyDiv w:val="1"/>
      <w:marLeft w:val="0"/>
      <w:marRight w:val="0"/>
      <w:marTop w:val="0"/>
      <w:marBottom w:val="0"/>
      <w:divBdr>
        <w:top w:val="none" w:sz="0" w:space="0" w:color="auto"/>
        <w:left w:val="none" w:sz="0" w:space="0" w:color="auto"/>
        <w:bottom w:val="none" w:sz="0" w:space="0" w:color="auto"/>
        <w:right w:val="none" w:sz="0" w:space="0" w:color="auto"/>
      </w:divBdr>
    </w:div>
    <w:div w:id="33819102">
      <w:bodyDiv w:val="1"/>
      <w:marLeft w:val="0"/>
      <w:marRight w:val="0"/>
      <w:marTop w:val="0"/>
      <w:marBottom w:val="0"/>
      <w:divBdr>
        <w:top w:val="none" w:sz="0" w:space="0" w:color="auto"/>
        <w:left w:val="none" w:sz="0" w:space="0" w:color="auto"/>
        <w:bottom w:val="none" w:sz="0" w:space="0" w:color="auto"/>
        <w:right w:val="none" w:sz="0" w:space="0" w:color="auto"/>
      </w:divBdr>
    </w:div>
    <w:div w:id="44447919">
      <w:bodyDiv w:val="1"/>
      <w:marLeft w:val="0"/>
      <w:marRight w:val="0"/>
      <w:marTop w:val="0"/>
      <w:marBottom w:val="0"/>
      <w:divBdr>
        <w:top w:val="none" w:sz="0" w:space="0" w:color="auto"/>
        <w:left w:val="none" w:sz="0" w:space="0" w:color="auto"/>
        <w:bottom w:val="none" w:sz="0" w:space="0" w:color="auto"/>
        <w:right w:val="none" w:sz="0" w:space="0" w:color="auto"/>
      </w:divBdr>
    </w:div>
    <w:div w:id="45420210">
      <w:bodyDiv w:val="1"/>
      <w:marLeft w:val="0"/>
      <w:marRight w:val="0"/>
      <w:marTop w:val="0"/>
      <w:marBottom w:val="0"/>
      <w:divBdr>
        <w:top w:val="none" w:sz="0" w:space="0" w:color="auto"/>
        <w:left w:val="none" w:sz="0" w:space="0" w:color="auto"/>
        <w:bottom w:val="none" w:sz="0" w:space="0" w:color="auto"/>
        <w:right w:val="none" w:sz="0" w:space="0" w:color="auto"/>
      </w:divBdr>
    </w:div>
    <w:div w:id="47148750">
      <w:bodyDiv w:val="1"/>
      <w:marLeft w:val="0"/>
      <w:marRight w:val="0"/>
      <w:marTop w:val="0"/>
      <w:marBottom w:val="0"/>
      <w:divBdr>
        <w:top w:val="none" w:sz="0" w:space="0" w:color="auto"/>
        <w:left w:val="none" w:sz="0" w:space="0" w:color="auto"/>
        <w:bottom w:val="none" w:sz="0" w:space="0" w:color="auto"/>
        <w:right w:val="none" w:sz="0" w:space="0" w:color="auto"/>
      </w:divBdr>
    </w:div>
    <w:div w:id="49235031">
      <w:bodyDiv w:val="1"/>
      <w:marLeft w:val="0"/>
      <w:marRight w:val="0"/>
      <w:marTop w:val="0"/>
      <w:marBottom w:val="0"/>
      <w:divBdr>
        <w:top w:val="none" w:sz="0" w:space="0" w:color="auto"/>
        <w:left w:val="none" w:sz="0" w:space="0" w:color="auto"/>
        <w:bottom w:val="none" w:sz="0" w:space="0" w:color="auto"/>
        <w:right w:val="none" w:sz="0" w:space="0" w:color="auto"/>
      </w:divBdr>
    </w:div>
    <w:div w:id="49546669">
      <w:bodyDiv w:val="1"/>
      <w:marLeft w:val="0"/>
      <w:marRight w:val="0"/>
      <w:marTop w:val="0"/>
      <w:marBottom w:val="0"/>
      <w:divBdr>
        <w:top w:val="none" w:sz="0" w:space="0" w:color="auto"/>
        <w:left w:val="none" w:sz="0" w:space="0" w:color="auto"/>
        <w:bottom w:val="none" w:sz="0" w:space="0" w:color="auto"/>
        <w:right w:val="none" w:sz="0" w:space="0" w:color="auto"/>
      </w:divBdr>
    </w:div>
    <w:div w:id="57554513">
      <w:bodyDiv w:val="1"/>
      <w:marLeft w:val="0"/>
      <w:marRight w:val="0"/>
      <w:marTop w:val="0"/>
      <w:marBottom w:val="0"/>
      <w:divBdr>
        <w:top w:val="none" w:sz="0" w:space="0" w:color="auto"/>
        <w:left w:val="none" w:sz="0" w:space="0" w:color="auto"/>
        <w:bottom w:val="none" w:sz="0" w:space="0" w:color="auto"/>
        <w:right w:val="none" w:sz="0" w:space="0" w:color="auto"/>
      </w:divBdr>
    </w:div>
    <w:div w:id="62459968">
      <w:bodyDiv w:val="1"/>
      <w:marLeft w:val="0"/>
      <w:marRight w:val="0"/>
      <w:marTop w:val="0"/>
      <w:marBottom w:val="0"/>
      <w:divBdr>
        <w:top w:val="none" w:sz="0" w:space="0" w:color="auto"/>
        <w:left w:val="none" w:sz="0" w:space="0" w:color="auto"/>
        <w:bottom w:val="none" w:sz="0" w:space="0" w:color="auto"/>
        <w:right w:val="none" w:sz="0" w:space="0" w:color="auto"/>
      </w:divBdr>
    </w:div>
    <w:div w:id="64913117">
      <w:bodyDiv w:val="1"/>
      <w:marLeft w:val="0"/>
      <w:marRight w:val="0"/>
      <w:marTop w:val="0"/>
      <w:marBottom w:val="0"/>
      <w:divBdr>
        <w:top w:val="none" w:sz="0" w:space="0" w:color="auto"/>
        <w:left w:val="none" w:sz="0" w:space="0" w:color="auto"/>
        <w:bottom w:val="none" w:sz="0" w:space="0" w:color="auto"/>
        <w:right w:val="none" w:sz="0" w:space="0" w:color="auto"/>
      </w:divBdr>
    </w:div>
    <w:div w:id="68963453">
      <w:bodyDiv w:val="1"/>
      <w:marLeft w:val="0"/>
      <w:marRight w:val="0"/>
      <w:marTop w:val="0"/>
      <w:marBottom w:val="0"/>
      <w:divBdr>
        <w:top w:val="none" w:sz="0" w:space="0" w:color="auto"/>
        <w:left w:val="none" w:sz="0" w:space="0" w:color="auto"/>
        <w:bottom w:val="none" w:sz="0" w:space="0" w:color="auto"/>
        <w:right w:val="none" w:sz="0" w:space="0" w:color="auto"/>
      </w:divBdr>
    </w:div>
    <w:div w:id="72507467">
      <w:bodyDiv w:val="1"/>
      <w:marLeft w:val="0"/>
      <w:marRight w:val="0"/>
      <w:marTop w:val="0"/>
      <w:marBottom w:val="0"/>
      <w:divBdr>
        <w:top w:val="none" w:sz="0" w:space="0" w:color="auto"/>
        <w:left w:val="none" w:sz="0" w:space="0" w:color="auto"/>
        <w:bottom w:val="none" w:sz="0" w:space="0" w:color="auto"/>
        <w:right w:val="none" w:sz="0" w:space="0" w:color="auto"/>
      </w:divBdr>
    </w:div>
    <w:div w:id="74399848">
      <w:bodyDiv w:val="1"/>
      <w:marLeft w:val="0"/>
      <w:marRight w:val="0"/>
      <w:marTop w:val="0"/>
      <w:marBottom w:val="0"/>
      <w:divBdr>
        <w:top w:val="none" w:sz="0" w:space="0" w:color="auto"/>
        <w:left w:val="none" w:sz="0" w:space="0" w:color="auto"/>
        <w:bottom w:val="none" w:sz="0" w:space="0" w:color="auto"/>
        <w:right w:val="none" w:sz="0" w:space="0" w:color="auto"/>
      </w:divBdr>
    </w:div>
    <w:div w:id="75366704">
      <w:bodyDiv w:val="1"/>
      <w:marLeft w:val="0"/>
      <w:marRight w:val="0"/>
      <w:marTop w:val="0"/>
      <w:marBottom w:val="0"/>
      <w:divBdr>
        <w:top w:val="none" w:sz="0" w:space="0" w:color="auto"/>
        <w:left w:val="none" w:sz="0" w:space="0" w:color="auto"/>
        <w:bottom w:val="none" w:sz="0" w:space="0" w:color="auto"/>
        <w:right w:val="none" w:sz="0" w:space="0" w:color="auto"/>
      </w:divBdr>
    </w:div>
    <w:div w:id="88091331">
      <w:bodyDiv w:val="1"/>
      <w:marLeft w:val="0"/>
      <w:marRight w:val="0"/>
      <w:marTop w:val="0"/>
      <w:marBottom w:val="0"/>
      <w:divBdr>
        <w:top w:val="none" w:sz="0" w:space="0" w:color="auto"/>
        <w:left w:val="none" w:sz="0" w:space="0" w:color="auto"/>
        <w:bottom w:val="none" w:sz="0" w:space="0" w:color="auto"/>
        <w:right w:val="none" w:sz="0" w:space="0" w:color="auto"/>
      </w:divBdr>
    </w:div>
    <w:div w:id="93597987">
      <w:bodyDiv w:val="1"/>
      <w:marLeft w:val="0"/>
      <w:marRight w:val="0"/>
      <w:marTop w:val="0"/>
      <w:marBottom w:val="0"/>
      <w:divBdr>
        <w:top w:val="none" w:sz="0" w:space="0" w:color="auto"/>
        <w:left w:val="none" w:sz="0" w:space="0" w:color="auto"/>
        <w:bottom w:val="none" w:sz="0" w:space="0" w:color="auto"/>
        <w:right w:val="none" w:sz="0" w:space="0" w:color="auto"/>
      </w:divBdr>
    </w:div>
    <w:div w:id="95057318">
      <w:bodyDiv w:val="1"/>
      <w:marLeft w:val="0"/>
      <w:marRight w:val="0"/>
      <w:marTop w:val="0"/>
      <w:marBottom w:val="0"/>
      <w:divBdr>
        <w:top w:val="none" w:sz="0" w:space="0" w:color="auto"/>
        <w:left w:val="none" w:sz="0" w:space="0" w:color="auto"/>
        <w:bottom w:val="none" w:sz="0" w:space="0" w:color="auto"/>
        <w:right w:val="none" w:sz="0" w:space="0" w:color="auto"/>
      </w:divBdr>
    </w:div>
    <w:div w:id="108864810">
      <w:bodyDiv w:val="1"/>
      <w:marLeft w:val="0"/>
      <w:marRight w:val="0"/>
      <w:marTop w:val="0"/>
      <w:marBottom w:val="0"/>
      <w:divBdr>
        <w:top w:val="none" w:sz="0" w:space="0" w:color="auto"/>
        <w:left w:val="none" w:sz="0" w:space="0" w:color="auto"/>
        <w:bottom w:val="none" w:sz="0" w:space="0" w:color="auto"/>
        <w:right w:val="none" w:sz="0" w:space="0" w:color="auto"/>
      </w:divBdr>
    </w:div>
    <w:div w:id="109666133">
      <w:bodyDiv w:val="1"/>
      <w:marLeft w:val="0"/>
      <w:marRight w:val="0"/>
      <w:marTop w:val="0"/>
      <w:marBottom w:val="0"/>
      <w:divBdr>
        <w:top w:val="none" w:sz="0" w:space="0" w:color="auto"/>
        <w:left w:val="none" w:sz="0" w:space="0" w:color="auto"/>
        <w:bottom w:val="none" w:sz="0" w:space="0" w:color="auto"/>
        <w:right w:val="none" w:sz="0" w:space="0" w:color="auto"/>
      </w:divBdr>
    </w:div>
    <w:div w:id="114714187">
      <w:bodyDiv w:val="1"/>
      <w:marLeft w:val="0"/>
      <w:marRight w:val="0"/>
      <w:marTop w:val="0"/>
      <w:marBottom w:val="0"/>
      <w:divBdr>
        <w:top w:val="none" w:sz="0" w:space="0" w:color="auto"/>
        <w:left w:val="none" w:sz="0" w:space="0" w:color="auto"/>
        <w:bottom w:val="none" w:sz="0" w:space="0" w:color="auto"/>
        <w:right w:val="none" w:sz="0" w:space="0" w:color="auto"/>
      </w:divBdr>
    </w:div>
    <w:div w:id="114905852">
      <w:bodyDiv w:val="1"/>
      <w:marLeft w:val="0"/>
      <w:marRight w:val="0"/>
      <w:marTop w:val="0"/>
      <w:marBottom w:val="0"/>
      <w:divBdr>
        <w:top w:val="none" w:sz="0" w:space="0" w:color="auto"/>
        <w:left w:val="none" w:sz="0" w:space="0" w:color="auto"/>
        <w:bottom w:val="none" w:sz="0" w:space="0" w:color="auto"/>
        <w:right w:val="none" w:sz="0" w:space="0" w:color="auto"/>
      </w:divBdr>
    </w:div>
    <w:div w:id="135144627">
      <w:bodyDiv w:val="1"/>
      <w:marLeft w:val="0"/>
      <w:marRight w:val="0"/>
      <w:marTop w:val="0"/>
      <w:marBottom w:val="0"/>
      <w:divBdr>
        <w:top w:val="none" w:sz="0" w:space="0" w:color="auto"/>
        <w:left w:val="none" w:sz="0" w:space="0" w:color="auto"/>
        <w:bottom w:val="none" w:sz="0" w:space="0" w:color="auto"/>
        <w:right w:val="none" w:sz="0" w:space="0" w:color="auto"/>
      </w:divBdr>
    </w:div>
    <w:div w:id="145362774">
      <w:bodyDiv w:val="1"/>
      <w:marLeft w:val="0"/>
      <w:marRight w:val="0"/>
      <w:marTop w:val="0"/>
      <w:marBottom w:val="0"/>
      <w:divBdr>
        <w:top w:val="none" w:sz="0" w:space="0" w:color="auto"/>
        <w:left w:val="none" w:sz="0" w:space="0" w:color="auto"/>
        <w:bottom w:val="none" w:sz="0" w:space="0" w:color="auto"/>
        <w:right w:val="none" w:sz="0" w:space="0" w:color="auto"/>
      </w:divBdr>
    </w:div>
    <w:div w:id="157161559">
      <w:bodyDiv w:val="1"/>
      <w:marLeft w:val="0"/>
      <w:marRight w:val="0"/>
      <w:marTop w:val="0"/>
      <w:marBottom w:val="0"/>
      <w:divBdr>
        <w:top w:val="none" w:sz="0" w:space="0" w:color="auto"/>
        <w:left w:val="none" w:sz="0" w:space="0" w:color="auto"/>
        <w:bottom w:val="none" w:sz="0" w:space="0" w:color="auto"/>
        <w:right w:val="none" w:sz="0" w:space="0" w:color="auto"/>
      </w:divBdr>
    </w:div>
    <w:div w:id="166405839">
      <w:bodyDiv w:val="1"/>
      <w:marLeft w:val="0"/>
      <w:marRight w:val="0"/>
      <w:marTop w:val="0"/>
      <w:marBottom w:val="0"/>
      <w:divBdr>
        <w:top w:val="none" w:sz="0" w:space="0" w:color="auto"/>
        <w:left w:val="none" w:sz="0" w:space="0" w:color="auto"/>
        <w:bottom w:val="none" w:sz="0" w:space="0" w:color="auto"/>
        <w:right w:val="none" w:sz="0" w:space="0" w:color="auto"/>
      </w:divBdr>
    </w:div>
    <w:div w:id="169956628">
      <w:bodyDiv w:val="1"/>
      <w:marLeft w:val="0"/>
      <w:marRight w:val="0"/>
      <w:marTop w:val="0"/>
      <w:marBottom w:val="0"/>
      <w:divBdr>
        <w:top w:val="none" w:sz="0" w:space="0" w:color="auto"/>
        <w:left w:val="none" w:sz="0" w:space="0" w:color="auto"/>
        <w:bottom w:val="none" w:sz="0" w:space="0" w:color="auto"/>
        <w:right w:val="none" w:sz="0" w:space="0" w:color="auto"/>
      </w:divBdr>
    </w:div>
    <w:div w:id="180901169">
      <w:bodyDiv w:val="1"/>
      <w:marLeft w:val="0"/>
      <w:marRight w:val="0"/>
      <w:marTop w:val="0"/>
      <w:marBottom w:val="0"/>
      <w:divBdr>
        <w:top w:val="none" w:sz="0" w:space="0" w:color="auto"/>
        <w:left w:val="none" w:sz="0" w:space="0" w:color="auto"/>
        <w:bottom w:val="none" w:sz="0" w:space="0" w:color="auto"/>
        <w:right w:val="none" w:sz="0" w:space="0" w:color="auto"/>
      </w:divBdr>
    </w:div>
    <w:div w:id="202791410">
      <w:bodyDiv w:val="1"/>
      <w:marLeft w:val="0"/>
      <w:marRight w:val="0"/>
      <w:marTop w:val="0"/>
      <w:marBottom w:val="0"/>
      <w:divBdr>
        <w:top w:val="none" w:sz="0" w:space="0" w:color="auto"/>
        <w:left w:val="none" w:sz="0" w:space="0" w:color="auto"/>
        <w:bottom w:val="none" w:sz="0" w:space="0" w:color="auto"/>
        <w:right w:val="none" w:sz="0" w:space="0" w:color="auto"/>
      </w:divBdr>
    </w:div>
    <w:div w:id="204292578">
      <w:bodyDiv w:val="1"/>
      <w:marLeft w:val="0"/>
      <w:marRight w:val="0"/>
      <w:marTop w:val="0"/>
      <w:marBottom w:val="0"/>
      <w:divBdr>
        <w:top w:val="none" w:sz="0" w:space="0" w:color="auto"/>
        <w:left w:val="none" w:sz="0" w:space="0" w:color="auto"/>
        <w:bottom w:val="none" w:sz="0" w:space="0" w:color="auto"/>
        <w:right w:val="none" w:sz="0" w:space="0" w:color="auto"/>
      </w:divBdr>
    </w:div>
    <w:div w:id="205869760">
      <w:bodyDiv w:val="1"/>
      <w:marLeft w:val="0"/>
      <w:marRight w:val="0"/>
      <w:marTop w:val="0"/>
      <w:marBottom w:val="0"/>
      <w:divBdr>
        <w:top w:val="none" w:sz="0" w:space="0" w:color="auto"/>
        <w:left w:val="none" w:sz="0" w:space="0" w:color="auto"/>
        <w:bottom w:val="none" w:sz="0" w:space="0" w:color="auto"/>
        <w:right w:val="none" w:sz="0" w:space="0" w:color="auto"/>
      </w:divBdr>
    </w:div>
    <w:div w:id="221715267">
      <w:bodyDiv w:val="1"/>
      <w:marLeft w:val="0"/>
      <w:marRight w:val="0"/>
      <w:marTop w:val="0"/>
      <w:marBottom w:val="0"/>
      <w:divBdr>
        <w:top w:val="none" w:sz="0" w:space="0" w:color="auto"/>
        <w:left w:val="none" w:sz="0" w:space="0" w:color="auto"/>
        <w:bottom w:val="none" w:sz="0" w:space="0" w:color="auto"/>
        <w:right w:val="none" w:sz="0" w:space="0" w:color="auto"/>
      </w:divBdr>
    </w:div>
    <w:div w:id="226575862">
      <w:bodyDiv w:val="1"/>
      <w:marLeft w:val="0"/>
      <w:marRight w:val="0"/>
      <w:marTop w:val="0"/>
      <w:marBottom w:val="0"/>
      <w:divBdr>
        <w:top w:val="none" w:sz="0" w:space="0" w:color="auto"/>
        <w:left w:val="none" w:sz="0" w:space="0" w:color="auto"/>
        <w:bottom w:val="none" w:sz="0" w:space="0" w:color="auto"/>
        <w:right w:val="none" w:sz="0" w:space="0" w:color="auto"/>
      </w:divBdr>
    </w:div>
    <w:div w:id="230889932">
      <w:bodyDiv w:val="1"/>
      <w:marLeft w:val="0"/>
      <w:marRight w:val="0"/>
      <w:marTop w:val="0"/>
      <w:marBottom w:val="0"/>
      <w:divBdr>
        <w:top w:val="none" w:sz="0" w:space="0" w:color="auto"/>
        <w:left w:val="none" w:sz="0" w:space="0" w:color="auto"/>
        <w:bottom w:val="none" w:sz="0" w:space="0" w:color="auto"/>
        <w:right w:val="none" w:sz="0" w:space="0" w:color="auto"/>
      </w:divBdr>
    </w:div>
    <w:div w:id="236595646">
      <w:bodyDiv w:val="1"/>
      <w:marLeft w:val="0"/>
      <w:marRight w:val="0"/>
      <w:marTop w:val="0"/>
      <w:marBottom w:val="0"/>
      <w:divBdr>
        <w:top w:val="none" w:sz="0" w:space="0" w:color="auto"/>
        <w:left w:val="none" w:sz="0" w:space="0" w:color="auto"/>
        <w:bottom w:val="none" w:sz="0" w:space="0" w:color="auto"/>
        <w:right w:val="none" w:sz="0" w:space="0" w:color="auto"/>
      </w:divBdr>
    </w:div>
    <w:div w:id="239020158">
      <w:bodyDiv w:val="1"/>
      <w:marLeft w:val="0"/>
      <w:marRight w:val="0"/>
      <w:marTop w:val="0"/>
      <w:marBottom w:val="0"/>
      <w:divBdr>
        <w:top w:val="none" w:sz="0" w:space="0" w:color="auto"/>
        <w:left w:val="none" w:sz="0" w:space="0" w:color="auto"/>
        <w:bottom w:val="none" w:sz="0" w:space="0" w:color="auto"/>
        <w:right w:val="none" w:sz="0" w:space="0" w:color="auto"/>
      </w:divBdr>
    </w:div>
    <w:div w:id="239875321">
      <w:bodyDiv w:val="1"/>
      <w:marLeft w:val="0"/>
      <w:marRight w:val="0"/>
      <w:marTop w:val="0"/>
      <w:marBottom w:val="0"/>
      <w:divBdr>
        <w:top w:val="none" w:sz="0" w:space="0" w:color="auto"/>
        <w:left w:val="none" w:sz="0" w:space="0" w:color="auto"/>
        <w:bottom w:val="none" w:sz="0" w:space="0" w:color="auto"/>
        <w:right w:val="none" w:sz="0" w:space="0" w:color="auto"/>
      </w:divBdr>
    </w:div>
    <w:div w:id="243610034">
      <w:bodyDiv w:val="1"/>
      <w:marLeft w:val="0"/>
      <w:marRight w:val="0"/>
      <w:marTop w:val="0"/>
      <w:marBottom w:val="0"/>
      <w:divBdr>
        <w:top w:val="none" w:sz="0" w:space="0" w:color="auto"/>
        <w:left w:val="none" w:sz="0" w:space="0" w:color="auto"/>
        <w:bottom w:val="none" w:sz="0" w:space="0" w:color="auto"/>
        <w:right w:val="none" w:sz="0" w:space="0" w:color="auto"/>
      </w:divBdr>
    </w:div>
    <w:div w:id="267742922">
      <w:bodyDiv w:val="1"/>
      <w:marLeft w:val="0"/>
      <w:marRight w:val="0"/>
      <w:marTop w:val="0"/>
      <w:marBottom w:val="0"/>
      <w:divBdr>
        <w:top w:val="none" w:sz="0" w:space="0" w:color="auto"/>
        <w:left w:val="none" w:sz="0" w:space="0" w:color="auto"/>
        <w:bottom w:val="none" w:sz="0" w:space="0" w:color="auto"/>
        <w:right w:val="none" w:sz="0" w:space="0" w:color="auto"/>
      </w:divBdr>
    </w:div>
    <w:div w:id="269287687">
      <w:bodyDiv w:val="1"/>
      <w:marLeft w:val="0"/>
      <w:marRight w:val="0"/>
      <w:marTop w:val="0"/>
      <w:marBottom w:val="0"/>
      <w:divBdr>
        <w:top w:val="none" w:sz="0" w:space="0" w:color="auto"/>
        <w:left w:val="none" w:sz="0" w:space="0" w:color="auto"/>
        <w:bottom w:val="none" w:sz="0" w:space="0" w:color="auto"/>
        <w:right w:val="none" w:sz="0" w:space="0" w:color="auto"/>
      </w:divBdr>
    </w:div>
    <w:div w:id="270402687">
      <w:bodyDiv w:val="1"/>
      <w:marLeft w:val="0"/>
      <w:marRight w:val="0"/>
      <w:marTop w:val="0"/>
      <w:marBottom w:val="0"/>
      <w:divBdr>
        <w:top w:val="none" w:sz="0" w:space="0" w:color="auto"/>
        <w:left w:val="none" w:sz="0" w:space="0" w:color="auto"/>
        <w:bottom w:val="none" w:sz="0" w:space="0" w:color="auto"/>
        <w:right w:val="none" w:sz="0" w:space="0" w:color="auto"/>
      </w:divBdr>
    </w:div>
    <w:div w:id="277222397">
      <w:bodyDiv w:val="1"/>
      <w:marLeft w:val="0"/>
      <w:marRight w:val="0"/>
      <w:marTop w:val="0"/>
      <w:marBottom w:val="0"/>
      <w:divBdr>
        <w:top w:val="none" w:sz="0" w:space="0" w:color="auto"/>
        <w:left w:val="none" w:sz="0" w:space="0" w:color="auto"/>
        <w:bottom w:val="none" w:sz="0" w:space="0" w:color="auto"/>
        <w:right w:val="none" w:sz="0" w:space="0" w:color="auto"/>
      </w:divBdr>
    </w:div>
    <w:div w:id="279996129">
      <w:bodyDiv w:val="1"/>
      <w:marLeft w:val="0"/>
      <w:marRight w:val="0"/>
      <w:marTop w:val="0"/>
      <w:marBottom w:val="0"/>
      <w:divBdr>
        <w:top w:val="none" w:sz="0" w:space="0" w:color="auto"/>
        <w:left w:val="none" w:sz="0" w:space="0" w:color="auto"/>
        <w:bottom w:val="none" w:sz="0" w:space="0" w:color="auto"/>
        <w:right w:val="none" w:sz="0" w:space="0" w:color="auto"/>
      </w:divBdr>
    </w:div>
    <w:div w:id="290552269">
      <w:bodyDiv w:val="1"/>
      <w:marLeft w:val="0"/>
      <w:marRight w:val="0"/>
      <w:marTop w:val="0"/>
      <w:marBottom w:val="0"/>
      <w:divBdr>
        <w:top w:val="none" w:sz="0" w:space="0" w:color="auto"/>
        <w:left w:val="none" w:sz="0" w:space="0" w:color="auto"/>
        <w:bottom w:val="none" w:sz="0" w:space="0" w:color="auto"/>
        <w:right w:val="none" w:sz="0" w:space="0" w:color="auto"/>
      </w:divBdr>
    </w:div>
    <w:div w:id="301886584">
      <w:bodyDiv w:val="1"/>
      <w:marLeft w:val="0"/>
      <w:marRight w:val="0"/>
      <w:marTop w:val="0"/>
      <w:marBottom w:val="0"/>
      <w:divBdr>
        <w:top w:val="none" w:sz="0" w:space="0" w:color="auto"/>
        <w:left w:val="none" w:sz="0" w:space="0" w:color="auto"/>
        <w:bottom w:val="none" w:sz="0" w:space="0" w:color="auto"/>
        <w:right w:val="none" w:sz="0" w:space="0" w:color="auto"/>
      </w:divBdr>
    </w:div>
    <w:div w:id="302731506">
      <w:bodyDiv w:val="1"/>
      <w:marLeft w:val="0"/>
      <w:marRight w:val="0"/>
      <w:marTop w:val="0"/>
      <w:marBottom w:val="0"/>
      <w:divBdr>
        <w:top w:val="none" w:sz="0" w:space="0" w:color="auto"/>
        <w:left w:val="none" w:sz="0" w:space="0" w:color="auto"/>
        <w:bottom w:val="none" w:sz="0" w:space="0" w:color="auto"/>
        <w:right w:val="none" w:sz="0" w:space="0" w:color="auto"/>
      </w:divBdr>
    </w:div>
    <w:div w:id="311756316">
      <w:bodyDiv w:val="1"/>
      <w:marLeft w:val="0"/>
      <w:marRight w:val="0"/>
      <w:marTop w:val="0"/>
      <w:marBottom w:val="0"/>
      <w:divBdr>
        <w:top w:val="none" w:sz="0" w:space="0" w:color="auto"/>
        <w:left w:val="none" w:sz="0" w:space="0" w:color="auto"/>
        <w:bottom w:val="none" w:sz="0" w:space="0" w:color="auto"/>
        <w:right w:val="none" w:sz="0" w:space="0" w:color="auto"/>
      </w:divBdr>
    </w:div>
    <w:div w:id="319848018">
      <w:bodyDiv w:val="1"/>
      <w:marLeft w:val="0"/>
      <w:marRight w:val="0"/>
      <w:marTop w:val="0"/>
      <w:marBottom w:val="0"/>
      <w:divBdr>
        <w:top w:val="none" w:sz="0" w:space="0" w:color="auto"/>
        <w:left w:val="none" w:sz="0" w:space="0" w:color="auto"/>
        <w:bottom w:val="none" w:sz="0" w:space="0" w:color="auto"/>
        <w:right w:val="none" w:sz="0" w:space="0" w:color="auto"/>
      </w:divBdr>
    </w:div>
    <w:div w:id="321156799">
      <w:bodyDiv w:val="1"/>
      <w:marLeft w:val="0"/>
      <w:marRight w:val="0"/>
      <w:marTop w:val="0"/>
      <w:marBottom w:val="0"/>
      <w:divBdr>
        <w:top w:val="none" w:sz="0" w:space="0" w:color="auto"/>
        <w:left w:val="none" w:sz="0" w:space="0" w:color="auto"/>
        <w:bottom w:val="none" w:sz="0" w:space="0" w:color="auto"/>
        <w:right w:val="none" w:sz="0" w:space="0" w:color="auto"/>
      </w:divBdr>
    </w:div>
    <w:div w:id="326133210">
      <w:bodyDiv w:val="1"/>
      <w:marLeft w:val="0"/>
      <w:marRight w:val="0"/>
      <w:marTop w:val="0"/>
      <w:marBottom w:val="0"/>
      <w:divBdr>
        <w:top w:val="none" w:sz="0" w:space="0" w:color="auto"/>
        <w:left w:val="none" w:sz="0" w:space="0" w:color="auto"/>
        <w:bottom w:val="none" w:sz="0" w:space="0" w:color="auto"/>
        <w:right w:val="none" w:sz="0" w:space="0" w:color="auto"/>
      </w:divBdr>
    </w:div>
    <w:div w:id="341394170">
      <w:bodyDiv w:val="1"/>
      <w:marLeft w:val="0"/>
      <w:marRight w:val="0"/>
      <w:marTop w:val="0"/>
      <w:marBottom w:val="0"/>
      <w:divBdr>
        <w:top w:val="none" w:sz="0" w:space="0" w:color="auto"/>
        <w:left w:val="none" w:sz="0" w:space="0" w:color="auto"/>
        <w:bottom w:val="none" w:sz="0" w:space="0" w:color="auto"/>
        <w:right w:val="none" w:sz="0" w:space="0" w:color="auto"/>
      </w:divBdr>
    </w:div>
    <w:div w:id="343216531">
      <w:bodyDiv w:val="1"/>
      <w:marLeft w:val="0"/>
      <w:marRight w:val="0"/>
      <w:marTop w:val="0"/>
      <w:marBottom w:val="0"/>
      <w:divBdr>
        <w:top w:val="none" w:sz="0" w:space="0" w:color="auto"/>
        <w:left w:val="none" w:sz="0" w:space="0" w:color="auto"/>
        <w:bottom w:val="none" w:sz="0" w:space="0" w:color="auto"/>
        <w:right w:val="none" w:sz="0" w:space="0" w:color="auto"/>
      </w:divBdr>
    </w:div>
    <w:div w:id="345910674">
      <w:bodyDiv w:val="1"/>
      <w:marLeft w:val="0"/>
      <w:marRight w:val="0"/>
      <w:marTop w:val="0"/>
      <w:marBottom w:val="0"/>
      <w:divBdr>
        <w:top w:val="none" w:sz="0" w:space="0" w:color="auto"/>
        <w:left w:val="none" w:sz="0" w:space="0" w:color="auto"/>
        <w:bottom w:val="none" w:sz="0" w:space="0" w:color="auto"/>
        <w:right w:val="none" w:sz="0" w:space="0" w:color="auto"/>
      </w:divBdr>
    </w:div>
    <w:div w:id="348415941">
      <w:bodyDiv w:val="1"/>
      <w:marLeft w:val="0"/>
      <w:marRight w:val="0"/>
      <w:marTop w:val="0"/>
      <w:marBottom w:val="0"/>
      <w:divBdr>
        <w:top w:val="none" w:sz="0" w:space="0" w:color="auto"/>
        <w:left w:val="none" w:sz="0" w:space="0" w:color="auto"/>
        <w:bottom w:val="none" w:sz="0" w:space="0" w:color="auto"/>
        <w:right w:val="none" w:sz="0" w:space="0" w:color="auto"/>
      </w:divBdr>
    </w:div>
    <w:div w:id="355035861">
      <w:bodyDiv w:val="1"/>
      <w:marLeft w:val="0"/>
      <w:marRight w:val="0"/>
      <w:marTop w:val="0"/>
      <w:marBottom w:val="0"/>
      <w:divBdr>
        <w:top w:val="none" w:sz="0" w:space="0" w:color="auto"/>
        <w:left w:val="none" w:sz="0" w:space="0" w:color="auto"/>
        <w:bottom w:val="none" w:sz="0" w:space="0" w:color="auto"/>
        <w:right w:val="none" w:sz="0" w:space="0" w:color="auto"/>
      </w:divBdr>
    </w:div>
    <w:div w:id="357120358">
      <w:bodyDiv w:val="1"/>
      <w:marLeft w:val="0"/>
      <w:marRight w:val="0"/>
      <w:marTop w:val="0"/>
      <w:marBottom w:val="0"/>
      <w:divBdr>
        <w:top w:val="none" w:sz="0" w:space="0" w:color="auto"/>
        <w:left w:val="none" w:sz="0" w:space="0" w:color="auto"/>
        <w:bottom w:val="none" w:sz="0" w:space="0" w:color="auto"/>
        <w:right w:val="none" w:sz="0" w:space="0" w:color="auto"/>
      </w:divBdr>
    </w:div>
    <w:div w:id="375392120">
      <w:bodyDiv w:val="1"/>
      <w:marLeft w:val="0"/>
      <w:marRight w:val="0"/>
      <w:marTop w:val="0"/>
      <w:marBottom w:val="0"/>
      <w:divBdr>
        <w:top w:val="none" w:sz="0" w:space="0" w:color="auto"/>
        <w:left w:val="none" w:sz="0" w:space="0" w:color="auto"/>
        <w:bottom w:val="none" w:sz="0" w:space="0" w:color="auto"/>
        <w:right w:val="none" w:sz="0" w:space="0" w:color="auto"/>
      </w:divBdr>
    </w:div>
    <w:div w:id="378479275">
      <w:bodyDiv w:val="1"/>
      <w:marLeft w:val="0"/>
      <w:marRight w:val="0"/>
      <w:marTop w:val="0"/>
      <w:marBottom w:val="0"/>
      <w:divBdr>
        <w:top w:val="none" w:sz="0" w:space="0" w:color="auto"/>
        <w:left w:val="none" w:sz="0" w:space="0" w:color="auto"/>
        <w:bottom w:val="none" w:sz="0" w:space="0" w:color="auto"/>
        <w:right w:val="none" w:sz="0" w:space="0" w:color="auto"/>
      </w:divBdr>
    </w:div>
    <w:div w:id="384568745">
      <w:bodyDiv w:val="1"/>
      <w:marLeft w:val="0"/>
      <w:marRight w:val="0"/>
      <w:marTop w:val="0"/>
      <w:marBottom w:val="0"/>
      <w:divBdr>
        <w:top w:val="none" w:sz="0" w:space="0" w:color="auto"/>
        <w:left w:val="none" w:sz="0" w:space="0" w:color="auto"/>
        <w:bottom w:val="none" w:sz="0" w:space="0" w:color="auto"/>
        <w:right w:val="none" w:sz="0" w:space="0" w:color="auto"/>
      </w:divBdr>
    </w:div>
    <w:div w:id="394595472">
      <w:bodyDiv w:val="1"/>
      <w:marLeft w:val="0"/>
      <w:marRight w:val="0"/>
      <w:marTop w:val="0"/>
      <w:marBottom w:val="0"/>
      <w:divBdr>
        <w:top w:val="none" w:sz="0" w:space="0" w:color="auto"/>
        <w:left w:val="none" w:sz="0" w:space="0" w:color="auto"/>
        <w:bottom w:val="none" w:sz="0" w:space="0" w:color="auto"/>
        <w:right w:val="none" w:sz="0" w:space="0" w:color="auto"/>
      </w:divBdr>
    </w:div>
    <w:div w:id="397243830">
      <w:bodyDiv w:val="1"/>
      <w:marLeft w:val="0"/>
      <w:marRight w:val="0"/>
      <w:marTop w:val="0"/>
      <w:marBottom w:val="0"/>
      <w:divBdr>
        <w:top w:val="none" w:sz="0" w:space="0" w:color="auto"/>
        <w:left w:val="none" w:sz="0" w:space="0" w:color="auto"/>
        <w:bottom w:val="none" w:sz="0" w:space="0" w:color="auto"/>
        <w:right w:val="none" w:sz="0" w:space="0" w:color="auto"/>
      </w:divBdr>
    </w:div>
    <w:div w:id="401874585">
      <w:bodyDiv w:val="1"/>
      <w:marLeft w:val="0"/>
      <w:marRight w:val="0"/>
      <w:marTop w:val="0"/>
      <w:marBottom w:val="0"/>
      <w:divBdr>
        <w:top w:val="none" w:sz="0" w:space="0" w:color="auto"/>
        <w:left w:val="none" w:sz="0" w:space="0" w:color="auto"/>
        <w:bottom w:val="none" w:sz="0" w:space="0" w:color="auto"/>
        <w:right w:val="none" w:sz="0" w:space="0" w:color="auto"/>
      </w:divBdr>
    </w:div>
    <w:div w:id="405108947">
      <w:bodyDiv w:val="1"/>
      <w:marLeft w:val="0"/>
      <w:marRight w:val="0"/>
      <w:marTop w:val="0"/>
      <w:marBottom w:val="0"/>
      <w:divBdr>
        <w:top w:val="none" w:sz="0" w:space="0" w:color="auto"/>
        <w:left w:val="none" w:sz="0" w:space="0" w:color="auto"/>
        <w:bottom w:val="none" w:sz="0" w:space="0" w:color="auto"/>
        <w:right w:val="none" w:sz="0" w:space="0" w:color="auto"/>
      </w:divBdr>
    </w:div>
    <w:div w:id="410738850">
      <w:bodyDiv w:val="1"/>
      <w:marLeft w:val="0"/>
      <w:marRight w:val="0"/>
      <w:marTop w:val="0"/>
      <w:marBottom w:val="0"/>
      <w:divBdr>
        <w:top w:val="none" w:sz="0" w:space="0" w:color="auto"/>
        <w:left w:val="none" w:sz="0" w:space="0" w:color="auto"/>
        <w:bottom w:val="none" w:sz="0" w:space="0" w:color="auto"/>
        <w:right w:val="none" w:sz="0" w:space="0" w:color="auto"/>
      </w:divBdr>
    </w:div>
    <w:div w:id="414010209">
      <w:bodyDiv w:val="1"/>
      <w:marLeft w:val="0"/>
      <w:marRight w:val="0"/>
      <w:marTop w:val="0"/>
      <w:marBottom w:val="0"/>
      <w:divBdr>
        <w:top w:val="none" w:sz="0" w:space="0" w:color="auto"/>
        <w:left w:val="none" w:sz="0" w:space="0" w:color="auto"/>
        <w:bottom w:val="none" w:sz="0" w:space="0" w:color="auto"/>
        <w:right w:val="none" w:sz="0" w:space="0" w:color="auto"/>
      </w:divBdr>
    </w:div>
    <w:div w:id="418719087">
      <w:bodyDiv w:val="1"/>
      <w:marLeft w:val="0"/>
      <w:marRight w:val="0"/>
      <w:marTop w:val="0"/>
      <w:marBottom w:val="0"/>
      <w:divBdr>
        <w:top w:val="none" w:sz="0" w:space="0" w:color="auto"/>
        <w:left w:val="none" w:sz="0" w:space="0" w:color="auto"/>
        <w:bottom w:val="none" w:sz="0" w:space="0" w:color="auto"/>
        <w:right w:val="none" w:sz="0" w:space="0" w:color="auto"/>
      </w:divBdr>
    </w:div>
    <w:div w:id="421493199">
      <w:bodyDiv w:val="1"/>
      <w:marLeft w:val="0"/>
      <w:marRight w:val="0"/>
      <w:marTop w:val="0"/>
      <w:marBottom w:val="0"/>
      <w:divBdr>
        <w:top w:val="none" w:sz="0" w:space="0" w:color="auto"/>
        <w:left w:val="none" w:sz="0" w:space="0" w:color="auto"/>
        <w:bottom w:val="none" w:sz="0" w:space="0" w:color="auto"/>
        <w:right w:val="none" w:sz="0" w:space="0" w:color="auto"/>
      </w:divBdr>
    </w:div>
    <w:div w:id="422799585">
      <w:bodyDiv w:val="1"/>
      <w:marLeft w:val="0"/>
      <w:marRight w:val="0"/>
      <w:marTop w:val="0"/>
      <w:marBottom w:val="0"/>
      <w:divBdr>
        <w:top w:val="none" w:sz="0" w:space="0" w:color="auto"/>
        <w:left w:val="none" w:sz="0" w:space="0" w:color="auto"/>
        <w:bottom w:val="none" w:sz="0" w:space="0" w:color="auto"/>
        <w:right w:val="none" w:sz="0" w:space="0" w:color="auto"/>
      </w:divBdr>
    </w:div>
    <w:div w:id="426191181">
      <w:bodyDiv w:val="1"/>
      <w:marLeft w:val="0"/>
      <w:marRight w:val="0"/>
      <w:marTop w:val="0"/>
      <w:marBottom w:val="0"/>
      <w:divBdr>
        <w:top w:val="none" w:sz="0" w:space="0" w:color="auto"/>
        <w:left w:val="none" w:sz="0" w:space="0" w:color="auto"/>
        <w:bottom w:val="none" w:sz="0" w:space="0" w:color="auto"/>
        <w:right w:val="none" w:sz="0" w:space="0" w:color="auto"/>
      </w:divBdr>
    </w:div>
    <w:div w:id="429200151">
      <w:bodyDiv w:val="1"/>
      <w:marLeft w:val="0"/>
      <w:marRight w:val="0"/>
      <w:marTop w:val="0"/>
      <w:marBottom w:val="0"/>
      <w:divBdr>
        <w:top w:val="none" w:sz="0" w:space="0" w:color="auto"/>
        <w:left w:val="none" w:sz="0" w:space="0" w:color="auto"/>
        <w:bottom w:val="none" w:sz="0" w:space="0" w:color="auto"/>
        <w:right w:val="none" w:sz="0" w:space="0" w:color="auto"/>
      </w:divBdr>
    </w:div>
    <w:div w:id="430276123">
      <w:bodyDiv w:val="1"/>
      <w:marLeft w:val="0"/>
      <w:marRight w:val="0"/>
      <w:marTop w:val="0"/>
      <w:marBottom w:val="0"/>
      <w:divBdr>
        <w:top w:val="none" w:sz="0" w:space="0" w:color="auto"/>
        <w:left w:val="none" w:sz="0" w:space="0" w:color="auto"/>
        <w:bottom w:val="none" w:sz="0" w:space="0" w:color="auto"/>
        <w:right w:val="none" w:sz="0" w:space="0" w:color="auto"/>
      </w:divBdr>
    </w:div>
    <w:div w:id="438255405">
      <w:bodyDiv w:val="1"/>
      <w:marLeft w:val="0"/>
      <w:marRight w:val="0"/>
      <w:marTop w:val="0"/>
      <w:marBottom w:val="0"/>
      <w:divBdr>
        <w:top w:val="none" w:sz="0" w:space="0" w:color="auto"/>
        <w:left w:val="none" w:sz="0" w:space="0" w:color="auto"/>
        <w:bottom w:val="none" w:sz="0" w:space="0" w:color="auto"/>
        <w:right w:val="none" w:sz="0" w:space="0" w:color="auto"/>
      </w:divBdr>
    </w:div>
    <w:div w:id="441657069">
      <w:bodyDiv w:val="1"/>
      <w:marLeft w:val="0"/>
      <w:marRight w:val="0"/>
      <w:marTop w:val="0"/>
      <w:marBottom w:val="0"/>
      <w:divBdr>
        <w:top w:val="none" w:sz="0" w:space="0" w:color="auto"/>
        <w:left w:val="none" w:sz="0" w:space="0" w:color="auto"/>
        <w:bottom w:val="none" w:sz="0" w:space="0" w:color="auto"/>
        <w:right w:val="none" w:sz="0" w:space="0" w:color="auto"/>
      </w:divBdr>
    </w:div>
    <w:div w:id="445195186">
      <w:bodyDiv w:val="1"/>
      <w:marLeft w:val="0"/>
      <w:marRight w:val="0"/>
      <w:marTop w:val="0"/>
      <w:marBottom w:val="0"/>
      <w:divBdr>
        <w:top w:val="none" w:sz="0" w:space="0" w:color="auto"/>
        <w:left w:val="none" w:sz="0" w:space="0" w:color="auto"/>
        <w:bottom w:val="none" w:sz="0" w:space="0" w:color="auto"/>
        <w:right w:val="none" w:sz="0" w:space="0" w:color="auto"/>
      </w:divBdr>
    </w:div>
    <w:div w:id="457842742">
      <w:bodyDiv w:val="1"/>
      <w:marLeft w:val="0"/>
      <w:marRight w:val="0"/>
      <w:marTop w:val="0"/>
      <w:marBottom w:val="0"/>
      <w:divBdr>
        <w:top w:val="none" w:sz="0" w:space="0" w:color="auto"/>
        <w:left w:val="none" w:sz="0" w:space="0" w:color="auto"/>
        <w:bottom w:val="none" w:sz="0" w:space="0" w:color="auto"/>
        <w:right w:val="none" w:sz="0" w:space="0" w:color="auto"/>
      </w:divBdr>
    </w:div>
    <w:div w:id="460920028">
      <w:bodyDiv w:val="1"/>
      <w:marLeft w:val="0"/>
      <w:marRight w:val="0"/>
      <w:marTop w:val="0"/>
      <w:marBottom w:val="0"/>
      <w:divBdr>
        <w:top w:val="none" w:sz="0" w:space="0" w:color="auto"/>
        <w:left w:val="none" w:sz="0" w:space="0" w:color="auto"/>
        <w:bottom w:val="none" w:sz="0" w:space="0" w:color="auto"/>
        <w:right w:val="none" w:sz="0" w:space="0" w:color="auto"/>
      </w:divBdr>
    </w:div>
    <w:div w:id="466901986">
      <w:bodyDiv w:val="1"/>
      <w:marLeft w:val="0"/>
      <w:marRight w:val="0"/>
      <w:marTop w:val="0"/>
      <w:marBottom w:val="0"/>
      <w:divBdr>
        <w:top w:val="none" w:sz="0" w:space="0" w:color="auto"/>
        <w:left w:val="none" w:sz="0" w:space="0" w:color="auto"/>
        <w:bottom w:val="none" w:sz="0" w:space="0" w:color="auto"/>
        <w:right w:val="none" w:sz="0" w:space="0" w:color="auto"/>
      </w:divBdr>
    </w:div>
    <w:div w:id="469591525">
      <w:bodyDiv w:val="1"/>
      <w:marLeft w:val="0"/>
      <w:marRight w:val="0"/>
      <w:marTop w:val="0"/>
      <w:marBottom w:val="0"/>
      <w:divBdr>
        <w:top w:val="none" w:sz="0" w:space="0" w:color="auto"/>
        <w:left w:val="none" w:sz="0" w:space="0" w:color="auto"/>
        <w:bottom w:val="none" w:sz="0" w:space="0" w:color="auto"/>
        <w:right w:val="none" w:sz="0" w:space="0" w:color="auto"/>
      </w:divBdr>
    </w:div>
    <w:div w:id="488982704">
      <w:bodyDiv w:val="1"/>
      <w:marLeft w:val="0"/>
      <w:marRight w:val="0"/>
      <w:marTop w:val="0"/>
      <w:marBottom w:val="0"/>
      <w:divBdr>
        <w:top w:val="none" w:sz="0" w:space="0" w:color="auto"/>
        <w:left w:val="none" w:sz="0" w:space="0" w:color="auto"/>
        <w:bottom w:val="none" w:sz="0" w:space="0" w:color="auto"/>
        <w:right w:val="none" w:sz="0" w:space="0" w:color="auto"/>
      </w:divBdr>
    </w:div>
    <w:div w:id="489097483">
      <w:bodyDiv w:val="1"/>
      <w:marLeft w:val="0"/>
      <w:marRight w:val="0"/>
      <w:marTop w:val="0"/>
      <w:marBottom w:val="0"/>
      <w:divBdr>
        <w:top w:val="none" w:sz="0" w:space="0" w:color="auto"/>
        <w:left w:val="none" w:sz="0" w:space="0" w:color="auto"/>
        <w:bottom w:val="none" w:sz="0" w:space="0" w:color="auto"/>
        <w:right w:val="none" w:sz="0" w:space="0" w:color="auto"/>
      </w:divBdr>
    </w:div>
    <w:div w:id="490483450">
      <w:bodyDiv w:val="1"/>
      <w:marLeft w:val="0"/>
      <w:marRight w:val="0"/>
      <w:marTop w:val="0"/>
      <w:marBottom w:val="0"/>
      <w:divBdr>
        <w:top w:val="none" w:sz="0" w:space="0" w:color="auto"/>
        <w:left w:val="none" w:sz="0" w:space="0" w:color="auto"/>
        <w:bottom w:val="none" w:sz="0" w:space="0" w:color="auto"/>
        <w:right w:val="none" w:sz="0" w:space="0" w:color="auto"/>
      </w:divBdr>
    </w:div>
    <w:div w:id="493834457">
      <w:bodyDiv w:val="1"/>
      <w:marLeft w:val="0"/>
      <w:marRight w:val="0"/>
      <w:marTop w:val="0"/>
      <w:marBottom w:val="0"/>
      <w:divBdr>
        <w:top w:val="none" w:sz="0" w:space="0" w:color="auto"/>
        <w:left w:val="none" w:sz="0" w:space="0" w:color="auto"/>
        <w:bottom w:val="none" w:sz="0" w:space="0" w:color="auto"/>
        <w:right w:val="none" w:sz="0" w:space="0" w:color="auto"/>
      </w:divBdr>
    </w:div>
    <w:div w:id="499084213">
      <w:bodyDiv w:val="1"/>
      <w:marLeft w:val="0"/>
      <w:marRight w:val="0"/>
      <w:marTop w:val="0"/>
      <w:marBottom w:val="0"/>
      <w:divBdr>
        <w:top w:val="none" w:sz="0" w:space="0" w:color="auto"/>
        <w:left w:val="none" w:sz="0" w:space="0" w:color="auto"/>
        <w:bottom w:val="none" w:sz="0" w:space="0" w:color="auto"/>
        <w:right w:val="none" w:sz="0" w:space="0" w:color="auto"/>
      </w:divBdr>
    </w:div>
    <w:div w:id="505677613">
      <w:bodyDiv w:val="1"/>
      <w:marLeft w:val="0"/>
      <w:marRight w:val="0"/>
      <w:marTop w:val="0"/>
      <w:marBottom w:val="0"/>
      <w:divBdr>
        <w:top w:val="none" w:sz="0" w:space="0" w:color="auto"/>
        <w:left w:val="none" w:sz="0" w:space="0" w:color="auto"/>
        <w:bottom w:val="none" w:sz="0" w:space="0" w:color="auto"/>
        <w:right w:val="none" w:sz="0" w:space="0" w:color="auto"/>
      </w:divBdr>
    </w:div>
    <w:div w:id="507792445">
      <w:bodyDiv w:val="1"/>
      <w:marLeft w:val="0"/>
      <w:marRight w:val="0"/>
      <w:marTop w:val="0"/>
      <w:marBottom w:val="0"/>
      <w:divBdr>
        <w:top w:val="none" w:sz="0" w:space="0" w:color="auto"/>
        <w:left w:val="none" w:sz="0" w:space="0" w:color="auto"/>
        <w:bottom w:val="none" w:sz="0" w:space="0" w:color="auto"/>
        <w:right w:val="none" w:sz="0" w:space="0" w:color="auto"/>
      </w:divBdr>
    </w:div>
    <w:div w:id="517237907">
      <w:bodyDiv w:val="1"/>
      <w:marLeft w:val="0"/>
      <w:marRight w:val="0"/>
      <w:marTop w:val="0"/>
      <w:marBottom w:val="0"/>
      <w:divBdr>
        <w:top w:val="none" w:sz="0" w:space="0" w:color="auto"/>
        <w:left w:val="none" w:sz="0" w:space="0" w:color="auto"/>
        <w:bottom w:val="none" w:sz="0" w:space="0" w:color="auto"/>
        <w:right w:val="none" w:sz="0" w:space="0" w:color="auto"/>
      </w:divBdr>
    </w:div>
    <w:div w:id="520440264">
      <w:bodyDiv w:val="1"/>
      <w:marLeft w:val="0"/>
      <w:marRight w:val="0"/>
      <w:marTop w:val="0"/>
      <w:marBottom w:val="0"/>
      <w:divBdr>
        <w:top w:val="none" w:sz="0" w:space="0" w:color="auto"/>
        <w:left w:val="none" w:sz="0" w:space="0" w:color="auto"/>
        <w:bottom w:val="none" w:sz="0" w:space="0" w:color="auto"/>
        <w:right w:val="none" w:sz="0" w:space="0" w:color="auto"/>
      </w:divBdr>
    </w:div>
    <w:div w:id="524751097">
      <w:bodyDiv w:val="1"/>
      <w:marLeft w:val="0"/>
      <w:marRight w:val="0"/>
      <w:marTop w:val="0"/>
      <w:marBottom w:val="0"/>
      <w:divBdr>
        <w:top w:val="none" w:sz="0" w:space="0" w:color="auto"/>
        <w:left w:val="none" w:sz="0" w:space="0" w:color="auto"/>
        <w:bottom w:val="none" w:sz="0" w:space="0" w:color="auto"/>
        <w:right w:val="none" w:sz="0" w:space="0" w:color="auto"/>
      </w:divBdr>
    </w:div>
    <w:div w:id="528180196">
      <w:bodyDiv w:val="1"/>
      <w:marLeft w:val="0"/>
      <w:marRight w:val="0"/>
      <w:marTop w:val="0"/>
      <w:marBottom w:val="0"/>
      <w:divBdr>
        <w:top w:val="none" w:sz="0" w:space="0" w:color="auto"/>
        <w:left w:val="none" w:sz="0" w:space="0" w:color="auto"/>
        <w:bottom w:val="none" w:sz="0" w:space="0" w:color="auto"/>
        <w:right w:val="none" w:sz="0" w:space="0" w:color="auto"/>
      </w:divBdr>
    </w:div>
    <w:div w:id="557059669">
      <w:bodyDiv w:val="1"/>
      <w:marLeft w:val="0"/>
      <w:marRight w:val="0"/>
      <w:marTop w:val="0"/>
      <w:marBottom w:val="0"/>
      <w:divBdr>
        <w:top w:val="none" w:sz="0" w:space="0" w:color="auto"/>
        <w:left w:val="none" w:sz="0" w:space="0" w:color="auto"/>
        <w:bottom w:val="none" w:sz="0" w:space="0" w:color="auto"/>
        <w:right w:val="none" w:sz="0" w:space="0" w:color="auto"/>
      </w:divBdr>
    </w:div>
    <w:div w:id="558782473">
      <w:bodyDiv w:val="1"/>
      <w:marLeft w:val="0"/>
      <w:marRight w:val="0"/>
      <w:marTop w:val="0"/>
      <w:marBottom w:val="0"/>
      <w:divBdr>
        <w:top w:val="none" w:sz="0" w:space="0" w:color="auto"/>
        <w:left w:val="none" w:sz="0" w:space="0" w:color="auto"/>
        <w:bottom w:val="none" w:sz="0" w:space="0" w:color="auto"/>
        <w:right w:val="none" w:sz="0" w:space="0" w:color="auto"/>
      </w:divBdr>
    </w:div>
    <w:div w:id="560361542">
      <w:bodyDiv w:val="1"/>
      <w:marLeft w:val="0"/>
      <w:marRight w:val="0"/>
      <w:marTop w:val="0"/>
      <w:marBottom w:val="0"/>
      <w:divBdr>
        <w:top w:val="none" w:sz="0" w:space="0" w:color="auto"/>
        <w:left w:val="none" w:sz="0" w:space="0" w:color="auto"/>
        <w:bottom w:val="none" w:sz="0" w:space="0" w:color="auto"/>
        <w:right w:val="none" w:sz="0" w:space="0" w:color="auto"/>
      </w:divBdr>
    </w:div>
    <w:div w:id="562832806">
      <w:bodyDiv w:val="1"/>
      <w:marLeft w:val="0"/>
      <w:marRight w:val="0"/>
      <w:marTop w:val="0"/>
      <w:marBottom w:val="0"/>
      <w:divBdr>
        <w:top w:val="none" w:sz="0" w:space="0" w:color="auto"/>
        <w:left w:val="none" w:sz="0" w:space="0" w:color="auto"/>
        <w:bottom w:val="none" w:sz="0" w:space="0" w:color="auto"/>
        <w:right w:val="none" w:sz="0" w:space="0" w:color="auto"/>
      </w:divBdr>
    </w:div>
    <w:div w:id="564144957">
      <w:bodyDiv w:val="1"/>
      <w:marLeft w:val="0"/>
      <w:marRight w:val="0"/>
      <w:marTop w:val="0"/>
      <w:marBottom w:val="0"/>
      <w:divBdr>
        <w:top w:val="none" w:sz="0" w:space="0" w:color="auto"/>
        <w:left w:val="none" w:sz="0" w:space="0" w:color="auto"/>
        <w:bottom w:val="none" w:sz="0" w:space="0" w:color="auto"/>
        <w:right w:val="none" w:sz="0" w:space="0" w:color="auto"/>
      </w:divBdr>
    </w:div>
    <w:div w:id="565577600">
      <w:bodyDiv w:val="1"/>
      <w:marLeft w:val="0"/>
      <w:marRight w:val="0"/>
      <w:marTop w:val="0"/>
      <w:marBottom w:val="0"/>
      <w:divBdr>
        <w:top w:val="none" w:sz="0" w:space="0" w:color="auto"/>
        <w:left w:val="none" w:sz="0" w:space="0" w:color="auto"/>
        <w:bottom w:val="none" w:sz="0" w:space="0" w:color="auto"/>
        <w:right w:val="none" w:sz="0" w:space="0" w:color="auto"/>
      </w:divBdr>
    </w:div>
    <w:div w:id="569391609">
      <w:bodyDiv w:val="1"/>
      <w:marLeft w:val="0"/>
      <w:marRight w:val="0"/>
      <w:marTop w:val="0"/>
      <w:marBottom w:val="0"/>
      <w:divBdr>
        <w:top w:val="none" w:sz="0" w:space="0" w:color="auto"/>
        <w:left w:val="none" w:sz="0" w:space="0" w:color="auto"/>
        <w:bottom w:val="none" w:sz="0" w:space="0" w:color="auto"/>
        <w:right w:val="none" w:sz="0" w:space="0" w:color="auto"/>
      </w:divBdr>
    </w:div>
    <w:div w:id="574559703">
      <w:bodyDiv w:val="1"/>
      <w:marLeft w:val="0"/>
      <w:marRight w:val="0"/>
      <w:marTop w:val="0"/>
      <w:marBottom w:val="0"/>
      <w:divBdr>
        <w:top w:val="none" w:sz="0" w:space="0" w:color="auto"/>
        <w:left w:val="none" w:sz="0" w:space="0" w:color="auto"/>
        <w:bottom w:val="none" w:sz="0" w:space="0" w:color="auto"/>
        <w:right w:val="none" w:sz="0" w:space="0" w:color="auto"/>
      </w:divBdr>
    </w:div>
    <w:div w:id="576520716">
      <w:bodyDiv w:val="1"/>
      <w:marLeft w:val="0"/>
      <w:marRight w:val="0"/>
      <w:marTop w:val="0"/>
      <w:marBottom w:val="0"/>
      <w:divBdr>
        <w:top w:val="none" w:sz="0" w:space="0" w:color="auto"/>
        <w:left w:val="none" w:sz="0" w:space="0" w:color="auto"/>
        <w:bottom w:val="none" w:sz="0" w:space="0" w:color="auto"/>
        <w:right w:val="none" w:sz="0" w:space="0" w:color="auto"/>
      </w:divBdr>
    </w:div>
    <w:div w:id="583757181">
      <w:bodyDiv w:val="1"/>
      <w:marLeft w:val="0"/>
      <w:marRight w:val="0"/>
      <w:marTop w:val="0"/>
      <w:marBottom w:val="0"/>
      <w:divBdr>
        <w:top w:val="none" w:sz="0" w:space="0" w:color="auto"/>
        <w:left w:val="none" w:sz="0" w:space="0" w:color="auto"/>
        <w:bottom w:val="none" w:sz="0" w:space="0" w:color="auto"/>
        <w:right w:val="none" w:sz="0" w:space="0" w:color="auto"/>
      </w:divBdr>
    </w:div>
    <w:div w:id="584726030">
      <w:bodyDiv w:val="1"/>
      <w:marLeft w:val="0"/>
      <w:marRight w:val="0"/>
      <w:marTop w:val="0"/>
      <w:marBottom w:val="0"/>
      <w:divBdr>
        <w:top w:val="none" w:sz="0" w:space="0" w:color="auto"/>
        <w:left w:val="none" w:sz="0" w:space="0" w:color="auto"/>
        <w:bottom w:val="none" w:sz="0" w:space="0" w:color="auto"/>
        <w:right w:val="none" w:sz="0" w:space="0" w:color="auto"/>
      </w:divBdr>
    </w:div>
    <w:div w:id="585650926">
      <w:bodyDiv w:val="1"/>
      <w:marLeft w:val="0"/>
      <w:marRight w:val="0"/>
      <w:marTop w:val="0"/>
      <w:marBottom w:val="0"/>
      <w:divBdr>
        <w:top w:val="none" w:sz="0" w:space="0" w:color="auto"/>
        <w:left w:val="none" w:sz="0" w:space="0" w:color="auto"/>
        <w:bottom w:val="none" w:sz="0" w:space="0" w:color="auto"/>
        <w:right w:val="none" w:sz="0" w:space="0" w:color="auto"/>
      </w:divBdr>
    </w:div>
    <w:div w:id="589511441">
      <w:bodyDiv w:val="1"/>
      <w:marLeft w:val="0"/>
      <w:marRight w:val="0"/>
      <w:marTop w:val="0"/>
      <w:marBottom w:val="0"/>
      <w:divBdr>
        <w:top w:val="none" w:sz="0" w:space="0" w:color="auto"/>
        <w:left w:val="none" w:sz="0" w:space="0" w:color="auto"/>
        <w:bottom w:val="none" w:sz="0" w:space="0" w:color="auto"/>
        <w:right w:val="none" w:sz="0" w:space="0" w:color="auto"/>
      </w:divBdr>
    </w:div>
    <w:div w:id="593171235">
      <w:bodyDiv w:val="1"/>
      <w:marLeft w:val="0"/>
      <w:marRight w:val="0"/>
      <w:marTop w:val="0"/>
      <w:marBottom w:val="0"/>
      <w:divBdr>
        <w:top w:val="none" w:sz="0" w:space="0" w:color="auto"/>
        <w:left w:val="none" w:sz="0" w:space="0" w:color="auto"/>
        <w:bottom w:val="none" w:sz="0" w:space="0" w:color="auto"/>
        <w:right w:val="none" w:sz="0" w:space="0" w:color="auto"/>
      </w:divBdr>
    </w:div>
    <w:div w:id="594679533">
      <w:bodyDiv w:val="1"/>
      <w:marLeft w:val="0"/>
      <w:marRight w:val="0"/>
      <w:marTop w:val="0"/>
      <w:marBottom w:val="0"/>
      <w:divBdr>
        <w:top w:val="none" w:sz="0" w:space="0" w:color="auto"/>
        <w:left w:val="none" w:sz="0" w:space="0" w:color="auto"/>
        <w:bottom w:val="none" w:sz="0" w:space="0" w:color="auto"/>
        <w:right w:val="none" w:sz="0" w:space="0" w:color="auto"/>
      </w:divBdr>
    </w:div>
    <w:div w:id="595093187">
      <w:bodyDiv w:val="1"/>
      <w:marLeft w:val="0"/>
      <w:marRight w:val="0"/>
      <w:marTop w:val="0"/>
      <w:marBottom w:val="0"/>
      <w:divBdr>
        <w:top w:val="none" w:sz="0" w:space="0" w:color="auto"/>
        <w:left w:val="none" w:sz="0" w:space="0" w:color="auto"/>
        <w:bottom w:val="none" w:sz="0" w:space="0" w:color="auto"/>
        <w:right w:val="none" w:sz="0" w:space="0" w:color="auto"/>
      </w:divBdr>
    </w:div>
    <w:div w:id="596643613">
      <w:bodyDiv w:val="1"/>
      <w:marLeft w:val="0"/>
      <w:marRight w:val="0"/>
      <w:marTop w:val="0"/>
      <w:marBottom w:val="0"/>
      <w:divBdr>
        <w:top w:val="none" w:sz="0" w:space="0" w:color="auto"/>
        <w:left w:val="none" w:sz="0" w:space="0" w:color="auto"/>
        <w:bottom w:val="none" w:sz="0" w:space="0" w:color="auto"/>
        <w:right w:val="none" w:sz="0" w:space="0" w:color="auto"/>
      </w:divBdr>
    </w:div>
    <w:div w:id="597373247">
      <w:bodyDiv w:val="1"/>
      <w:marLeft w:val="0"/>
      <w:marRight w:val="0"/>
      <w:marTop w:val="0"/>
      <w:marBottom w:val="0"/>
      <w:divBdr>
        <w:top w:val="none" w:sz="0" w:space="0" w:color="auto"/>
        <w:left w:val="none" w:sz="0" w:space="0" w:color="auto"/>
        <w:bottom w:val="none" w:sz="0" w:space="0" w:color="auto"/>
        <w:right w:val="none" w:sz="0" w:space="0" w:color="auto"/>
      </w:divBdr>
    </w:div>
    <w:div w:id="606885495">
      <w:bodyDiv w:val="1"/>
      <w:marLeft w:val="0"/>
      <w:marRight w:val="0"/>
      <w:marTop w:val="0"/>
      <w:marBottom w:val="0"/>
      <w:divBdr>
        <w:top w:val="none" w:sz="0" w:space="0" w:color="auto"/>
        <w:left w:val="none" w:sz="0" w:space="0" w:color="auto"/>
        <w:bottom w:val="none" w:sz="0" w:space="0" w:color="auto"/>
        <w:right w:val="none" w:sz="0" w:space="0" w:color="auto"/>
      </w:divBdr>
    </w:div>
    <w:div w:id="614364196">
      <w:bodyDiv w:val="1"/>
      <w:marLeft w:val="0"/>
      <w:marRight w:val="0"/>
      <w:marTop w:val="0"/>
      <w:marBottom w:val="0"/>
      <w:divBdr>
        <w:top w:val="none" w:sz="0" w:space="0" w:color="auto"/>
        <w:left w:val="none" w:sz="0" w:space="0" w:color="auto"/>
        <w:bottom w:val="none" w:sz="0" w:space="0" w:color="auto"/>
        <w:right w:val="none" w:sz="0" w:space="0" w:color="auto"/>
      </w:divBdr>
    </w:div>
    <w:div w:id="621231957">
      <w:bodyDiv w:val="1"/>
      <w:marLeft w:val="0"/>
      <w:marRight w:val="0"/>
      <w:marTop w:val="0"/>
      <w:marBottom w:val="0"/>
      <w:divBdr>
        <w:top w:val="none" w:sz="0" w:space="0" w:color="auto"/>
        <w:left w:val="none" w:sz="0" w:space="0" w:color="auto"/>
        <w:bottom w:val="none" w:sz="0" w:space="0" w:color="auto"/>
        <w:right w:val="none" w:sz="0" w:space="0" w:color="auto"/>
      </w:divBdr>
    </w:div>
    <w:div w:id="624045943">
      <w:bodyDiv w:val="1"/>
      <w:marLeft w:val="0"/>
      <w:marRight w:val="0"/>
      <w:marTop w:val="0"/>
      <w:marBottom w:val="0"/>
      <w:divBdr>
        <w:top w:val="none" w:sz="0" w:space="0" w:color="auto"/>
        <w:left w:val="none" w:sz="0" w:space="0" w:color="auto"/>
        <w:bottom w:val="none" w:sz="0" w:space="0" w:color="auto"/>
        <w:right w:val="none" w:sz="0" w:space="0" w:color="auto"/>
      </w:divBdr>
    </w:div>
    <w:div w:id="638532323">
      <w:bodyDiv w:val="1"/>
      <w:marLeft w:val="0"/>
      <w:marRight w:val="0"/>
      <w:marTop w:val="0"/>
      <w:marBottom w:val="0"/>
      <w:divBdr>
        <w:top w:val="none" w:sz="0" w:space="0" w:color="auto"/>
        <w:left w:val="none" w:sz="0" w:space="0" w:color="auto"/>
        <w:bottom w:val="none" w:sz="0" w:space="0" w:color="auto"/>
        <w:right w:val="none" w:sz="0" w:space="0" w:color="auto"/>
      </w:divBdr>
    </w:div>
    <w:div w:id="645473782">
      <w:bodyDiv w:val="1"/>
      <w:marLeft w:val="0"/>
      <w:marRight w:val="0"/>
      <w:marTop w:val="0"/>
      <w:marBottom w:val="0"/>
      <w:divBdr>
        <w:top w:val="none" w:sz="0" w:space="0" w:color="auto"/>
        <w:left w:val="none" w:sz="0" w:space="0" w:color="auto"/>
        <w:bottom w:val="none" w:sz="0" w:space="0" w:color="auto"/>
        <w:right w:val="none" w:sz="0" w:space="0" w:color="auto"/>
      </w:divBdr>
    </w:div>
    <w:div w:id="652296148">
      <w:bodyDiv w:val="1"/>
      <w:marLeft w:val="0"/>
      <w:marRight w:val="0"/>
      <w:marTop w:val="0"/>
      <w:marBottom w:val="0"/>
      <w:divBdr>
        <w:top w:val="none" w:sz="0" w:space="0" w:color="auto"/>
        <w:left w:val="none" w:sz="0" w:space="0" w:color="auto"/>
        <w:bottom w:val="none" w:sz="0" w:space="0" w:color="auto"/>
        <w:right w:val="none" w:sz="0" w:space="0" w:color="auto"/>
      </w:divBdr>
    </w:div>
    <w:div w:id="652683702">
      <w:bodyDiv w:val="1"/>
      <w:marLeft w:val="0"/>
      <w:marRight w:val="0"/>
      <w:marTop w:val="0"/>
      <w:marBottom w:val="0"/>
      <w:divBdr>
        <w:top w:val="none" w:sz="0" w:space="0" w:color="auto"/>
        <w:left w:val="none" w:sz="0" w:space="0" w:color="auto"/>
        <w:bottom w:val="none" w:sz="0" w:space="0" w:color="auto"/>
        <w:right w:val="none" w:sz="0" w:space="0" w:color="auto"/>
      </w:divBdr>
    </w:div>
    <w:div w:id="654334553">
      <w:bodyDiv w:val="1"/>
      <w:marLeft w:val="0"/>
      <w:marRight w:val="0"/>
      <w:marTop w:val="0"/>
      <w:marBottom w:val="0"/>
      <w:divBdr>
        <w:top w:val="none" w:sz="0" w:space="0" w:color="auto"/>
        <w:left w:val="none" w:sz="0" w:space="0" w:color="auto"/>
        <w:bottom w:val="none" w:sz="0" w:space="0" w:color="auto"/>
        <w:right w:val="none" w:sz="0" w:space="0" w:color="auto"/>
      </w:divBdr>
    </w:div>
    <w:div w:id="654795311">
      <w:bodyDiv w:val="1"/>
      <w:marLeft w:val="0"/>
      <w:marRight w:val="0"/>
      <w:marTop w:val="0"/>
      <w:marBottom w:val="0"/>
      <w:divBdr>
        <w:top w:val="none" w:sz="0" w:space="0" w:color="auto"/>
        <w:left w:val="none" w:sz="0" w:space="0" w:color="auto"/>
        <w:bottom w:val="none" w:sz="0" w:space="0" w:color="auto"/>
        <w:right w:val="none" w:sz="0" w:space="0" w:color="auto"/>
      </w:divBdr>
    </w:div>
    <w:div w:id="659426582">
      <w:bodyDiv w:val="1"/>
      <w:marLeft w:val="0"/>
      <w:marRight w:val="0"/>
      <w:marTop w:val="0"/>
      <w:marBottom w:val="0"/>
      <w:divBdr>
        <w:top w:val="none" w:sz="0" w:space="0" w:color="auto"/>
        <w:left w:val="none" w:sz="0" w:space="0" w:color="auto"/>
        <w:bottom w:val="none" w:sz="0" w:space="0" w:color="auto"/>
        <w:right w:val="none" w:sz="0" w:space="0" w:color="auto"/>
      </w:divBdr>
    </w:div>
    <w:div w:id="660279880">
      <w:bodyDiv w:val="1"/>
      <w:marLeft w:val="0"/>
      <w:marRight w:val="0"/>
      <w:marTop w:val="0"/>
      <w:marBottom w:val="0"/>
      <w:divBdr>
        <w:top w:val="none" w:sz="0" w:space="0" w:color="auto"/>
        <w:left w:val="none" w:sz="0" w:space="0" w:color="auto"/>
        <w:bottom w:val="none" w:sz="0" w:space="0" w:color="auto"/>
        <w:right w:val="none" w:sz="0" w:space="0" w:color="auto"/>
      </w:divBdr>
    </w:div>
    <w:div w:id="664239134">
      <w:bodyDiv w:val="1"/>
      <w:marLeft w:val="0"/>
      <w:marRight w:val="0"/>
      <w:marTop w:val="0"/>
      <w:marBottom w:val="0"/>
      <w:divBdr>
        <w:top w:val="none" w:sz="0" w:space="0" w:color="auto"/>
        <w:left w:val="none" w:sz="0" w:space="0" w:color="auto"/>
        <w:bottom w:val="none" w:sz="0" w:space="0" w:color="auto"/>
        <w:right w:val="none" w:sz="0" w:space="0" w:color="auto"/>
      </w:divBdr>
    </w:div>
    <w:div w:id="665288361">
      <w:bodyDiv w:val="1"/>
      <w:marLeft w:val="0"/>
      <w:marRight w:val="0"/>
      <w:marTop w:val="0"/>
      <w:marBottom w:val="0"/>
      <w:divBdr>
        <w:top w:val="none" w:sz="0" w:space="0" w:color="auto"/>
        <w:left w:val="none" w:sz="0" w:space="0" w:color="auto"/>
        <w:bottom w:val="none" w:sz="0" w:space="0" w:color="auto"/>
        <w:right w:val="none" w:sz="0" w:space="0" w:color="auto"/>
      </w:divBdr>
    </w:div>
    <w:div w:id="674305733">
      <w:bodyDiv w:val="1"/>
      <w:marLeft w:val="0"/>
      <w:marRight w:val="0"/>
      <w:marTop w:val="0"/>
      <w:marBottom w:val="0"/>
      <w:divBdr>
        <w:top w:val="none" w:sz="0" w:space="0" w:color="auto"/>
        <w:left w:val="none" w:sz="0" w:space="0" w:color="auto"/>
        <w:bottom w:val="none" w:sz="0" w:space="0" w:color="auto"/>
        <w:right w:val="none" w:sz="0" w:space="0" w:color="auto"/>
      </w:divBdr>
    </w:div>
    <w:div w:id="685055274">
      <w:bodyDiv w:val="1"/>
      <w:marLeft w:val="0"/>
      <w:marRight w:val="0"/>
      <w:marTop w:val="0"/>
      <w:marBottom w:val="0"/>
      <w:divBdr>
        <w:top w:val="none" w:sz="0" w:space="0" w:color="auto"/>
        <w:left w:val="none" w:sz="0" w:space="0" w:color="auto"/>
        <w:bottom w:val="none" w:sz="0" w:space="0" w:color="auto"/>
        <w:right w:val="none" w:sz="0" w:space="0" w:color="auto"/>
      </w:divBdr>
    </w:div>
    <w:div w:id="697850616">
      <w:bodyDiv w:val="1"/>
      <w:marLeft w:val="0"/>
      <w:marRight w:val="0"/>
      <w:marTop w:val="0"/>
      <w:marBottom w:val="0"/>
      <w:divBdr>
        <w:top w:val="none" w:sz="0" w:space="0" w:color="auto"/>
        <w:left w:val="none" w:sz="0" w:space="0" w:color="auto"/>
        <w:bottom w:val="none" w:sz="0" w:space="0" w:color="auto"/>
        <w:right w:val="none" w:sz="0" w:space="0" w:color="auto"/>
      </w:divBdr>
    </w:div>
    <w:div w:id="704450583">
      <w:bodyDiv w:val="1"/>
      <w:marLeft w:val="0"/>
      <w:marRight w:val="0"/>
      <w:marTop w:val="0"/>
      <w:marBottom w:val="0"/>
      <w:divBdr>
        <w:top w:val="none" w:sz="0" w:space="0" w:color="auto"/>
        <w:left w:val="none" w:sz="0" w:space="0" w:color="auto"/>
        <w:bottom w:val="none" w:sz="0" w:space="0" w:color="auto"/>
        <w:right w:val="none" w:sz="0" w:space="0" w:color="auto"/>
      </w:divBdr>
    </w:div>
    <w:div w:id="709499184">
      <w:bodyDiv w:val="1"/>
      <w:marLeft w:val="0"/>
      <w:marRight w:val="0"/>
      <w:marTop w:val="0"/>
      <w:marBottom w:val="0"/>
      <w:divBdr>
        <w:top w:val="none" w:sz="0" w:space="0" w:color="auto"/>
        <w:left w:val="none" w:sz="0" w:space="0" w:color="auto"/>
        <w:bottom w:val="none" w:sz="0" w:space="0" w:color="auto"/>
        <w:right w:val="none" w:sz="0" w:space="0" w:color="auto"/>
      </w:divBdr>
    </w:div>
    <w:div w:id="709843647">
      <w:bodyDiv w:val="1"/>
      <w:marLeft w:val="0"/>
      <w:marRight w:val="0"/>
      <w:marTop w:val="0"/>
      <w:marBottom w:val="0"/>
      <w:divBdr>
        <w:top w:val="none" w:sz="0" w:space="0" w:color="auto"/>
        <w:left w:val="none" w:sz="0" w:space="0" w:color="auto"/>
        <w:bottom w:val="none" w:sz="0" w:space="0" w:color="auto"/>
        <w:right w:val="none" w:sz="0" w:space="0" w:color="auto"/>
      </w:divBdr>
    </w:div>
    <w:div w:id="717435168">
      <w:bodyDiv w:val="1"/>
      <w:marLeft w:val="0"/>
      <w:marRight w:val="0"/>
      <w:marTop w:val="0"/>
      <w:marBottom w:val="0"/>
      <w:divBdr>
        <w:top w:val="none" w:sz="0" w:space="0" w:color="auto"/>
        <w:left w:val="none" w:sz="0" w:space="0" w:color="auto"/>
        <w:bottom w:val="none" w:sz="0" w:space="0" w:color="auto"/>
        <w:right w:val="none" w:sz="0" w:space="0" w:color="auto"/>
      </w:divBdr>
    </w:div>
    <w:div w:id="723022172">
      <w:bodyDiv w:val="1"/>
      <w:marLeft w:val="0"/>
      <w:marRight w:val="0"/>
      <w:marTop w:val="0"/>
      <w:marBottom w:val="0"/>
      <w:divBdr>
        <w:top w:val="none" w:sz="0" w:space="0" w:color="auto"/>
        <w:left w:val="none" w:sz="0" w:space="0" w:color="auto"/>
        <w:bottom w:val="none" w:sz="0" w:space="0" w:color="auto"/>
        <w:right w:val="none" w:sz="0" w:space="0" w:color="auto"/>
      </w:divBdr>
    </w:div>
    <w:div w:id="724064286">
      <w:bodyDiv w:val="1"/>
      <w:marLeft w:val="0"/>
      <w:marRight w:val="0"/>
      <w:marTop w:val="0"/>
      <w:marBottom w:val="0"/>
      <w:divBdr>
        <w:top w:val="none" w:sz="0" w:space="0" w:color="auto"/>
        <w:left w:val="none" w:sz="0" w:space="0" w:color="auto"/>
        <w:bottom w:val="none" w:sz="0" w:space="0" w:color="auto"/>
        <w:right w:val="none" w:sz="0" w:space="0" w:color="auto"/>
      </w:divBdr>
    </w:div>
    <w:div w:id="724335693">
      <w:bodyDiv w:val="1"/>
      <w:marLeft w:val="0"/>
      <w:marRight w:val="0"/>
      <w:marTop w:val="0"/>
      <w:marBottom w:val="0"/>
      <w:divBdr>
        <w:top w:val="none" w:sz="0" w:space="0" w:color="auto"/>
        <w:left w:val="none" w:sz="0" w:space="0" w:color="auto"/>
        <w:bottom w:val="none" w:sz="0" w:space="0" w:color="auto"/>
        <w:right w:val="none" w:sz="0" w:space="0" w:color="auto"/>
      </w:divBdr>
    </w:div>
    <w:div w:id="738284141">
      <w:bodyDiv w:val="1"/>
      <w:marLeft w:val="0"/>
      <w:marRight w:val="0"/>
      <w:marTop w:val="0"/>
      <w:marBottom w:val="0"/>
      <w:divBdr>
        <w:top w:val="none" w:sz="0" w:space="0" w:color="auto"/>
        <w:left w:val="none" w:sz="0" w:space="0" w:color="auto"/>
        <w:bottom w:val="none" w:sz="0" w:space="0" w:color="auto"/>
        <w:right w:val="none" w:sz="0" w:space="0" w:color="auto"/>
      </w:divBdr>
    </w:div>
    <w:div w:id="745034325">
      <w:bodyDiv w:val="1"/>
      <w:marLeft w:val="0"/>
      <w:marRight w:val="0"/>
      <w:marTop w:val="0"/>
      <w:marBottom w:val="0"/>
      <w:divBdr>
        <w:top w:val="none" w:sz="0" w:space="0" w:color="auto"/>
        <w:left w:val="none" w:sz="0" w:space="0" w:color="auto"/>
        <w:bottom w:val="none" w:sz="0" w:space="0" w:color="auto"/>
        <w:right w:val="none" w:sz="0" w:space="0" w:color="auto"/>
      </w:divBdr>
    </w:div>
    <w:div w:id="751049599">
      <w:bodyDiv w:val="1"/>
      <w:marLeft w:val="0"/>
      <w:marRight w:val="0"/>
      <w:marTop w:val="0"/>
      <w:marBottom w:val="0"/>
      <w:divBdr>
        <w:top w:val="none" w:sz="0" w:space="0" w:color="auto"/>
        <w:left w:val="none" w:sz="0" w:space="0" w:color="auto"/>
        <w:bottom w:val="none" w:sz="0" w:space="0" w:color="auto"/>
        <w:right w:val="none" w:sz="0" w:space="0" w:color="auto"/>
      </w:divBdr>
    </w:div>
    <w:div w:id="759525253">
      <w:bodyDiv w:val="1"/>
      <w:marLeft w:val="0"/>
      <w:marRight w:val="0"/>
      <w:marTop w:val="0"/>
      <w:marBottom w:val="0"/>
      <w:divBdr>
        <w:top w:val="none" w:sz="0" w:space="0" w:color="auto"/>
        <w:left w:val="none" w:sz="0" w:space="0" w:color="auto"/>
        <w:bottom w:val="none" w:sz="0" w:space="0" w:color="auto"/>
        <w:right w:val="none" w:sz="0" w:space="0" w:color="auto"/>
      </w:divBdr>
    </w:div>
    <w:div w:id="760108529">
      <w:bodyDiv w:val="1"/>
      <w:marLeft w:val="0"/>
      <w:marRight w:val="0"/>
      <w:marTop w:val="0"/>
      <w:marBottom w:val="0"/>
      <w:divBdr>
        <w:top w:val="none" w:sz="0" w:space="0" w:color="auto"/>
        <w:left w:val="none" w:sz="0" w:space="0" w:color="auto"/>
        <w:bottom w:val="none" w:sz="0" w:space="0" w:color="auto"/>
        <w:right w:val="none" w:sz="0" w:space="0" w:color="auto"/>
      </w:divBdr>
    </w:div>
    <w:div w:id="765806518">
      <w:bodyDiv w:val="1"/>
      <w:marLeft w:val="0"/>
      <w:marRight w:val="0"/>
      <w:marTop w:val="0"/>
      <w:marBottom w:val="0"/>
      <w:divBdr>
        <w:top w:val="none" w:sz="0" w:space="0" w:color="auto"/>
        <w:left w:val="none" w:sz="0" w:space="0" w:color="auto"/>
        <w:bottom w:val="none" w:sz="0" w:space="0" w:color="auto"/>
        <w:right w:val="none" w:sz="0" w:space="0" w:color="auto"/>
      </w:divBdr>
    </w:div>
    <w:div w:id="769399984">
      <w:bodyDiv w:val="1"/>
      <w:marLeft w:val="0"/>
      <w:marRight w:val="0"/>
      <w:marTop w:val="0"/>
      <w:marBottom w:val="0"/>
      <w:divBdr>
        <w:top w:val="none" w:sz="0" w:space="0" w:color="auto"/>
        <w:left w:val="none" w:sz="0" w:space="0" w:color="auto"/>
        <w:bottom w:val="none" w:sz="0" w:space="0" w:color="auto"/>
        <w:right w:val="none" w:sz="0" w:space="0" w:color="auto"/>
      </w:divBdr>
    </w:div>
    <w:div w:id="779683333">
      <w:bodyDiv w:val="1"/>
      <w:marLeft w:val="0"/>
      <w:marRight w:val="0"/>
      <w:marTop w:val="0"/>
      <w:marBottom w:val="0"/>
      <w:divBdr>
        <w:top w:val="none" w:sz="0" w:space="0" w:color="auto"/>
        <w:left w:val="none" w:sz="0" w:space="0" w:color="auto"/>
        <w:bottom w:val="none" w:sz="0" w:space="0" w:color="auto"/>
        <w:right w:val="none" w:sz="0" w:space="0" w:color="auto"/>
      </w:divBdr>
    </w:div>
    <w:div w:id="788084755">
      <w:bodyDiv w:val="1"/>
      <w:marLeft w:val="0"/>
      <w:marRight w:val="0"/>
      <w:marTop w:val="0"/>
      <w:marBottom w:val="0"/>
      <w:divBdr>
        <w:top w:val="none" w:sz="0" w:space="0" w:color="auto"/>
        <w:left w:val="none" w:sz="0" w:space="0" w:color="auto"/>
        <w:bottom w:val="none" w:sz="0" w:space="0" w:color="auto"/>
        <w:right w:val="none" w:sz="0" w:space="0" w:color="auto"/>
      </w:divBdr>
    </w:div>
    <w:div w:id="790897839">
      <w:bodyDiv w:val="1"/>
      <w:marLeft w:val="0"/>
      <w:marRight w:val="0"/>
      <w:marTop w:val="0"/>
      <w:marBottom w:val="0"/>
      <w:divBdr>
        <w:top w:val="none" w:sz="0" w:space="0" w:color="auto"/>
        <w:left w:val="none" w:sz="0" w:space="0" w:color="auto"/>
        <w:bottom w:val="none" w:sz="0" w:space="0" w:color="auto"/>
        <w:right w:val="none" w:sz="0" w:space="0" w:color="auto"/>
      </w:divBdr>
    </w:div>
    <w:div w:id="798839830">
      <w:bodyDiv w:val="1"/>
      <w:marLeft w:val="0"/>
      <w:marRight w:val="0"/>
      <w:marTop w:val="0"/>
      <w:marBottom w:val="0"/>
      <w:divBdr>
        <w:top w:val="none" w:sz="0" w:space="0" w:color="auto"/>
        <w:left w:val="none" w:sz="0" w:space="0" w:color="auto"/>
        <w:bottom w:val="none" w:sz="0" w:space="0" w:color="auto"/>
        <w:right w:val="none" w:sz="0" w:space="0" w:color="auto"/>
      </w:divBdr>
    </w:div>
    <w:div w:id="810487959">
      <w:bodyDiv w:val="1"/>
      <w:marLeft w:val="0"/>
      <w:marRight w:val="0"/>
      <w:marTop w:val="0"/>
      <w:marBottom w:val="0"/>
      <w:divBdr>
        <w:top w:val="none" w:sz="0" w:space="0" w:color="auto"/>
        <w:left w:val="none" w:sz="0" w:space="0" w:color="auto"/>
        <w:bottom w:val="none" w:sz="0" w:space="0" w:color="auto"/>
        <w:right w:val="none" w:sz="0" w:space="0" w:color="auto"/>
      </w:divBdr>
    </w:div>
    <w:div w:id="824585469">
      <w:bodyDiv w:val="1"/>
      <w:marLeft w:val="0"/>
      <w:marRight w:val="0"/>
      <w:marTop w:val="0"/>
      <w:marBottom w:val="0"/>
      <w:divBdr>
        <w:top w:val="none" w:sz="0" w:space="0" w:color="auto"/>
        <w:left w:val="none" w:sz="0" w:space="0" w:color="auto"/>
        <w:bottom w:val="none" w:sz="0" w:space="0" w:color="auto"/>
        <w:right w:val="none" w:sz="0" w:space="0" w:color="auto"/>
      </w:divBdr>
    </w:div>
    <w:div w:id="831526680">
      <w:bodyDiv w:val="1"/>
      <w:marLeft w:val="0"/>
      <w:marRight w:val="0"/>
      <w:marTop w:val="0"/>
      <w:marBottom w:val="0"/>
      <w:divBdr>
        <w:top w:val="none" w:sz="0" w:space="0" w:color="auto"/>
        <w:left w:val="none" w:sz="0" w:space="0" w:color="auto"/>
        <w:bottom w:val="none" w:sz="0" w:space="0" w:color="auto"/>
        <w:right w:val="none" w:sz="0" w:space="0" w:color="auto"/>
      </w:divBdr>
    </w:div>
    <w:div w:id="832600542">
      <w:bodyDiv w:val="1"/>
      <w:marLeft w:val="0"/>
      <w:marRight w:val="0"/>
      <w:marTop w:val="0"/>
      <w:marBottom w:val="0"/>
      <w:divBdr>
        <w:top w:val="none" w:sz="0" w:space="0" w:color="auto"/>
        <w:left w:val="none" w:sz="0" w:space="0" w:color="auto"/>
        <w:bottom w:val="none" w:sz="0" w:space="0" w:color="auto"/>
        <w:right w:val="none" w:sz="0" w:space="0" w:color="auto"/>
      </w:divBdr>
    </w:div>
    <w:div w:id="834877689">
      <w:bodyDiv w:val="1"/>
      <w:marLeft w:val="0"/>
      <w:marRight w:val="0"/>
      <w:marTop w:val="0"/>
      <w:marBottom w:val="0"/>
      <w:divBdr>
        <w:top w:val="none" w:sz="0" w:space="0" w:color="auto"/>
        <w:left w:val="none" w:sz="0" w:space="0" w:color="auto"/>
        <w:bottom w:val="none" w:sz="0" w:space="0" w:color="auto"/>
        <w:right w:val="none" w:sz="0" w:space="0" w:color="auto"/>
      </w:divBdr>
    </w:div>
    <w:div w:id="838889135">
      <w:bodyDiv w:val="1"/>
      <w:marLeft w:val="0"/>
      <w:marRight w:val="0"/>
      <w:marTop w:val="0"/>
      <w:marBottom w:val="0"/>
      <w:divBdr>
        <w:top w:val="none" w:sz="0" w:space="0" w:color="auto"/>
        <w:left w:val="none" w:sz="0" w:space="0" w:color="auto"/>
        <w:bottom w:val="none" w:sz="0" w:space="0" w:color="auto"/>
        <w:right w:val="none" w:sz="0" w:space="0" w:color="auto"/>
      </w:divBdr>
    </w:div>
    <w:div w:id="848328416">
      <w:bodyDiv w:val="1"/>
      <w:marLeft w:val="0"/>
      <w:marRight w:val="0"/>
      <w:marTop w:val="0"/>
      <w:marBottom w:val="0"/>
      <w:divBdr>
        <w:top w:val="none" w:sz="0" w:space="0" w:color="auto"/>
        <w:left w:val="none" w:sz="0" w:space="0" w:color="auto"/>
        <w:bottom w:val="none" w:sz="0" w:space="0" w:color="auto"/>
        <w:right w:val="none" w:sz="0" w:space="0" w:color="auto"/>
      </w:divBdr>
    </w:div>
    <w:div w:id="857544769">
      <w:bodyDiv w:val="1"/>
      <w:marLeft w:val="0"/>
      <w:marRight w:val="0"/>
      <w:marTop w:val="0"/>
      <w:marBottom w:val="0"/>
      <w:divBdr>
        <w:top w:val="none" w:sz="0" w:space="0" w:color="auto"/>
        <w:left w:val="none" w:sz="0" w:space="0" w:color="auto"/>
        <w:bottom w:val="none" w:sz="0" w:space="0" w:color="auto"/>
        <w:right w:val="none" w:sz="0" w:space="0" w:color="auto"/>
      </w:divBdr>
    </w:div>
    <w:div w:id="861169590">
      <w:bodyDiv w:val="1"/>
      <w:marLeft w:val="0"/>
      <w:marRight w:val="0"/>
      <w:marTop w:val="0"/>
      <w:marBottom w:val="0"/>
      <w:divBdr>
        <w:top w:val="none" w:sz="0" w:space="0" w:color="auto"/>
        <w:left w:val="none" w:sz="0" w:space="0" w:color="auto"/>
        <w:bottom w:val="none" w:sz="0" w:space="0" w:color="auto"/>
        <w:right w:val="none" w:sz="0" w:space="0" w:color="auto"/>
      </w:divBdr>
    </w:div>
    <w:div w:id="865405036">
      <w:bodyDiv w:val="1"/>
      <w:marLeft w:val="0"/>
      <w:marRight w:val="0"/>
      <w:marTop w:val="0"/>
      <w:marBottom w:val="0"/>
      <w:divBdr>
        <w:top w:val="none" w:sz="0" w:space="0" w:color="auto"/>
        <w:left w:val="none" w:sz="0" w:space="0" w:color="auto"/>
        <w:bottom w:val="none" w:sz="0" w:space="0" w:color="auto"/>
        <w:right w:val="none" w:sz="0" w:space="0" w:color="auto"/>
      </w:divBdr>
    </w:div>
    <w:div w:id="874586705">
      <w:bodyDiv w:val="1"/>
      <w:marLeft w:val="0"/>
      <w:marRight w:val="0"/>
      <w:marTop w:val="0"/>
      <w:marBottom w:val="0"/>
      <w:divBdr>
        <w:top w:val="none" w:sz="0" w:space="0" w:color="auto"/>
        <w:left w:val="none" w:sz="0" w:space="0" w:color="auto"/>
        <w:bottom w:val="none" w:sz="0" w:space="0" w:color="auto"/>
        <w:right w:val="none" w:sz="0" w:space="0" w:color="auto"/>
      </w:divBdr>
    </w:div>
    <w:div w:id="874661734">
      <w:bodyDiv w:val="1"/>
      <w:marLeft w:val="0"/>
      <w:marRight w:val="0"/>
      <w:marTop w:val="0"/>
      <w:marBottom w:val="0"/>
      <w:divBdr>
        <w:top w:val="none" w:sz="0" w:space="0" w:color="auto"/>
        <w:left w:val="none" w:sz="0" w:space="0" w:color="auto"/>
        <w:bottom w:val="none" w:sz="0" w:space="0" w:color="auto"/>
        <w:right w:val="none" w:sz="0" w:space="0" w:color="auto"/>
      </w:divBdr>
    </w:div>
    <w:div w:id="882332974">
      <w:bodyDiv w:val="1"/>
      <w:marLeft w:val="0"/>
      <w:marRight w:val="0"/>
      <w:marTop w:val="0"/>
      <w:marBottom w:val="0"/>
      <w:divBdr>
        <w:top w:val="none" w:sz="0" w:space="0" w:color="auto"/>
        <w:left w:val="none" w:sz="0" w:space="0" w:color="auto"/>
        <w:bottom w:val="none" w:sz="0" w:space="0" w:color="auto"/>
        <w:right w:val="none" w:sz="0" w:space="0" w:color="auto"/>
      </w:divBdr>
    </w:div>
    <w:div w:id="883059291">
      <w:bodyDiv w:val="1"/>
      <w:marLeft w:val="0"/>
      <w:marRight w:val="0"/>
      <w:marTop w:val="0"/>
      <w:marBottom w:val="0"/>
      <w:divBdr>
        <w:top w:val="none" w:sz="0" w:space="0" w:color="auto"/>
        <w:left w:val="none" w:sz="0" w:space="0" w:color="auto"/>
        <w:bottom w:val="none" w:sz="0" w:space="0" w:color="auto"/>
        <w:right w:val="none" w:sz="0" w:space="0" w:color="auto"/>
      </w:divBdr>
    </w:div>
    <w:div w:id="886721627">
      <w:bodyDiv w:val="1"/>
      <w:marLeft w:val="0"/>
      <w:marRight w:val="0"/>
      <w:marTop w:val="0"/>
      <w:marBottom w:val="0"/>
      <w:divBdr>
        <w:top w:val="none" w:sz="0" w:space="0" w:color="auto"/>
        <w:left w:val="none" w:sz="0" w:space="0" w:color="auto"/>
        <w:bottom w:val="none" w:sz="0" w:space="0" w:color="auto"/>
        <w:right w:val="none" w:sz="0" w:space="0" w:color="auto"/>
      </w:divBdr>
    </w:div>
    <w:div w:id="894201243">
      <w:bodyDiv w:val="1"/>
      <w:marLeft w:val="0"/>
      <w:marRight w:val="0"/>
      <w:marTop w:val="0"/>
      <w:marBottom w:val="0"/>
      <w:divBdr>
        <w:top w:val="none" w:sz="0" w:space="0" w:color="auto"/>
        <w:left w:val="none" w:sz="0" w:space="0" w:color="auto"/>
        <w:bottom w:val="none" w:sz="0" w:space="0" w:color="auto"/>
        <w:right w:val="none" w:sz="0" w:space="0" w:color="auto"/>
      </w:divBdr>
    </w:div>
    <w:div w:id="898979903">
      <w:bodyDiv w:val="1"/>
      <w:marLeft w:val="0"/>
      <w:marRight w:val="0"/>
      <w:marTop w:val="0"/>
      <w:marBottom w:val="0"/>
      <w:divBdr>
        <w:top w:val="none" w:sz="0" w:space="0" w:color="auto"/>
        <w:left w:val="none" w:sz="0" w:space="0" w:color="auto"/>
        <w:bottom w:val="none" w:sz="0" w:space="0" w:color="auto"/>
        <w:right w:val="none" w:sz="0" w:space="0" w:color="auto"/>
      </w:divBdr>
    </w:div>
    <w:div w:id="900017005">
      <w:bodyDiv w:val="1"/>
      <w:marLeft w:val="0"/>
      <w:marRight w:val="0"/>
      <w:marTop w:val="0"/>
      <w:marBottom w:val="0"/>
      <w:divBdr>
        <w:top w:val="none" w:sz="0" w:space="0" w:color="auto"/>
        <w:left w:val="none" w:sz="0" w:space="0" w:color="auto"/>
        <w:bottom w:val="none" w:sz="0" w:space="0" w:color="auto"/>
        <w:right w:val="none" w:sz="0" w:space="0" w:color="auto"/>
      </w:divBdr>
    </w:div>
    <w:div w:id="903562956">
      <w:bodyDiv w:val="1"/>
      <w:marLeft w:val="0"/>
      <w:marRight w:val="0"/>
      <w:marTop w:val="0"/>
      <w:marBottom w:val="0"/>
      <w:divBdr>
        <w:top w:val="none" w:sz="0" w:space="0" w:color="auto"/>
        <w:left w:val="none" w:sz="0" w:space="0" w:color="auto"/>
        <w:bottom w:val="none" w:sz="0" w:space="0" w:color="auto"/>
        <w:right w:val="none" w:sz="0" w:space="0" w:color="auto"/>
      </w:divBdr>
    </w:div>
    <w:div w:id="909316898">
      <w:bodyDiv w:val="1"/>
      <w:marLeft w:val="0"/>
      <w:marRight w:val="0"/>
      <w:marTop w:val="0"/>
      <w:marBottom w:val="0"/>
      <w:divBdr>
        <w:top w:val="none" w:sz="0" w:space="0" w:color="auto"/>
        <w:left w:val="none" w:sz="0" w:space="0" w:color="auto"/>
        <w:bottom w:val="none" w:sz="0" w:space="0" w:color="auto"/>
        <w:right w:val="none" w:sz="0" w:space="0" w:color="auto"/>
      </w:divBdr>
    </w:div>
    <w:div w:id="928657873">
      <w:bodyDiv w:val="1"/>
      <w:marLeft w:val="0"/>
      <w:marRight w:val="0"/>
      <w:marTop w:val="0"/>
      <w:marBottom w:val="0"/>
      <w:divBdr>
        <w:top w:val="none" w:sz="0" w:space="0" w:color="auto"/>
        <w:left w:val="none" w:sz="0" w:space="0" w:color="auto"/>
        <w:bottom w:val="none" w:sz="0" w:space="0" w:color="auto"/>
        <w:right w:val="none" w:sz="0" w:space="0" w:color="auto"/>
      </w:divBdr>
    </w:div>
    <w:div w:id="933631397">
      <w:bodyDiv w:val="1"/>
      <w:marLeft w:val="0"/>
      <w:marRight w:val="0"/>
      <w:marTop w:val="0"/>
      <w:marBottom w:val="0"/>
      <w:divBdr>
        <w:top w:val="none" w:sz="0" w:space="0" w:color="auto"/>
        <w:left w:val="none" w:sz="0" w:space="0" w:color="auto"/>
        <w:bottom w:val="none" w:sz="0" w:space="0" w:color="auto"/>
        <w:right w:val="none" w:sz="0" w:space="0" w:color="auto"/>
      </w:divBdr>
    </w:div>
    <w:div w:id="934363025">
      <w:bodyDiv w:val="1"/>
      <w:marLeft w:val="0"/>
      <w:marRight w:val="0"/>
      <w:marTop w:val="0"/>
      <w:marBottom w:val="0"/>
      <w:divBdr>
        <w:top w:val="none" w:sz="0" w:space="0" w:color="auto"/>
        <w:left w:val="none" w:sz="0" w:space="0" w:color="auto"/>
        <w:bottom w:val="none" w:sz="0" w:space="0" w:color="auto"/>
        <w:right w:val="none" w:sz="0" w:space="0" w:color="auto"/>
      </w:divBdr>
    </w:div>
    <w:div w:id="950629587">
      <w:bodyDiv w:val="1"/>
      <w:marLeft w:val="0"/>
      <w:marRight w:val="0"/>
      <w:marTop w:val="0"/>
      <w:marBottom w:val="0"/>
      <w:divBdr>
        <w:top w:val="none" w:sz="0" w:space="0" w:color="auto"/>
        <w:left w:val="none" w:sz="0" w:space="0" w:color="auto"/>
        <w:bottom w:val="none" w:sz="0" w:space="0" w:color="auto"/>
        <w:right w:val="none" w:sz="0" w:space="0" w:color="auto"/>
      </w:divBdr>
    </w:div>
    <w:div w:id="950816894">
      <w:bodyDiv w:val="1"/>
      <w:marLeft w:val="0"/>
      <w:marRight w:val="0"/>
      <w:marTop w:val="0"/>
      <w:marBottom w:val="0"/>
      <w:divBdr>
        <w:top w:val="none" w:sz="0" w:space="0" w:color="auto"/>
        <w:left w:val="none" w:sz="0" w:space="0" w:color="auto"/>
        <w:bottom w:val="none" w:sz="0" w:space="0" w:color="auto"/>
        <w:right w:val="none" w:sz="0" w:space="0" w:color="auto"/>
      </w:divBdr>
    </w:div>
    <w:div w:id="953293141">
      <w:bodyDiv w:val="1"/>
      <w:marLeft w:val="0"/>
      <w:marRight w:val="0"/>
      <w:marTop w:val="0"/>
      <w:marBottom w:val="0"/>
      <w:divBdr>
        <w:top w:val="none" w:sz="0" w:space="0" w:color="auto"/>
        <w:left w:val="none" w:sz="0" w:space="0" w:color="auto"/>
        <w:bottom w:val="none" w:sz="0" w:space="0" w:color="auto"/>
        <w:right w:val="none" w:sz="0" w:space="0" w:color="auto"/>
      </w:divBdr>
    </w:div>
    <w:div w:id="965548270">
      <w:bodyDiv w:val="1"/>
      <w:marLeft w:val="0"/>
      <w:marRight w:val="0"/>
      <w:marTop w:val="0"/>
      <w:marBottom w:val="0"/>
      <w:divBdr>
        <w:top w:val="none" w:sz="0" w:space="0" w:color="auto"/>
        <w:left w:val="none" w:sz="0" w:space="0" w:color="auto"/>
        <w:bottom w:val="none" w:sz="0" w:space="0" w:color="auto"/>
        <w:right w:val="none" w:sz="0" w:space="0" w:color="auto"/>
      </w:divBdr>
    </w:div>
    <w:div w:id="981039639">
      <w:bodyDiv w:val="1"/>
      <w:marLeft w:val="0"/>
      <w:marRight w:val="0"/>
      <w:marTop w:val="0"/>
      <w:marBottom w:val="0"/>
      <w:divBdr>
        <w:top w:val="none" w:sz="0" w:space="0" w:color="auto"/>
        <w:left w:val="none" w:sz="0" w:space="0" w:color="auto"/>
        <w:bottom w:val="none" w:sz="0" w:space="0" w:color="auto"/>
        <w:right w:val="none" w:sz="0" w:space="0" w:color="auto"/>
      </w:divBdr>
    </w:div>
    <w:div w:id="982541360">
      <w:bodyDiv w:val="1"/>
      <w:marLeft w:val="0"/>
      <w:marRight w:val="0"/>
      <w:marTop w:val="0"/>
      <w:marBottom w:val="0"/>
      <w:divBdr>
        <w:top w:val="none" w:sz="0" w:space="0" w:color="auto"/>
        <w:left w:val="none" w:sz="0" w:space="0" w:color="auto"/>
        <w:bottom w:val="none" w:sz="0" w:space="0" w:color="auto"/>
        <w:right w:val="none" w:sz="0" w:space="0" w:color="auto"/>
      </w:divBdr>
    </w:div>
    <w:div w:id="992104287">
      <w:bodyDiv w:val="1"/>
      <w:marLeft w:val="0"/>
      <w:marRight w:val="0"/>
      <w:marTop w:val="0"/>
      <w:marBottom w:val="0"/>
      <w:divBdr>
        <w:top w:val="none" w:sz="0" w:space="0" w:color="auto"/>
        <w:left w:val="none" w:sz="0" w:space="0" w:color="auto"/>
        <w:bottom w:val="none" w:sz="0" w:space="0" w:color="auto"/>
        <w:right w:val="none" w:sz="0" w:space="0" w:color="auto"/>
      </w:divBdr>
    </w:div>
    <w:div w:id="993681353">
      <w:bodyDiv w:val="1"/>
      <w:marLeft w:val="0"/>
      <w:marRight w:val="0"/>
      <w:marTop w:val="0"/>
      <w:marBottom w:val="0"/>
      <w:divBdr>
        <w:top w:val="none" w:sz="0" w:space="0" w:color="auto"/>
        <w:left w:val="none" w:sz="0" w:space="0" w:color="auto"/>
        <w:bottom w:val="none" w:sz="0" w:space="0" w:color="auto"/>
        <w:right w:val="none" w:sz="0" w:space="0" w:color="auto"/>
      </w:divBdr>
    </w:div>
    <w:div w:id="995648901">
      <w:bodyDiv w:val="1"/>
      <w:marLeft w:val="0"/>
      <w:marRight w:val="0"/>
      <w:marTop w:val="0"/>
      <w:marBottom w:val="0"/>
      <w:divBdr>
        <w:top w:val="none" w:sz="0" w:space="0" w:color="auto"/>
        <w:left w:val="none" w:sz="0" w:space="0" w:color="auto"/>
        <w:bottom w:val="none" w:sz="0" w:space="0" w:color="auto"/>
        <w:right w:val="none" w:sz="0" w:space="0" w:color="auto"/>
      </w:divBdr>
    </w:div>
    <w:div w:id="1004478019">
      <w:bodyDiv w:val="1"/>
      <w:marLeft w:val="0"/>
      <w:marRight w:val="0"/>
      <w:marTop w:val="0"/>
      <w:marBottom w:val="0"/>
      <w:divBdr>
        <w:top w:val="none" w:sz="0" w:space="0" w:color="auto"/>
        <w:left w:val="none" w:sz="0" w:space="0" w:color="auto"/>
        <w:bottom w:val="none" w:sz="0" w:space="0" w:color="auto"/>
        <w:right w:val="none" w:sz="0" w:space="0" w:color="auto"/>
      </w:divBdr>
    </w:div>
    <w:div w:id="1005089392">
      <w:bodyDiv w:val="1"/>
      <w:marLeft w:val="0"/>
      <w:marRight w:val="0"/>
      <w:marTop w:val="0"/>
      <w:marBottom w:val="0"/>
      <w:divBdr>
        <w:top w:val="none" w:sz="0" w:space="0" w:color="auto"/>
        <w:left w:val="none" w:sz="0" w:space="0" w:color="auto"/>
        <w:bottom w:val="none" w:sz="0" w:space="0" w:color="auto"/>
        <w:right w:val="none" w:sz="0" w:space="0" w:color="auto"/>
      </w:divBdr>
    </w:div>
    <w:div w:id="1022392002">
      <w:bodyDiv w:val="1"/>
      <w:marLeft w:val="0"/>
      <w:marRight w:val="0"/>
      <w:marTop w:val="0"/>
      <w:marBottom w:val="0"/>
      <w:divBdr>
        <w:top w:val="none" w:sz="0" w:space="0" w:color="auto"/>
        <w:left w:val="none" w:sz="0" w:space="0" w:color="auto"/>
        <w:bottom w:val="none" w:sz="0" w:space="0" w:color="auto"/>
        <w:right w:val="none" w:sz="0" w:space="0" w:color="auto"/>
      </w:divBdr>
    </w:div>
    <w:div w:id="1023676808">
      <w:bodyDiv w:val="1"/>
      <w:marLeft w:val="0"/>
      <w:marRight w:val="0"/>
      <w:marTop w:val="0"/>
      <w:marBottom w:val="0"/>
      <w:divBdr>
        <w:top w:val="none" w:sz="0" w:space="0" w:color="auto"/>
        <w:left w:val="none" w:sz="0" w:space="0" w:color="auto"/>
        <w:bottom w:val="none" w:sz="0" w:space="0" w:color="auto"/>
        <w:right w:val="none" w:sz="0" w:space="0" w:color="auto"/>
      </w:divBdr>
    </w:div>
    <w:div w:id="1025179932">
      <w:bodyDiv w:val="1"/>
      <w:marLeft w:val="0"/>
      <w:marRight w:val="0"/>
      <w:marTop w:val="0"/>
      <w:marBottom w:val="0"/>
      <w:divBdr>
        <w:top w:val="none" w:sz="0" w:space="0" w:color="auto"/>
        <w:left w:val="none" w:sz="0" w:space="0" w:color="auto"/>
        <w:bottom w:val="none" w:sz="0" w:space="0" w:color="auto"/>
        <w:right w:val="none" w:sz="0" w:space="0" w:color="auto"/>
      </w:divBdr>
    </w:div>
    <w:div w:id="1025982777">
      <w:bodyDiv w:val="1"/>
      <w:marLeft w:val="0"/>
      <w:marRight w:val="0"/>
      <w:marTop w:val="0"/>
      <w:marBottom w:val="0"/>
      <w:divBdr>
        <w:top w:val="none" w:sz="0" w:space="0" w:color="auto"/>
        <w:left w:val="none" w:sz="0" w:space="0" w:color="auto"/>
        <w:bottom w:val="none" w:sz="0" w:space="0" w:color="auto"/>
        <w:right w:val="none" w:sz="0" w:space="0" w:color="auto"/>
      </w:divBdr>
    </w:div>
    <w:div w:id="1026180746">
      <w:bodyDiv w:val="1"/>
      <w:marLeft w:val="0"/>
      <w:marRight w:val="0"/>
      <w:marTop w:val="0"/>
      <w:marBottom w:val="0"/>
      <w:divBdr>
        <w:top w:val="none" w:sz="0" w:space="0" w:color="auto"/>
        <w:left w:val="none" w:sz="0" w:space="0" w:color="auto"/>
        <w:bottom w:val="none" w:sz="0" w:space="0" w:color="auto"/>
        <w:right w:val="none" w:sz="0" w:space="0" w:color="auto"/>
      </w:divBdr>
    </w:div>
    <w:div w:id="1027871709">
      <w:bodyDiv w:val="1"/>
      <w:marLeft w:val="0"/>
      <w:marRight w:val="0"/>
      <w:marTop w:val="0"/>
      <w:marBottom w:val="0"/>
      <w:divBdr>
        <w:top w:val="none" w:sz="0" w:space="0" w:color="auto"/>
        <w:left w:val="none" w:sz="0" w:space="0" w:color="auto"/>
        <w:bottom w:val="none" w:sz="0" w:space="0" w:color="auto"/>
        <w:right w:val="none" w:sz="0" w:space="0" w:color="auto"/>
      </w:divBdr>
    </w:div>
    <w:div w:id="1028137386">
      <w:bodyDiv w:val="1"/>
      <w:marLeft w:val="0"/>
      <w:marRight w:val="0"/>
      <w:marTop w:val="0"/>
      <w:marBottom w:val="0"/>
      <w:divBdr>
        <w:top w:val="none" w:sz="0" w:space="0" w:color="auto"/>
        <w:left w:val="none" w:sz="0" w:space="0" w:color="auto"/>
        <w:bottom w:val="none" w:sz="0" w:space="0" w:color="auto"/>
        <w:right w:val="none" w:sz="0" w:space="0" w:color="auto"/>
      </w:divBdr>
    </w:div>
    <w:div w:id="1029262939">
      <w:bodyDiv w:val="1"/>
      <w:marLeft w:val="0"/>
      <w:marRight w:val="0"/>
      <w:marTop w:val="0"/>
      <w:marBottom w:val="0"/>
      <w:divBdr>
        <w:top w:val="none" w:sz="0" w:space="0" w:color="auto"/>
        <w:left w:val="none" w:sz="0" w:space="0" w:color="auto"/>
        <w:bottom w:val="none" w:sz="0" w:space="0" w:color="auto"/>
        <w:right w:val="none" w:sz="0" w:space="0" w:color="auto"/>
      </w:divBdr>
    </w:div>
    <w:div w:id="1032027709">
      <w:bodyDiv w:val="1"/>
      <w:marLeft w:val="0"/>
      <w:marRight w:val="0"/>
      <w:marTop w:val="0"/>
      <w:marBottom w:val="0"/>
      <w:divBdr>
        <w:top w:val="none" w:sz="0" w:space="0" w:color="auto"/>
        <w:left w:val="none" w:sz="0" w:space="0" w:color="auto"/>
        <w:bottom w:val="none" w:sz="0" w:space="0" w:color="auto"/>
        <w:right w:val="none" w:sz="0" w:space="0" w:color="auto"/>
      </w:divBdr>
    </w:div>
    <w:div w:id="1032262457">
      <w:bodyDiv w:val="1"/>
      <w:marLeft w:val="0"/>
      <w:marRight w:val="0"/>
      <w:marTop w:val="0"/>
      <w:marBottom w:val="0"/>
      <w:divBdr>
        <w:top w:val="none" w:sz="0" w:space="0" w:color="auto"/>
        <w:left w:val="none" w:sz="0" w:space="0" w:color="auto"/>
        <w:bottom w:val="none" w:sz="0" w:space="0" w:color="auto"/>
        <w:right w:val="none" w:sz="0" w:space="0" w:color="auto"/>
      </w:divBdr>
    </w:div>
    <w:div w:id="1032730747">
      <w:bodyDiv w:val="1"/>
      <w:marLeft w:val="0"/>
      <w:marRight w:val="0"/>
      <w:marTop w:val="0"/>
      <w:marBottom w:val="0"/>
      <w:divBdr>
        <w:top w:val="none" w:sz="0" w:space="0" w:color="auto"/>
        <w:left w:val="none" w:sz="0" w:space="0" w:color="auto"/>
        <w:bottom w:val="none" w:sz="0" w:space="0" w:color="auto"/>
        <w:right w:val="none" w:sz="0" w:space="0" w:color="auto"/>
      </w:divBdr>
    </w:div>
    <w:div w:id="1037046298">
      <w:bodyDiv w:val="1"/>
      <w:marLeft w:val="0"/>
      <w:marRight w:val="0"/>
      <w:marTop w:val="0"/>
      <w:marBottom w:val="0"/>
      <w:divBdr>
        <w:top w:val="none" w:sz="0" w:space="0" w:color="auto"/>
        <w:left w:val="none" w:sz="0" w:space="0" w:color="auto"/>
        <w:bottom w:val="none" w:sz="0" w:space="0" w:color="auto"/>
        <w:right w:val="none" w:sz="0" w:space="0" w:color="auto"/>
      </w:divBdr>
    </w:div>
    <w:div w:id="1037462846">
      <w:bodyDiv w:val="1"/>
      <w:marLeft w:val="0"/>
      <w:marRight w:val="0"/>
      <w:marTop w:val="0"/>
      <w:marBottom w:val="0"/>
      <w:divBdr>
        <w:top w:val="none" w:sz="0" w:space="0" w:color="auto"/>
        <w:left w:val="none" w:sz="0" w:space="0" w:color="auto"/>
        <w:bottom w:val="none" w:sz="0" w:space="0" w:color="auto"/>
        <w:right w:val="none" w:sz="0" w:space="0" w:color="auto"/>
      </w:divBdr>
    </w:div>
    <w:div w:id="1046218851">
      <w:bodyDiv w:val="1"/>
      <w:marLeft w:val="0"/>
      <w:marRight w:val="0"/>
      <w:marTop w:val="0"/>
      <w:marBottom w:val="0"/>
      <w:divBdr>
        <w:top w:val="none" w:sz="0" w:space="0" w:color="auto"/>
        <w:left w:val="none" w:sz="0" w:space="0" w:color="auto"/>
        <w:bottom w:val="none" w:sz="0" w:space="0" w:color="auto"/>
        <w:right w:val="none" w:sz="0" w:space="0" w:color="auto"/>
      </w:divBdr>
    </w:div>
    <w:div w:id="1046485380">
      <w:bodyDiv w:val="1"/>
      <w:marLeft w:val="0"/>
      <w:marRight w:val="0"/>
      <w:marTop w:val="0"/>
      <w:marBottom w:val="0"/>
      <w:divBdr>
        <w:top w:val="none" w:sz="0" w:space="0" w:color="auto"/>
        <w:left w:val="none" w:sz="0" w:space="0" w:color="auto"/>
        <w:bottom w:val="none" w:sz="0" w:space="0" w:color="auto"/>
        <w:right w:val="none" w:sz="0" w:space="0" w:color="auto"/>
      </w:divBdr>
    </w:div>
    <w:div w:id="1046836395">
      <w:bodyDiv w:val="1"/>
      <w:marLeft w:val="0"/>
      <w:marRight w:val="0"/>
      <w:marTop w:val="0"/>
      <w:marBottom w:val="0"/>
      <w:divBdr>
        <w:top w:val="none" w:sz="0" w:space="0" w:color="auto"/>
        <w:left w:val="none" w:sz="0" w:space="0" w:color="auto"/>
        <w:bottom w:val="none" w:sz="0" w:space="0" w:color="auto"/>
        <w:right w:val="none" w:sz="0" w:space="0" w:color="auto"/>
      </w:divBdr>
    </w:div>
    <w:div w:id="1047489907">
      <w:bodyDiv w:val="1"/>
      <w:marLeft w:val="0"/>
      <w:marRight w:val="0"/>
      <w:marTop w:val="0"/>
      <w:marBottom w:val="0"/>
      <w:divBdr>
        <w:top w:val="none" w:sz="0" w:space="0" w:color="auto"/>
        <w:left w:val="none" w:sz="0" w:space="0" w:color="auto"/>
        <w:bottom w:val="none" w:sz="0" w:space="0" w:color="auto"/>
        <w:right w:val="none" w:sz="0" w:space="0" w:color="auto"/>
      </w:divBdr>
    </w:div>
    <w:div w:id="1059133889">
      <w:bodyDiv w:val="1"/>
      <w:marLeft w:val="0"/>
      <w:marRight w:val="0"/>
      <w:marTop w:val="0"/>
      <w:marBottom w:val="0"/>
      <w:divBdr>
        <w:top w:val="none" w:sz="0" w:space="0" w:color="auto"/>
        <w:left w:val="none" w:sz="0" w:space="0" w:color="auto"/>
        <w:bottom w:val="none" w:sz="0" w:space="0" w:color="auto"/>
        <w:right w:val="none" w:sz="0" w:space="0" w:color="auto"/>
      </w:divBdr>
    </w:div>
    <w:div w:id="1060786088">
      <w:bodyDiv w:val="1"/>
      <w:marLeft w:val="0"/>
      <w:marRight w:val="0"/>
      <w:marTop w:val="0"/>
      <w:marBottom w:val="0"/>
      <w:divBdr>
        <w:top w:val="none" w:sz="0" w:space="0" w:color="auto"/>
        <w:left w:val="none" w:sz="0" w:space="0" w:color="auto"/>
        <w:bottom w:val="none" w:sz="0" w:space="0" w:color="auto"/>
        <w:right w:val="none" w:sz="0" w:space="0" w:color="auto"/>
      </w:divBdr>
    </w:div>
    <w:div w:id="1065025897">
      <w:bodyDiv w:val="1"/>
      <w:marLeft w:val="0"/>
      <w:marRight w:val="0"/>
      <w:marTop w:val="0"/>
      <w:marBottom w:val="0"/>
      <w:divBdr>
        <w:top w:val="none" w:sz="0" w:space="0" w:color="auto"/>
        <w:left w:val="none" w:sz="0" w:space="0" w:color="auto"/>
        <w:bottom w:val="none" w:sz="0" w:space="0" w:color="auto"/>
        <w:right w:val="none" w:sz="0" w:space="0" w:color="auto"/>
      </w:divBdr>
    </w:div>
    <w:div w:id="1066218317">
      <w:bodyDiv w:val="1"/>
      <w:marLeft w:val="0"/>
      <w:marRight w:val="0"/>
      <w:marTop w:val="0"/>
      <w:marBottom w:val="0"/>
      <w:divBdr>
        <w:top w:val="none" w:sz="0" w:space="0" w:color="auto"/>
        <w:left w:val="none" w:sz="0" w:space="0" w:color="auto"/>
        <w:bottom w:val="none" w:sz="0" w:space="0" w:color="auto"/>
        <w:right w:val="none" w:sz="0" w:space="0" w:color="auto"/>
      </w:divBdr>
    </w:div>
    <w:div w:id="1079325240">
      <w:bodyDiv w:val="1"/>
      <w:marLeft w:val="0"/>
      <w:marRight w:val="0"/>
      <w:marTop w:val="0"/>
      <w:marBottom w:val="0"/>
      <w:divBdr>
        <w:top w:val="none" w:sz="0" w:space="0" w:color="auto"/>
        <w:left w:val="none" w:sz="0" w:space="0" w:color="auto"/>
        <w:bottom w:val="none" w:sz="0" w:space="0" w:color="auto"/>
        <w:right w:val="none" w:sz="0" w:space="0" w:color="auto"/>
      </w:divBdr>
    </w:div>
    <w:div w:id="1081366790">
      <w:bodyDiv w:val="1"/>
      <w:marLeft w:val="0"/>
      <w:marRight w:val="0"/>
      <w:marTop w:val="0"/>
      <w:marBottom w:val="0"/>
      <w:divBdr>
        <w:top w:val="none" w:sz="0" w:space="0" w:color="auto"/>
        <w:left w:val="none" w:sz="0" w:space="0" w:color="auto"/>
        <w:bottom w:val="none" w:sz="0" w:space="0" w:color="auto"/>
        <w:right w:val="none" w:sz="0" w:space="0" w:color="auto"/>
      </w:divBdr>
    </w:div>
    <w:div w:id="1083184514">
      <w:bodyDiv w:val="1"/>
      <w:marLeft w:val="0"/>
      <w:marRight w:val="0"/>
      <w:marTop w:val="0"/>
      <w:marBottom w:val="0"/>
      <w:divBdr>
        <w:top w:val="none" w:sz="0" w:space="0" w:color="auto"/>
        <w:left w:val="none" w:sz="0" w:space="0" w:color="auto"/>
        <w:bottom w:val="none" w:sz="0" w:space="0" w:color="auto"/>
        <w:right w:val="none" w:sz="0" w:space="0" w:color="auto"/>
      </w:divBdr>
    </w:div>
    <w:div w:id="1089351326">
      <w:bodyDiv w:val="1"/>
      <w:marLeft w:val="0"/>
      <w:marRight w:val="0"/>
      <w:marTop w:val="0"/>
      <w:marBottom w:val="0"/>
      <w:divBdr>
        <w:top w:val="none" w:sz="0" w:space="0" w:color="auto"/>
        <w:left w:val="none" w:sz="0" w:space="0" w:color="auto"/>
        <w:bottom w:val="none" w:sz="0" w:space="0" w:color="auto"/>
        <w:right w:val="none" w:sz="0" w:space="0" w:color="auto"/>
      </w:divBdr>
    </w:div>
    <w:div w:id="1090157225">
      <w:bodyDiv w:val="1"/>
      <w:marLeft w:val="0"/>
      <w:marRight w:val="0"/>
      <w:marTop w:val="0"/>
      <w:marBottom w:val="0"/>
      <w:divBdr>
        <w:top w:val="none" w:sz="0" w:space="0" w:color="auto"/>
        <w:left w:val="none" w:sz="0" w:space="0" w:color="auto"/>
        <w:bottom w:val="none" w:sz="0" w:space="0" w:color="auto"/>
        <w:right w:val="none" w:sz="0" w:space="0" w:color="auto"/>
      </w:divBdr>
    </w:div>
    <w:div w:id="1099178444">
      <w:bodyDiv w:val="1"/>
      <w:marLeft w:val="0"/>
      <w:marRight w:val="0"/>
      <w:marTop w:val="0"/>
      <w:marBottom w:val="0"/>
      <w:divBdr>
        <w:top w:val="none" w:sz="0" w:space="0" w:color="auto"/>
        <w:left w:val="none" w:sz="0" w:space="0" w:color="auto"/>
        <w:bottom w:val="none" w:sz="0" w:space="0" w:color="auto"/>
        <w:right w:val="none" w:sz="0" w:space="0" w:color="auto"/>
      </w:divBdr>
    </w:div>
    <w:div w:id="1117718862">
      <w:bodyDiv w:val="1"/>
      <w:marLeft w:val="0"/>
      <w:marRight w:val="0"/>
      <w:marTop w:val="0"/>
      <w:marBottom w:val="0"/>
      <w:divBdr>
        <w:top w:val="none" w:sz="0" w:space="0" w:color="auto"/>
        <w:left w:val="none" w:sz="0" w:space="0" w:color="auto"/>
        <w:bottom w:val="none" w:sz="0" w:space="0" w:color="auto"/>
        <w:right w:val="none" w:sz="0" w:space="0" w:color="auto"/>
      </w:divBdr>
    </w:div>
    <w:div w:id="1120300655">
      <w:bodyDiv w:val="1"/>
      <w:marLeft w:val="0"/>
      <w:marRight w:val="0"/>
      <w:marTop w:val="0"/>
      <w:marBottom w:val="0"/>
      <w:divBdr>
        <w:top w:val="none" w:sz="0" w:space="0" w:color="auto"/>
        <w:left w:val="none" w:sz="0" w:space="0" w:color="auto"/>
        <w:bottom w:val="none" w:sz="0" w:space="0" w:color="auto"/>
        <w:right w:val="none" w:sz="0" w:space="0" w:color="auto"/>
      </w:divBdr>
    </w:div>
    <w:div w:id="1126463694">
      <w:bodyDiv w:val="1"/>
      <w:marLeft w:val="0"/>
      <w:marRight w:val="0"/>
      <w:marTop w:val="0"/>
      <w:marBottom w:val="0"/>
      <w:divBdr>
        <w:top w:val="none" w:sz="0" w:space="0" w:color="auto"/>
        <w:left w:val="none" w:sz="0" w:space="0" w:color="auto"/>
        <w:bottom w:val="none" w:sz="0" w:space="0" w:color="auto"/>
        <w:right w:val="none" w:sz="0" w:space="0" w:color="auto"/>
      </w:divBdr>
    </w:div>
    <w:div w:id="1126587406">
      <w:bodyDiv w:val="1"/>
      <w:marLeft w:val="0"/>
      <w:marRight w:val="0"/>
      <w:marTop w:val="0"/>
      <w:marBottom w:val="0"/>
      <w:divBdr>
        <w:top w:val="none" w:sz="0" w:space="0" w:color="auto"/>
        <w:left w:val="none" w:sz="0" w:space="0" w:color="auto"/>
        <w:bottom w:val="none" w:sz="0" w:space="0" w:color="auto"/>
        <w:right w:val="none" w:sz="0" w:space="0" w:color="auto"/>
      </w:divBdr>
    </w:div>
    <w:div w:id="1126849374">
      <w:bodyDiv w:val="1"/>
      <w:marLeft w:val="0"/>
      <w:marRight w:val="0"/>
      <w:marTop w:val="0"/>
      <w:marBottom w:val="0"/>
      <w:divBdr>
        <w:top w:val="none" w:sz="0" w:space="0" w:color="auto"/>
        <w:left w:val="none" w:sz="0" w:space="0" w:color="auto"/>
        <w:bottom w:val="none" w:sz="0" w:space="0" w:color="auto"/>
        <w:right w:val="none" w:sz="0" w:space="0" w:color="auto"/>
      </w:divBdr>
    </w:div>
    <w:div w:id="1142964421">
      <w:bodyDiv w:val="1"/>
      <w:marLeft w:val="0"/>
      <w:marRight w:val="0"/>
      <w:marTop w:val="0"/>
      <w:marBottom w:val="0"/>
      <w:divBdr>
        <w:top w:val="none" w:sz="0" w:space="0" w:color="auto"/>
        <w:left w:val="none" w:sz="0" w:space="0" w:color="auto"/>
        <w:bottom w:val="none" w:sz="0" w:space="0" w:color="auto"/>
        <w:right w:val="none" w:sz="0" w:space="0" w:color="auto"/>
      </w:divBdr>
    </w:div>
    <w:div w:id="1149518055">
      <w:bodyDiv w:val="1"/>
      <w:marLeft w:val="0"/>
      <w:marRight w:val="0"/>
      <w:marTop w:val="0"/>
      <w:marBottom w:val="0"/>
      <w:divBdr>
        <w:top w:val="none" w:sz="0" w:space="0" w:color="auto"/>
        <w:left w:val="none" w:sz="0" w:space="0" w:color="auto"/>
        <w:bottom w:val="none" w:sz="0" w:space="0" w:color="auto"/>
        <w:right w:val="none" w:sz="0" w:space="0" w:color="auto"/>
      </w:divBdr>
    </w:div>
    <w:div w:id="1168330456">
      <w:bodyDiv w:val="1"/>
      <w:marLeft w:val="0"/>
      <w:marRight w:val="0"/>
      <w:marTop w:val="0"/>
      <w:marBottom w:val="0"/>
      <w:divBdr>
        <w:top w:val="none" w:sz="0" w:space="0" w:color="auto"/>
        <w:left w:val="none" w:sz="0" w:space="0" w:color="auto"/>
        <w:bottom w:val="none" w:sz="0" w:space="0" w:color="auto"/>
        <w:right w:val="none" w:sz="0" w:space="0" w:color="auto"/>
      </w:divBdr>
    </w:div>
    <w:div w:id="1169323287">
      <w:bodyDiv w:val="1"/>
      <w:marLeft w:val="0"/>
      <w:marRight w:val="0"/>
      <w:marTop w:val="0"/>
      <w:marBottom w:val="0"/>
      <w:divBdr>
        <w:top w:val="none" w:sz="0" w:space="0" w:color="auto"/>
        <w:left w:val="none" w:sz="0" w:space="0" w:color="auto"/>
        <w:bottom w:val="none" w:sz="0" w:space="0" w:color="auto"/>
        <w:right w:val="none" w:sz="0" w:space="0" w:color="auto"/>
      </w:divBdr>
    </w:div>
    <w:div w:id="1172376857">
      <w:bodyDiv w:val="1"/>
      <w:marLeft w:val="0"/>
      <w:marRight w:val="0"/>
      <w:marTop w:val="0"/>
      <w:marBottom w:val="0"/>
      <w:divBdr>
        <w:top w:val="none" w:sz="0" w:space="0" w:color="auto"/>
        <w:left w:val="none" w:sz="0" w:space="0" w:color="auto"/>
        <w:bottom w:val="none" w:sz="0" w:space="0" w:color="auto"/>
        <w:right w:val="none" w:sz="0" w:space="0" w:color="auto"/>
      </w:divBdr>
    </w:div>
    <w:div w:id="1172379951">
      <w:bodyDiv w:val="1"/>
      <w:marLeft w:val="0"/>
      <w:marRight w:val="0"/>
      <w:marTop w:val="0"/>
      <w:marBottom w:val="0"/>
      <w:divBdr>
        <w:top w:val="none" w:sz="0" w:space="0" w:color="auto"/>
        <w:left w:val="none" w:sz="0" w:space="0" w:color="auto"/>
        <w:bottom w:val="none" w:sz="0" w:space="0" w:color="auto"/>
        <w:right w:val="none" w:sz="0" w:space="0" w:color="auto"/>
      </w:divBdr>
    </w:div>
    <w:div w:id="1172525495">
      <w:bodyDiv w:val="1"/>
      <w:marLeft w:val="0"/>
      <w:marRight w:val="0"/>
      <w:marTop w:val="0"/>
      <w:marBottom w:val="0"/>
      <w:divBdr>
        <w:top w:val="none" w:sz="0" w:space="0" w:color="auto"/>
        <w:left w:val="none" w:sz="0" w:space="0" w:color="auto"/>
        <w:bottom w:val="none" w:sz="0" w:space="0" w:color="auto"/>
        <w:right w:val="none" w:sz="0" w:space="0" w:color="auto"/>
      </w:divBdr>
    </w:div>
    <w:div w:id="1178303303">
      <w:bodyDiv w:val="1"/>
      <w:marLeft w:val="0"/>
      <w:marRight w:val="0"/>
      <w:marTop w:val="0"/>
      <w:marBottom w:val="0"/>
      <w:divBdr>
        <w:top w:val="none" w:sz="0" w:space="0" w:color="auto"/>
        <w:left w:val="none" w:sz="0" w:space="0" w:color="auto"/>
        <w:bottom w:val="none" w:sz="0" w:space="0" w:color="auto"/>
        <w:right w:val="none" w:sz="0" w:space="0" w:color="auto"/>
      </w:divBdr>
    </w:div>
    <w:div w:id="1179469235">
      <w:bodyDiv w:val="1"/>
      <w:marLeft w:val="0"/>
      <w:marRight w:val="0"/>
      <w:marTop w:val="0"/>
      <w:marBottom w:val="0"/>
      <w:divBdr>
        <w:top w:val="none" w:sz="0" w:space="0" w:color="auto"/>
        <w:left w:val="none" w:sz="0" w:space="0" w:color="auto"/>
        <w:bottom w:val="none" w:sz="0" w:space="0" w:color="auto"/>
        <w:right w:val="none" w:sz="0" w:space="0" w:color="auto"/>
      </w:divBdr>
    </w:div>
    <w:div w:id="1183132644">
      <w:bodyDiv w:val="1"/>
      <w:marLeft w:val="0"/>
      <w:marRight w:val="0"/>
      <w:marTop w:val="0"/>
      <w:marBottom w:val="0"/>
      <w:divBdr>
        <w:top w:val="none" w:sz="0" w:space="0" w:color="auto"/>
        <w:left w:val="none" w:sz="0" w:space="0" w:color="auto"/>
        <w:bottom w:val="none" w:sz="0" w:space="0" w:color="auto"/>
        <w:right w:val="none" w:sz="0" w:space="0" w:color="auto"/>
      </w:divBdr>
    </w:div>
    <w:div w:id="1183393767">
      <w:bodyDiv w:val="1"/>
      <w:marLeft w:val="0"/>
      <w:marRight w:val="0"/>
      <w:marTop w:val="0"/>
      <w:marBottom w:val="0"/>
      <w:divBdr>
        <w:top w:val="none" w:sz="0" w:space="0" w:color="auto"/>
        <w:left w:val="none" w:sz="0" w:space="0" w:color="auto"/>
        <w:bottom w:val="none" w:sz="0" w:space="0" w:color="auto"/>
        <w:right w:val="none" w:sz="0" w:space="0" w:color="auto"/>
      </w:divBdr>
    </w:div>
    <w:div w:id="1184980072">
      <w:bodyDiv w:val="1"/>
      <w:marLeft w:val="0"/>
      <w:marRight w:val="0"/>
      <w:marTop w:val="0"/>
      <w:marBottom w:val="0"/>
      <w:divBdr>
        <w:top w:val="none" w:sz="0" w:space="0" w:color="auto"/>
        <w:left w:val="none" w:sz="0" w:space="0" w:color="auto"/>
        <w:bottom w:val="none" w:sz="0" w:space="0" w:color="auto"/>
        <w:right w:val="none" w:sz="0" w:space="0" w:color="auto"/>
      </w:divBdr>
    </w:div>
    <w:div w:id="1193612030">
      <w:bodyDiv w:val="1"/>
      <w:marLeft w:val="0"/>
      <w:marRight w:val="0"/>
      <w:marTop w:val="0"/>
      <w:marBottom w:val="0"/>
      <w:divBdr>
        <w:top w:val="none" w:sz="0" w:space="0" w:color="auto"/>
        <w:left w:val="none" w:sz="0" w:space="0" w:color="auto"/>
        <w:bottom w:val="none" w:sz="0" w:space="0" w:color="auto"/>
        <w:right w:val="none" w:sz="0" w:space="0" w:color="auto"/>
      </w:divBdr>
    </w:div>
    <w:div w:id="1195774642">
      <w:bodyDiv w:val="1"/>
      <w:marLeft w:val="0"/>
      <w:marRight w:val="0"/>
      <w:marTop w:val="0"/>
      <w:marBottom w:val="0"/>
      <w:divBdr>
        <w:top w:val="none" w:sz="0" w:space="0" w:color="auto"/>
        <w:left w:val="none" w:sz="0" w:space="0" w:color="auto"/>
        <w:bottom w:val="none" w:sz="0" w:space="0" w:color="auto"/>
        <w:right w:val="none" w:sz="0" w:space="0" w:color="auto"/>
      </w:divBdr>
    </w:div>
    <w:div w:id="1213879876">
      <w:bodyDiv w:val="1"/>
      <w:marLeft w:val="0"/>
      <w:marRight w:val="0"/>
      <w:marTop w:val="0"/>
      <w:marBottom w:val="0"/>
      <w:divBdr>
        <w:top w:val="none" w:sz="0" w:space="0" w:color="auto"/>
        <w:left w:val="none" w:sz="0" w:space="0" w:color="auto"/>
        <w:bottom w:val="none" w:sz="0" w:space="0" w:color="auto"/>
        <w:right w:val="none" w:sz="0" w:space="0" w:color="auto"/>
      </w:divBdr>
    </w:div>
    <w:div w:id="1215509297">
      <w:bodyDiv w:val="1"/>
      <w:marLeft w:val="0"/>
      <w:marRight w:val="0"/>
      <w:marTop w:val="0"/>
      <w:marBottom w:val="0"/>
      <w:divBdr>
        <w:top w:val="none" w:sz="0" w:space="0" w:color="auto"/>
        <w:left w:val="none" w:sz="0" w:space="0" w:color="auto"/>
        <w:bottom w:val="none" w:sz="0" w:space="0" w:color="auto"/>
        <w:right w:val="none" w:sz="0" w:space="0" w:color="auto"/>
      </w:divBdr>
    </w:div>
    <w:div w:id="1217550739">
      <w:bodyDiv w:val="1"/>
      <w:marLeft w:val="0"/>
      <w:marRight w:val="0"/>
      <w:marTop w:val="0"/>
      <w:marBottom w:val="0"/>
      <w:divBdr>
        <w:top w:val="none" w:sz="0" w:space="0" w:color="auto"/>
        <w:left w:val="none" w:sz="0" w:space="0" w:color="auto"/>
        <w:bottom w:val="none" w:sz="0" w:space="0" w:color="auto"/>
        <w:right w:val="none" w:sz="0" w:space="0" w:color="auto"/>
      </w:divBdr>
    </w:div>
    <w:div w:id="1221988093">
      <w:bodyDiv w:val="1"/>
      <w:marLeft w:val="0"/>
      <w:marRight w:val="0"/>
      <w:marTop w:val="0"/>
      <w:marBottom w:val="0"/>
      <w:divBdr>
        <w:top w:val="none" w:sz="0" w:space="0" w:color="auto"/>
        <w:left w:val="none" w:sz="0" w:space="0" w:color="auto"/>
        <w:bottom w:val="none" w:sz="0" w:space="0" w:color="auto"/>
        <w:right w:val="none" w:sz="0" w:space="0" w:color="auto"/>
      </w:divBdr>
    </w:div>
    <w:div w:id="1225330606">
      <w:bodyDiv w:val="1"/>
      <w:marLeft w:val="0"/>
      <w:marRight w:val="0"/>
      <w:marTop w:val="0"/>
      <w:marBottom w:val="0"/>
      <w:divBdr>
        <w:top w:val="none" w:sz="0" w:space="0" w:color="auto"/>
        <w:left w:val="none" w:sz="0" w:space="0" w:color="auto"/>
        <w:bottom w:val="none" w:sz="0" w:space="0" w:color="auto"/>
        <w:right w:val="none" w:sz="0" w:space="0" w:color="auto"/>
      </w:divBdr>
    </w:div>
    <w:div w:id="1228686727">
      <w:bodyDiv w:val="1"/>
      <w:marLeft w:val="0"/>
      <w:marRight w:val="0"/>
      <w:marTop w:val="0"/>
      <w:marBottom w:val="0"/>
      <w:divBdr>
        <w:top w:val="none" w:sz="0" w:space="0" w:color="auto"/>
        <w:left w:val="none" w:sz="0" w:space="0" w:color="auto"/>
        <w:bottom w:val="none" w:sz="0" w:space="0" w:color="auto"/>
        <w:right w:val="none" w:sz="0" w:space="0" w:color="auto"/>
      </w:divBdr>
    </w:div>
    <w:div w:id="1235435480">
      <w:bodyDiv w:val="1"/>
      <w:marLeft w:val="0"/>
      <w:marRight w:val="0"/>
      <w:marTop w:val="0"/>
      <w:marBottom w:val="0"/>
      <w:divBdr>
        <w:top w:val="none" w:sz="0" w:space="0" w:color="auto"/>
        <w:left w:val="none" w:sz="0" w:space="0" w:color="auto"/>
        <w:bottom w:val="none" w:sz="0" w:space="0" w:color="auto"/>
        <w:right w:val="none" w:sz="0" w:space="0" w:color="auto"/>
      </w:divBdr>
    </w:div>
    <w:div w:id="1236816003">
      <w:bodyDiv w:val="1"/>
      <w:marLeft w:val="0"/>
      <w:marRight w:val="0"/>
      <w:marTop w:val="0"/>
      <w:marBottom w:val="0"/>
      <w:divBdr>
        <w:top w:val="none" w:sz="0" w:space="0" w:color="auto"/>
        <w:left w:val="none" w:sz="0" w:space="0" w:color="auto"/>
        <w:bottom w:val="none" w:sz="0" w:space="0" w:color="auto"/>
        <w:right w:val="none" w:sz="0" w:space="0" w:color="auto"/>
      </w:divBdr>
    </w:div>
    <w:div w:id="1247881158">
      <w:bodyDiv w:val="1"/>
      <w:marLeft w:val="0"/>
      <w:marRight w:val="0"/>
      <w:marTop w:val="0"/>
      <w:marBottom w:val="0"/>
      <w:divBdr>
        <w:top w:val="none" w:sz="0" w:space="0" w:color="auto"/>
        <w:left w:val="none" w:sz="0" w:space="0" w:color="auto"/>
        <w:bottom w:val="none" w:sz="0" w:space="0" w:color="auto"/>
        <w:right w:val="none" w:sz="0" w:space="0" w:color="auto"/>
      </w:divBdr>
    </w:div>
    <w:div w:id="1249460584">
      <w:bodyDiv w:val="1"/>
      <w:marLeft w:val="0"/>
      <w:marRight w:val="0"/>
      <w:marTop w:val="0"/>
      <w:marBottom w:val="0"/>
      <w:divBdr>
        <w:top w:val="none" w:sz="0" w:space="0" w:color="auto"/>
        <w:left w:val="none" w:sz="0" w:space="0" w:color="auto"/>
        <w:bottom w:val="none" w:sz="0" w:space="0" w:color="auto"/>
        <w:right w:val="none" w:sz="0" w:space="0" w:color="auto"/>
      </w:divBdr>
    </w:div>
    <w:div w:id="1253277419">
      <w:bodyDiv w:val="1"/>
      <w:marLeft w:val="0"/>
      <w:marRight w:val="0"/>
      <w:marTop w:val="0"/>
      <w:marBottom w:val="0"/>
      <w:divBdr>
        <w:top w:val="none" w:sz="0" w:space="0" w:color="auto"/>
        <w:left w:val="none" w:sz="0" w:space="0" w:color="auto"/>
        <w:bottom w:val="none" w:sz="0" w:space="0" w:color="auto"/>
        <w:right w:val="none" w:sz="0" w:space="0" w:color="auto"/>
      </w:divBdr>
    </w:div>
    <w:div w:id="1255284507">
      <w:bodyDiv w:val="1"/>
      <w:marLeft w:val="0"/>
      <w:marRight w:val="0"/>
      <w:marTop w:val="0"/>
      <w:marBottom w:val="0"/>
      <w:divBdr>
        <w:top w:val="none" w:sz="0" w:space="0" w:color="auto"/>
        <w:left w:val="none" w:sz="0" w:space="0" w:color="auto"/>
        <w:bottom w:val="none" w:sz="0" w:space="0" w:color="auto"/>
        <w:right w:val="none" w:sz="0" w:space="0" w:color="auto"/>
      </w:divBdr>
    </w:div>
    <w:div w:id="1260019222">
      <w:bodyDiv w:val="1"/>
      <w:marLeft w:val="0"/>
      <w:marRight w:val="0"/>
      <w:marTop w:val="0"/>
      <w:marBottom w:val="0"/>
      <w:divBdr>
        <w:top w:val="none" w:sz="0" w:space="0" w:color="auto"/>
        <w:left w:val="none" w:sz="0" w:space="0" w:color="auto"/>
        <w:bottom w:val="none" w:sz="0" w:space="0" w:color="auto"/>
        <w:right w:val="none" w:sz="0" w:space="0" w:color="auto"/>
      </w:divBdr>
    </w:div>
    <w:div w:id="1264460826">
      <w:bodyDiv w:val="1"/>
      <w:marLeft w:val="0"/>
      <w:marRight w:val="0"/>
      <w:marTop w:val="0"/>
      <w:marBottom w:val="0"/>
      <w:divBdr>
        <w:top w:val="none" w:sz="0" w:space="0" w:color="auto"/>
        <w:left w:val="none" w:sz="0" w:space="0" w:color="auto"/>
        <w:bottom w:val="none" w:sz="0" w:space="0" w:color="auto"/>
        <w:right w:val="none" w:sz="0" w:space="0" w:color="auto"/>
      </w:divBdr>
    </w:div>
    <w:div w:id="1264613452">
      <w:bodyDiv w:val="1"/>
      <w:marLeft w:val="0"/>
      <w:marRight w:val="0"/>
      <w:marTop w:val="0"/>
      <w:marBottom w:val="0"/>
      <w:divBdr>
        <w:top w:val="none" w:sz="0" w:space="0" w:color="auto"/>
        <w:left w:val="none" w:sz="0" w:space="0" w:color="auto"/>
        <w:bottom w:val="none" w:sz="0" w:space="0" w:color="auto"/>
        <w:right w:val="none" w:sz="0" w:space="0" w:color="auto"/>
      </w:divBdr>
    </w:div>
    <w:div w:id="1272006172">
      <w:bodyDiv w:val="1"/>
      <w:marLeft w:val="0"/>
      <w:marRight w:val="0"/>
      <w:marTop w:val="0"/>
      <w:marBottom w:val="0"/>
      <w:divBdr>
        <w:top w:val="none" w:sz="0" w:space="0" w:color="auto"/>
        <w:left w:val="none" w:sz="0" w:space="0" w:color="auto"/>
        <w:bottom w:val="none" w:sz="0" w:space="0" w:color="auto"/>
        <w:right w:val="none" w:sz="0" w:space="0" w:color="auto"/>
      </w:divBdr>
    </w:div>
    <w:div w:id="1272516155">
      <w:bodyDiv w:val="1"/>
      <w:marLeft w:val="0"/>
      <w:marRight w:val="0"/>
      <w:marTop w:val="0"/>
      <w:marBottom w:val="0"/>
      <w:divBdr>
        <w:top w:val="none" w:sz="0" w:space="0" w:color="auto"/>
        <w:left w:val="none" w:sz="0" w:space="0" w:color="auto"/>
        <w:bottom w:val="none" w:sz="0" w:space="0" w:color="auto"/>
        <w:right w:val="none" w:sz="0" w:space="0" w:color="auto"/>
      </w:divBdr>
    </w:div>
    <w:div w:id="1273174385">
      <w:bodyDiv w:val="1"/>
      <w:marLeft w:val="0"/>
      <w:marRight w:val="0"/>
      <w:marTop w:val="0"/>
      <w:marBottom w:val="0"/>
      <w:divBdr>
        <w:top w:val="none" w:sz="0" w:space="0" w:color="auto"/>
        <w:left w:val="none" w:sz="0" w:space="0" w:color="auto"/>
        <w:bottom w:val="none" w:sz="0" w:space="0" w:color="auto"/>
        <w:right w:val="none" w:sz="0" w:space="0" w:color="auto"/>
      </w:divBdr>
    </w:div>
    <w:div w:id="1277562046">
      <w:bodyDiv w:val="1"/>
      <w:marLeft w:val="0"/>
      <w:marRight w:val="0"/>
      <w:marTop w:val="0"/>
      <w:marBottom w:val="0"/>
      <w:divBdr>
        <w:top w:val="none" w:sz="0" w:space="0" w:color="auto"/>
        <w:left w:val="none" w:sz="0" w:space="0" w:color="auto"/>
        <w:bottom w:val="none" w:sz="0" w:space="0" w:color="auto"/>
        <w:right w:val="none" w:sz="0" w:space="0" w:color="auto"/>
      </w:divBdr>
    </w:div>
    <w:div w:id="1284340294">
      <w:bodyDiv w:val="1"/>
      <w:marLeft w:val="0"/>
      <w:marRight w:val="0"/>
      <w:marTop w:val="0"/>
      <w:marBottom w:val="0"/>
      <w:divBdr>
        <w:top w:val="none" w:sz="0" w:space="0" w:color="auto"/>
        <w:left w:val="none" w:sz="0" w:space="0" w:color="auto"/>
        <w:bottom w:val="none" w:sz="0" w:space="0" w:color="auto"/>
        <w:right w:val="none" w:sz="0" w:space="0" w:color="auto"/>
      </w:divBdr>
    </w:div>
    <w:div w:id="1289975198">
      <w:bodyDiv w:val="1"/>
      <w:marLeft w:val="0"/>
      <w:marRight w:val="0"/>
      <w:marTop w:val="0"/>
      <w:marBottom w:val="0"/>
      <w:divBdr>
        <w:top w:val="none" w:sz="0" w:space="0" w:color="auto"/>
        <w:left w:val="none" w:sz="0" w:space="0" w:color="auto"/>
        <w:bottom w:val="none" w:sz="0" w:space="0" w:color="auto"/>
        <w:right w:val="none" w:sz="0" w:space="0" w:color="auto"/>
      </w:divBdr>
    </w:div>
    <w:div w:id="1290282585">
      <w:bodyDiv w:val="1"/>
      <w:marLeft w:val="0"/>
      <w:marRight w:val="0"/>
      <w:marTop w:val="0"/>
      <w:marBottom w:val="0"/>
      <w:divBdr>
        <w:top w:val="none" w:sz="0" w:space="0" w:color="auto"/>
        <w:left w:val="none" w:sz="0" w:space="0" w:color="auto"/>
        <w:bottom w:val="none" w:sz="0" w:space="0" w:color="auto"/>
        <w:right w:val="none" w:sz="0" w:space="0" w:color="auto"/>
      </w:divBdr>
    </w:div>
    <w:div w:id="1310599111">
      <w:bodyDiv w:val="1"/>
      <w:marLeft w:val="0"/>
      <w:marRight w:val="0"/>
      <w:marTop w:val="0"/>
      <w:marBottom w:val="0"/>
      <w:divBdr>
        <w:top w:val="none" w:sz="0" w:space="0" w:color="auto"/>
        <w:left w:val="none" w:sz="0" w:space="0" w:color="auto"/>
        <w:bottom w:val="none" w:sz="0" w:space="0" w:color="auto"/>
        <w:right w:val="none" w:sz="0" w:space="0" w:color="auto"/>
      </w:divBdr>
    </w:div>
    <w:div w:id="1310864167">
      <w:bodyDiv w:val="1"/>
      <w:marLeft w:val="0"/>
      <w:marRight w:val="0"/>
      <w:marTop w:val="0"/>
      <w:marBottom w:val="0"/>
      <w:divBdr>
        <w:top w:val="none" w:sz="0" w:space="0" w:color="auto"/>
        <w:left w:val="none" w:sz="0" w:space="0" w:color="auto"/>
        <w:bottom w:val="none" w:sz="0" w:space="0" w:color="auto"/>
        <w:right w:val="none" w:sz="0" w:space="0" w:color="auto"/>
      </w:divBdr>
    </w:div>
    <w:div w:id="1317105953">
      <w:bodyDiv w:val="1"/>
      <w:marLeft w:val="0"/>
      <w:marRight w:val="0"/>
      <w:marTop w:val="0"/>
      <w:marBottom w:val="0"/>
      <w:divBdr>
        <w:top w:val="none" w:sz="0" w:space="0" w:color="auto"/>
        <w:left w:val="none" w:sz="0" w:space="0" w:color="auto"/>
        <w:bottom w:val="none" w:sz="0" w:space="0" w:color="auto"/>
        <w:right w:val="none" w:sz="0" w:space="0" w:color="auto"/>
      </w:divBdr>
    </w:div>
    <w:div w:id="1338851754">
      <w:bodyDiv w:val="1"/>
      <w:marLeft w:val="0"/>
      <w:marRight w:val="0"/>
      <w:marTop w:val="0"/>
      <w:marBottom w:val="0"/>
      <w:divBdr>
        <w:top w:val="none" w:sz="0" w:space="0" w:color="auto"/>
        <w:left w:val="none" w:sz="0" w:space="0" w:color="auto"/>
        <w:bottom w:val="none" w:sz="0" w:space="0" w:color="auto"/>
        <w:right w:val="none" w:sz="0" w:space="0" w:color="auto"/>
      </w:divBdr>
    </w:div>
    <w:div w:id="1341160812">
      <w:bodyDiv w:val="1"/>
      <w:marLeft w:val="0"/>
      <w:marRight w:val="0"/>
      <w:marTop w:val="0"/>
      <w:marBottom w:val="0"/>
      <w:divBdr>
        <w:top w:val="none" w:sz="0" w:space="0" w:color="auto"/>
        <w:left w:val="none" w:sz="0" w:space="0" w:color="auto"/>
        <w:bottom w:val="none" w:sz="0" w:space="0" w:color="auto"/>
        <w:right w:val="none" w:sz="0" w:space="0" w:color="auto"/>
      </w:divBdr>
    </w:div>
    <w:div w:id="1354110067">
      <w:bodyDiv w:val="1"/>
      <w:marLeft w:val="0"/>
      <w:marRight w:val="0"/>
      <w:marTop w:val="0"/>
      <w:marBottom w:val="0"/>
      <w:divBdr>
        <w:top w:val="none" w:sz="0" w:space="0" w:color="auto"/>
        <w:left w:val="none" w:sz="0" w:space="0" w:color="auto"/>
        <w:bottom w:val="none" w:sz="0" w:space="0" w:color="auto"/>
        <w:right w:val="none" w:sz="0" w:space="0" w:color="auto"/>
      </w:divBdr>
    </w:div>
    <w:div w:id="1360934838">
      <w:bodyDiv w:val="1"/>
      <w:marLeft w:val="0"/>
      <w:marRight w:val="0"/>
      <w:marTop w:val="0"/>
      <w:marBottom w:val="0"/>
      <w:divBdr>
        <w:top w:val="none" w:sz="0" w:space="0" w:color="auto"/>
        <w:left w:val="none" w:sz="0" w:space="0" w:color="auto"/>
        <w:bottom w:val="none" w:sz="0" w:space="0" w:color="auto"/>
        <w:right w:val="none" w:sz="0" w:space="0" w:color="auto"/>
      </w:divBdr>
    </w:div>
    <w:div w:id="1364357656">
      <w:bodyDiv w:val="1"/>
      <w:marLeft w:val="0"/>
      <w:marRight w:val="0"/>
      <w:marTop w:val="0"/>
      <w:marBottom w:val="0"/>
      <w:divBdr>
        <w:top w:val="none" w:sz="0" w:space="0" w:color="auto"/>
        <w:left w:val="none" w:sz="0" w:space="0" w:color="auto"/>
        <w:bottom w:val="none" w:sz="0" w:space="0" w:color="auto"/>
        <w:right w:val="none" w:sz="0" w:space="0" w:color="auto"/>
      </w:divBdr>
    </w:div>
    <w:div w:id="1365710645">
      <w:bodyDiv w:val="1"/>
      <w:marLeft w:val="0"/>
      <w:marRight w:val="0"/>
      <w:marTop w:val="0"/>
      <w:marBottom w:val="0"/>
      <w:divBdr>
        <w:top w:val="none" w:sz="0" w:space="0" w:color="auto"/>
        <w:left w:val="none" w:sz="0" w:space="0" w:color="auto"/>
        <w:bottom w:val="none" w:sz="0" w:space="0" w:color="auto"/>
        <w:right w:val="none" w:sz="0" w:space="0" w:color="auto"/>
      </w:divBdr>
    </w:div>
    <w:div w:id="1366104077">
      <w:bodyDiv w:val="1"/>
      <w:marLeft w:val="0"/>
      <w:marRight w:val="0"/>
      <w:marTop w:val="0"/>
      <w:marBottom w:val="0"/>
      <w:divBdr>
        <w:top w:val="none" w:sz="0" w:space="0" w:color="auto"/>
        <w:left w:val="none" w:sz="0" w:space="0" w:color="auto"/>
        <w:bottom w:val="none" w:sz="0" w:space="0" w:color="auto"/>
        <w:right w:val="none" w:sz="0" w:space="0" w:color="auto"/>
      </w:divBdr>
    </w:div>
    <w:div w:id="1367948139">
      <w:bodyDiv w:val="1"/>
      <w:marLeft w:val="0"/>
      <w:marRight w:val="0"/>
      <w:marTop w:val="0"/>
      <w:marBottom w:val="0"/>
      <w:divBdr>
        <w:top w:val="none" w:sz="0" w:space="0" w:color="auto"/>
        <w:left w:val="none" w:sz="0" w:space="0" w:color="auto"/>
        <w:bottom w:val="none" w:sz="0" w:space="0" w:color="auto"/>
        <w:right w:val="none" w:sz="0" w:space="0" w:color="auto"/>
      </w:divBdr>
    </w:div>
    <w:div w:id="1369337139">
      <w:bodyDiv w:val="1"/>
      <w:marLeft w:val="0"/>
      <w:marRight w:val="0"/>
      <w:marTop w:val="0"/>
      <w:marBottom w:val="0"/>
      <w:divBdr>
        <w:top w:val="none" w:sz="0" w:space="0" w:color="auto"/>
        <w:left w:val="none" w:sz="0" w:space="0" w:color="auto"/>
        <w:bottom w:val="none" w:sz="0" w:space="0" w:color="auto"/>
        <w:right w:val="none" w:sz="0" w:space="0" w:color="auto"/>
      </w:divBdr>
    </w:div>
    <w:div w:id="1374043472">
      <w:bodyDiv w:val="1"/>
      <w:marLeft w:val="0"/>
      <w:marRight w:val="0"/>
      <w:marTop w:val="0"/>
      <w:marBottom w:val="0"/>
      <w:divBdr>
        <w:top w:val="none" w:sz="0" w:space="0" w:color="auto"/>
        <w:left w:val="none" w:sz="0" w:space="0" w:color="auto"/>
        <w:bottom w:val="none" w:sz="0" w:space="0" w:color="auto"/>
        <w:right w:val="none" w:sz="0" w:space="0" w:color="auto"/>
      </w:divBdr>
    </w:div>
    <w:div w:id="1378778189">
      <w:bodyDiv w:val="1"/>
      <w:marLeft w:val="0"/>
      <w:marRight w:val="0"/>
      <w:marTop w:val="0"/>
      <w:marBottom w:val="0"/>
      <w:divBdr>
        <w:top w:val="none" w:sz="0" w:space="0" w:color="auto"/>
        <w:left w:val="none" w:sz="0" w:space="0" w:color="auto"/>
        <w:bottom w:val="none" w:sz="0" w:space="0" w:color="auto"/>
        <w:right w:val="none" w:sz="0" w:space="0" w:color="auto"/>
      </w:divBdr>
    </w:div>
    <w:div w:id="1388608538">
      <w:bodyDiv w:val="1"/>
      <w:marLeft w:val="0"/>
      <w:marRight w:val="0"/>
      <w:marTop w:val="0"/>
      <w:marBottom w:val="0"/>
      <w:divBdr>
        <w:top w:val="none" w:sz="0" w:space="0" w:color="auto"/>
        <w:left w:val="none" w:sz="0" w:space="0" w:color="auto"/>
        <w:bottom w:val="none" w:sz="0" w:space="0" w:color="auto"/>
        <w:right w:val="none" w:sz="0" w:space="0" w:color="auto"/>
      </w:divBdr>
    </w:div>
    <w:div w:id="1392076736">
      <w:bodyDiv w:val="1"/>
      <w:marLeft w:val="0"/>
      <w:marRight w:val="0"/>
      <w:marTop w:val="0"/>
      <w:marBottom w:val="0"/>
      <w:divBdr>
        <w:top w:val="none" w:sz="0" w:space="0" w:color="auto"/>
        <w:left w:val="none" w:sz="0" w:space="0" w:color="auto"/>
        <w:bottom w:val="none" w:sz="0" w:space="0" w:color="auto"/>
        <w:right w:val="none" w:sz="0" w:space="0" w:color="auto"/>
      </w:divBdr>
    </w:div>
    <w:div w:id="1408962596">
      <w:bodyDiv w:val="1"/>
      <w:marLeft w:val="0"/>
      <w:marRight w:val="0"/>
      <w:marTop w:val="0"/>
      <w:marBottom w:val="0"/>
      <w:divBdr>
        <w:top w:val="none" w:sz="0" w:space="0" w:color="auto"/>
        <w:left w:val="none" w:sz="0" w:space="0" w:color="auto"/>
        <w:bottom w:val="none" w:sz="0" w:space="0" w:color="auto"/>
        <w:right w:val="none" w:sz="0" w:space="0" w:color="auto"/>
      </w:divBdr>
    </w:div>
    <w:div w:id="1413504102">
      <w:bodyDiv w:val="1"/>
      <w:marLeft w:val="0"/>
      <w:marRight w:val="0"/>
      <w:marTop w:val="0"/>
      <w:marBottom w:val="0"/>
      <w:divBdr>
        <w:top w:val="none" w:sz="0" w:space="0" w:color="auto"/>
        <w:left w:val="none" w:sz="0" w:space="0" w:color="auto"/>
        <w:bottom w:val="none" w:sz="0" w:space="0" w:color="auto"/>
        <w:right w:val="none" w:sz="0" w:space="0" w:color="auto"/>
      </w:divBdr>
    </w:div>
    <w:div w:id="1422950184">
      <w:bodyDiv w:val="1"/>
      <w:marLeft w:val="0"/>
      <w:marRight w:val="0"/>
      <w:marTop w:val="0"/>
      <w:marBottom w:val="0"/>
      <w:divBdr>
        <w:top w:val="none" w:sz="0" w:space="0" w:color="auto"/>
        <w:left w:val="none" w:sz="0" w:space="0" w:color="auto"/>
        <w:bottom w:val="none" w:sz="0" w:space="0" w:color="auto"/>
        <w:right w:val="none" w:sz="0" w:space="0" w:color="auto"/>
      </w:divBdr>
    </w:div>
    <w:div w:id="1425883991">
      <w:bodyDiv w:val="1"/>
      <w:marLeft w:val="0"/>
      <w:marRight w:val="0"/>
      <w:marTop w:val="0"/>
      <w:marBottom w:val="0"/>
      <w:divBdr>
        <w:top w:val="none" w:sz="0" w:space="0" w:color="auto"/>
        <w:left w:val="none" w:sz="0" w:space="0" w:color="auto"/>
        <w:bottom w:val="none" w:sz="0" w:space="0" w:color="auto"/>
        <w:right w:val="none" w:sz="0" w:space="0" w:color="auto"/>
      </w:divBdr>
    </w:div>
    <w:div w:id="1432779237">
      <w:bodyDiv w:val="1"/>
      <w:marLeft w:val="0"/>
      <w:marRight w:val="0"/>
      <w:marTop w:val="0"/>
      <w:marBottom w:val="0"/>
      <w:divBdr>
        <w:top w:val="none" w:sz="0" w:space="0" w:color="auto"/>
        <w:left w:val="none" w:sz="0" w:space="0" w:color="auto"/>
        <w:bottom w:val="none" w:sz="0" w:space="0" w:color="auto"/>
        <w:right w:val="none" w:sz="0" w:space="0" w:color="auto"/>
      </w:divBdr>
    </w:div>
    <w:div w:id="1442186434">
      <w:bodyDiv w:val="1"/>
      <w:marLeft w:val="0"/>
      <w:marRight w:val="0"/>
      <w:marTop w:val="0"/>
      <w:marBottom w:val="0"/>
      <w:divBdr>
        <w:top w:val="none" w:sz="0" w:space="0" w:color="auto"/>
        <w:left w:val="none" w:sz="0" w:space="0" w:color="auto"/>
        <w:bottom w:val="none" w:sz="0" w:space="0" w:color="auto"/>
        <w:right w:val="none" w:sz="0" w:space="0" w:color="auto"/>
      </w:divBdr>
    </w:div>
    <w:div w:id="1446346142">
      <w:bodyDiv w:val="1"/>
      <w:marLeft w:val="0"/>
      <w:marRight w:val="0"/>
      <w:marTop w:val="0"/>
      <w:marBottom w:val="0"/>
      <w:divBdr>
        <w:top w:val="none" w:sz="0" w:space="0" w:color="auto"/>
        <w:left w:val="none" w:sz="0" w:space="0" w:color="auto"/>
        <w:bottom w:val="none" w:sz="0" w:space="0" w:color="auto"/>
        <w:right w:val="none" w:sz="0" w:space="0" w:color="auto"/>
      </w:divBdr>
    </w:div>
    <w:div w:id="1449273879">
      <w:bodyDiv w:val="1"/>
      <w:marLeft w:val="0"/>
      <w:marRight w:val="0"/>
      <w:marTop w:val="0"/>
      <w:marBottom w:val="0"/>
      <w:divBdr>
        <w:top w:val="none" w:sz="0" w:space="0" w:color="auto"/>
        <w:left w:val="none" w:sz="0" w:space="0" w:color="auto"/>
        <w:bottom w:val="none" w:sz="0" w:space="0" w:color="auto"/>
        <w:right w:val="none" w:sz="0" w:space="0" w:color="auto"/>
      </w:divBdr>
    </w:div>
    <w:div w:id="1450927296">
      <w:bodyDiv w:val="1"/>
      <w:marLeft w:val="0"/>
      <w:marRight w:val="0"/>
      <w:marTop w:val="0"/>
      <w:marBottom w:val="0"/>
      <w:divBdr>
        <w:top w:val="none" w:sz="0" w:space="0" w:color="auto"/>
        <w:left w:val="none" w:sz="0" w:space="0" w:color="auto"/>
        <w:bottom w:val="none" w:sz="0" w:space="0" w:color="auto"/>
        <w:right w:val="none" w:sz="0" w:space="0" w:color="auto"/>
      </w:divBdr>
    </w:div>
    <w:div w:id="1455902173">
      <w:bodyDiv w:val="1"/>
      <w:marLeft w:val="0"/>
      <w:marRight w:val="0"/>
      <w:marTop w:val="0"/>
      <w:marBottom w:val="0"/>
      <w:divBdr>
        <w:top w:val="none" w:sz="0" w:space="0" w:color="auto"/>
        <w:left w:val="none" w:sz="0" w:space="0" w:color="auto"/>
        <w:bottom w:val="none" w:sz="0" w:space="0" w:color="auto"/>
        <w:right w:val="none" w:sz="0" w:space="0" w:color="auto"/>
      </w:divBdr>
    </w:div>
    <w:div w:id="1462461430">
      <w:bodyDiv w:val="1"/>
      <w:marLeft w:val="0"/>
      <w:marRight w:val="0"/>
      <w:marTop w:val="0"/>
      <w:marBottom w:val="0"/>
      <w:divBdr>
        <w:top w:val="none" w:sz="0" w:space="0" w:color="auto"/>
        <w:left w:val="none" w:sz="0" w:space="0" w:color="auto"/>
        <w:bottom w:val="none" w:sz="0" w:space="0" w:color="auto"/>
        <w:right w:val="none" w:sz="0" w:space="0" w:color="auto"/>
      </w:divBdr>
    </w:div>
    <w:div w:id="1465155197">
      <w:bodyDiv w:val="1"/>
      <w:marLeft w:val="0"/>
      <w:marRight w:val="0"/>
      <w:marTop w:val="0"/>
      <w:marBottom w:val="0"/>
      <w:divBdr>
        <w:top w:val="none" w:sz="0" w:space="0" w:color="auto"/>
        <w:left w:val="none" w:sz="0" w:space="0" w:color="auto"/>
        <w:bottom w:val="none" w:sz="0" w:space="0" w:color="auto"/>
        <w:right w:val="none" w:sz="0" w:space="0" w:color="auto"/>
      </w:divBdr>
    </w:div>
    <w:div w:id="1466968045">
      <w:bodyDiv w:val="1"/>
      <w:marLeft w:val="0"/>
      <w:marRight w:val="0"/>
      <w:marTop w:val="0"/>
      <w:marBottom w:val="0"/>
      <w:divBdr>
        <w:top w:val="none" w:sz="0" w:space="0" w:color="auto"/>
        <w:left w:val="none" w:sz="0" w:space="0" w:color="auto"/>
        <w:bottom w:val="none" w:sz="0" w:space="0" w:color="auto"/>
        <w:right w:val="none" w:sz="0" w:space="0" w:color="auto"/>
      </w:divBdr>
    </w:div>
    <w:div w:id="1467089931">
      <w:bodyDiv w:val="1"/>
      <w:marLeft w:val="0"/>
      <w:marRight w:val="0"/>
      <w:marTop w:val="0"/>
      <w:marBottom w:val="0"/>
      <w:divBdr>
        <w:top w:val="none" w:sz="0" w:space="0" w:color="auto"/>
        <w:left w:val="none" w:sz="0" w:space="0" w:color="auto"/>
        <w:bottom w:val="none" w:sz="0" w:space="0" w:color="auto"/>
        <w:right w:val="none" w:sz="0" w:space="0" w:color="auto"/>
      </w:divBdr>
    </w:div>
    <w:div w:id="1471249183">
      <w:bodyDiv w:val="1"/>
      <w:marLeft w:val="0"/>
      <w:marRight w:val="0"/>
      <w:marTop w:val="0"/>
      <w:marBottom w:val="0"/>
      <w:divBdr>
        <w:top w:val="none" w:sz="0" w:space="0" w:color="auto"/>
        <w:left w:val="none" w:sz="0" w:space="0" w:color="auto"/>
        <w:bottom w:val="none" w:sz="0" w:space="0" w:color="auto"/>
        <w:right w:val="none" w:sz="0" w:space="0" w:color="auto"/>
      </w:divBdr>
    </w:div>
    <w:div w:id="1474981183">
      <w:bodyDiv w:val="1"/>
      <w:marLeft w:val="0"/>
      <w:marRight w:val="0"/>
      <w:marTop w:val="0"/>
      <w:marBottom w:val="0"/>
      <w:divBdr>
        <w:top w:val="none" w:sz="0" w:space="0" w:color="auto"/>
        <w:left w:val="none" w:sz="0" w:space="0" w:color="auto"/>
        <w:bottom w:val="none" w:sz="0" w:space="0" w:color="auto"/>
        <w:right w:val="none" w:sz="0" w:space="0" w:color="auto"/>
      </w:divBdr>
    </w:div>
    <w:div w:id="1479297693">
      <w:bodyDiv w:val="1"/>
      <w:marLeft w:val="0"/>
      <w:marRight w:val="0"/>
      <w:marTop w:val="0"/>
      <w:marBottom w:val="0"/>
      <w:divBdr>
        <w:top w:val="none" w:sz="0" w:space="0" w:color="auto"/>
        <w:left w:val="none" w:sz="0" w:space="0" w:color="auto"/>
        <w:bottom w:val="none" w:sz="0" w:space="0" w:color="auto"/>
        <w:right w:val="none" w:sz="0" w:space="0" w:color="auto"/>
      </w:divBdr>
    </w:div>
    <w:div w:id="1483429725">
      <w:bodyDiv w:val="1"/>
      <w:marLeft w:val="0"/>
      <w:marRight w:val="0"/>
      <w:marTop w:val="0"/>
      <w:marBottom w:val="0"/>
      <w:divBdr>
        <w:top w:val="none" w:sz="0" w:space="0" w:color="auto"/>
        <w:left w:val="none" w:sz="0" w:space="0" w:color="auto"/>
        <w:bottom w:val="none" w:sz="0" w:space="0" w:color="auto"/>
        <w:right w:val="none" w:sz="0" w:space="0" w:color="auto"/>
      </w:divBdr>
    </w:div>
    <w:div w:id="1486165981">
      <w:bodyDiv w:val="1"/>
      <w:marLeft w:val="0"/>
      <w:marRight w:val="0"/>
      <w:marTop w:val="0"/>
      <w:marBottom w:val="0"/>
      <w:divBdr>
        <w:top w:val="none" w:sz="0" w:space="0" w:color="auto"/>
        <w:left w:val="none" w:sz="0" w:space="0" w:color="auto"/>
        <w:bottom w:val="none" w:sz="0" w:space="0" w:color="auto"/>
        <w:right w:val="none" w:sz="0" w:space="0" w:color="auto"/>
      </w:divBdr>
    </w:div>
    <w:div w:id="1492795996">
      <w:bodyDiv w:val="1"/>
      <w:marLeft w:val="0"/>
      <w:marRight w:val="0"/>
      <w:marTop w:val="0"/>
      <w:marBottom w:val="0"/>
      <w:divBdr>
        <w:top w:val="none" w:sz="0" w:space="0" w:color="auto"/>
        <w:left w:val="none" w:sz="0" w:space="0" w:color="auto"/>
        <w:bottom w:val="none" w:sz="0" w:space="0" w:color="auto"/>
        <w:right w:val="none" w:sz="0" w:space="0" w:color="auto"/>
      </w:divBdr>
    </w:div>
    <w:div w:id="1493331274">
      <w:bodyDiv w:val="1"/>
      <w:marLeft w:val="0"/>
      <w:marRight w:val="0"/>
      <w:marTop w:val="0"/>
      <w:marBottom w:val="0"/>
      <w:divBdr>
        <w:top w:val="none" w:sz="0" w:space="0" w:color="auto"/>
        <w:left w:val="none" w:sz="0" w:space="0" w:color="auto"/>
        <w:bottom w:val="none" w:sz="0" w:space="0" w:color="auto"/>
        <w:right w:val="none" w:sz="0" w:space="0" w:color="auto"/>
      </w:divBdr>
    </w:div>
    <w:div w:id="1493985003">
      <w:bodyDiv w:val="1"/>
      <w:marLeft w:val="0"/>
      <w:marRight w:val="0"/>
      <w:marTop w:val="0"/>
      <w:marBottom w:val="0"/>
      <w:divBdr>
        <w:top w:val="none" w:sz="0" w:space="0" w:color="auto"/>
        <w:left w:val="none" w:sz="0" w:space="0" w:color="auto"/>
        <w:bottom w:val="none" w:sz="0" w:space="0" w:color="auto"/>
        <w:right w:val="none" w:sz="0" w:space="0" w:color="auto"/>
      </w:divBdr>
    </w:div>
    <w:div w:id="1498038931">
      <w:bodyDiv w:val="1"/>
      <w:marLeft w:val="0"/>
      <w:marRight w:val="0"/>
      <w:marTop w:val="0"/>
      <w:marBottom w:val="0"/>
      <w:divBdr>
        <w:top w:val="none" w:sz="0" w:space="0" w:color="auto"/>
        <w:left w:val="none" w:sz="0" w:space="0" w:color="auto"/>
        <w:bottom w:val="none" w:sz="0" w:space="0" w:color="auto"/>
        <w:right w:val="none" w:sz="0" w:space="0" w:color="auto"/>
      </w:divBdr>
    </w:div>
    <w:div w:id="1514882763">
      <w:bodyDiv w:val="1"/>
      <w:marLeft w:val="0"/>
      <w:marRight w:val="0"/>
      <w:marTop w:val="0"/>
      <w:marBottom w:val="0"/>
      <w:divBdr>
        <w:top w:val="none" w:sz="0" w:space="0" w:color="auto"/>
        <w:left w:val="none" w:sz="0" w:space="0" w:color="auto"/>
        <w:bottom w:val="none" w:sz="0" w:space="0" w:color="auto"/>
        <w:right w:val="none" w:sz="0" w:space="0" w:color="auto"/>
      </w:divBdr>
    </w:div>
    <w:div w:id="1515261652">
      <w:bodyDiv w:val="1"/>
      <w:marLeft w:val="0"/>
      <w:marRight w:val="0"/>
      <w:marTop w:val="0"/>
      <w:marBottom w:val="0"/>
      <w:divBdr>
        <w:top w:val="none" w:sz="0" w:space="0" w:color="auto"/>
        <w:left w:val="none" w:sz="0" w:space="0" w:color="auto"/>
        <w:bottom w:val="none" w:sz="0" w:space="0" w:color="auto"/>
        <w:right w:val="none" w:sz="0" w:space="0" w:color="auto"/>
      </w:divBdr>
    </w:div>
    <w:div w:id="1522401724">
      <w:bodyDiv w:val="1"/>
      <w:marLeft w:val="0"/>
      <w:marRight w:val="0"/>
      <w:marTop w:val="0"/>
      <w:marBottom w:val="0"/>
      <w:divBdr>
        <w:top w:val="none" w:sz="0" w:space="0" w:color="auto"/>
        <w:left w:val="none" w:sz="0" w:space="0" w:color="auto"/>
        <w:bottom w:val="none" w:sz="0" w:space="0" w:color="auto"/>
        <w:right w:val="none" w:sz="0" w:space="0" w:color="auto"/>
      </w:divBdr>
    </w:div>
    <w:div w:id="1523396913">
      <w:bodyDiv w:val="1"/>
      <w:marLeft w:val="0"/>
      <w:marRight w:val="0"/>
      <w:marTop w:val="0"/>
      <w:marBottom w:val="0"/>
      <w:divBdr>
        <w:top w:val="none" w:sz="0" w:space="0" w:color="auto"/>
        <w:left w:val="none" w:sz="0" w:space="0" w:color="auto"/>
        <w:bottom w:val="none" w:sz="0" w:space="0" w:color="auto"/>
        <w:right w:val="none" w:sz="0" w:space="0" w:color="auto"/>
      </w:divBdr>
    </w:div>
    <w:div w:id="1524318543">
      <w:bodyDiv w:val="1"/>
      <w:marLeft w:val="0"/>
      <w:marRight w:val="0"/>
      <w:marTop w:val="0"/>
      <w:marBottom w:val="0"/>
      <w:divBdr>
        <w:top w:val="none" w:sz="0" w:space="0" w:color="auto"/>
        <w:left w:val="none" w:sz="0" w:space="0" w:color="auto"/>
        <w:bottom w:val="none" w:sz="0" w:space="0" w:color="auto"/>
        <w:right w:val="none" w:sz="0" w:space="0" w:color="auto"/>
      </w:divBdr>
    </w:div>
    <w:div w:id="1534418798">
      <w:bodyDiv w:val="1"/>
      <w:marLeft w:val="0"/>
      <w:marRight w:val="0"/>
      <w:marTop w:val="0"/>
      <w:marBottom w:val="0"/>
      <w:divBdr>
        <w:top w:val="none" w:sz="0" w:space="0" w:color="auto"/>
        <w:left w:val="none" w:sz="0" w:space="0" w:color="auto"/>
        <w:bottom w:val="none" w:sz="0" w:space="0" w:color="auto"/>
        <w:right w:val="none" w:sz="0" w:space="0" w:color="auto"/>
      </w:divBdr>
    </w:div>
    <w:div w:id="1537505010">
      <w:bodyDiv w:val="1"/>
      <w:marLeft w:val="0"/>
      <w:marRight w:val="0"/>
      <w:marTop w:val="0"/>
      <w:marBottom w:val="0"/>
      <w:divBdr>
        <w:top w:val="none" w:sz="0" w:space="0" w:color="auto"/>
        <w:left w:val="none" w:sz="0" w:space="0" w:color="auto"/>
        <w:bottom w:val="none" w:sz="0" w:space="0" w:color="auto"/>
        <w:right w:val="none" w:sz="0" w:space="0" w:color="auto"/>
      </w:divBdr>
    </w:div>
    <w:div w:id="1540509523">
      <w:bodyDiv w:val="1"/>
      <w:marLeft w:val="0"/>
      <w:marRight w:val="0"/>
      <w:marTop w:val="0"/>
      <w:marBottom w:val="0"/>
      <w:divBdr>
        <w:top w:val="none" w:sz="0" w:space="0" w:color="auto"/>
        <w:left w:val="none" w:sz="0" w:space="0" w:color="auto"/>
        <w:bottom w:val="none" w:sz="0" w:space="0" w:color="auto"/>
        <w:right w:val="none" w:sz="0" w:space="0" w:color="auto"/>
      </w:divBdr>
    </w:div>
    <w:div w:id="1542667001">
      <w:bodyDiv w:val="1"/>
      <w:marLeft w:val="0"/>
      <w:marRight w:val="0"/>
      <w:marTop w:val="0"/>
      <w:marBottom w:val="0"/>
      <w:divBdr>
        <w:top w:val="none" w:sz="0" w:space="0" w:color="auto"/>
        <w:left w:val="none" w:sz="0" w:space="0" w:color="auto"/>
        <w:bottom w:val="none" w:sz="0" w:space="0" w:color="auto"/>
        <w:right w:val="none" w:sz="0" w:space="0" w:color="auto"/>
      </w:divBdr>
    </w:div>
    <w:div w:id="1544831799">
      <w:bodyDiv w:val="1"/>
      <w:marLeft w:val="0"/>
      <w:marRight w:val="0"/>
      <w:marTop w:val="0"/>
      <w:marBottom w:val="0"/>
      <w:divBdr>
        <w:top w:val="none" w:sz="0" w:space="0" w:color="auto"/>
        <w:left w:val="none" w:sz="0" w:space="0" w:color="auto"/>
        <w:bottom w:val="none" w:sz="0" w:space="0" w:color="auto"/>
        <w:right w:val="none" w:sz="0" w:space="0" w:color="auto"/>
      </w:divBdr>
    </w:div>
    <w:div w:id="1548108018">
      <w:bodyDiv w:val="1"/>
      <w:marLeft w:val="0"/>
      <w:marRight w:val="0"/>
      <w:marTop w:val="0"/>
      <w:marBottom w:val="0"/>
      <w:divBdr>
        <w:top w:val="none" w:sz="0" w:space="0" w:color="auto"/>
        <w:left w:val="none" w:sz="0" w:space="0" w:color="auto"/>
        <w:bottom w:val="none" w:sz="0" w:space="0" w:color="auto"/>
        <w:right w:val="none" w:sz="0" w:space="0" w:color="auto"/>
      </w:divBdr>
    </w:div>
    <w:div w:id="1560289486">
      <w:bodyDiv w:val="1"/>
      <w:marLeft w:val="0"/>
      <w:marRight w:val="0"/>
      <w:marTop w:val="0"/>
      <w:marBottom w:val="0"/>
      <w:divBdr>
        <w:top w:val="none" w:sz="0" w:space="0" w:color="auto"/>
        <w:left w:val="none" w:sz="0" w:space="0" w:color="auto"/>
        <w:bottom w:val="none" w:sz="0" w:space="0" w:color="auto"/>
        <w:right w:val="none" w:sz="0" w:space="0" w:color="auto"/>
      </w:divBdr>
    </w:div>
    <w:div w:id="1566527298">
      <w:bodyDiv w:val="1"/>
      <w:marLeft w:val="0"/>
      <w:marRight w:val="0"/>
      <w:marTop w:val="0"/>
      <w:marBottom w:val="0"/>
      <w:divBdr>
        <w:top w:val="none" w:sz="0" w:space="0" w:color="auto"/>
        <w:left w:val="none" w:sz="0" w:space="0" w:color="auto"/>
        <w:bottom w:val="none" w:sz="0" w:space="0" w:color="auto"/>
        <w:right w:val="none" w:sz="0" w:space="0" w:color="auto"/>
      </w:divBdr>
    </w:div>
    <w:div w:id="1567840932">
      <w:bodyDiv w:val="1"/>
      <w:marLeft w:val="0"/>
      <w:marRight w:val="0"/>
      <w:marTop w:val="0"/>
      <w:marBottom w:val="0"/>
      <w:divBdr>
        <w:top w:val="none" w:sz="0" w:space="0" w:color="auto"/>
        <w:left w:val="none" w:sz="0" w:space="0" w:color="auto"/>
        <w:bottom w:val="none" w:sz="0" w:space="0" w:color="auto"/>
        <w:right w:val="none" w:sz="0" w:space="0" w:color="auto"/>
      </w:divBdr>
    </w:div>
    <w:div w:id="1569728241">
      <w:bodyDiv w:val="1"/>
      <w:marLeft w:val="0"/>
      <w:marRight w:val="0"/>
      <w:marTop w:val="0"/>
      <w:marBottom w:val="0"/>
      <w:divBdr>
        <w:top w:val="none" w:sz="0" w:space="0" w:color="auto"/>
        <w:left w:val="none" w:sz="0" w:space="0" w:color="auto"/>
        <w:bottom w:val="none" w:sz="0" w:space="0" w:color="auto"/>
        <w:right w:val="none" w:sz="0" w:space="0" w:color="auto"/>
      </w:divBdr>
    </w:div>
    <w:div w:id="1570532872">
      <w:bodyDiv w:val="1"/>
      <w:marLeft w:val="0"/>
      <w:marRight w:val="0"/>
      <w:marTop w:val="0"/>
      <w:marBottom w:val="0"/>
      <w:divBdr>
        <w:top w:val="none" w:sz="0" w:space="0" w:color="auto"/>
        <w:left w:val="none" w:sz="0" w:space="0" w:color="auto"/>
        <w:bottom w:val="none" w:sz="0" w:space="0" w:color="auto"/>
        <w:right w:val="none" w:sz="0" w:space="0" w:color="auto"/>
      </w:divBdr>
    </w:div>
    <w:div w:id="1574319219">
      <w:bodyDiv w:val="1"/>
      <w:marLeft w:val="0"/>
      <w:marRight w:val="0"/>
      <w:marTop w:val="0"/>
      <w:marBottom w:val="0"/>
      <w:divBdr>
        <w:top w:val="none" w:sz="0" w:space="0" w:color="auto"/>
        <w:left w:val="none" w:sz="0" w:space="0" w:color="auto"/>
        <w:bottom w:val="none" w:sz="0" w:space="0" w:color="auto"/>
        <w:right w:val="none" w:sz="0" w:space="0" w:color="auto"/>
      </w:divBdr>
    </w:div>
    <w:div w:id="1583107199">
      <w:bodyDiv w:val="1"/>
      <w:marLeft w:val="0"/>
      <w:marRight w:val="0"/>
      <w:marTop w:val="0"/>
      <w:marBottom w:val="0"/>
      <w:divBdr>
        <w:top w:val="none" w:sz="0" w:space="0" w:color="auto"/>
        <w:left w:val="none" w:sz="0" w:space="0" w:color="auto"/>
        <w:bottom w:val="none" w:sz="0" w:space="0" w:color="auto"/>
        <w:right w:val="none" w:sz="0" w:space="0" w:color="auto"/>
      </w:divBdr>
    </w:div>
    <w:div w:id="1585381414">
      <w:bodyDiv w:val="1"/>
      <w:marLeft w:val="0"/>
      <w:marRight w:val="0"/>
      <w:marTop w:val="0"/>
      <w:marBottom w:val="0"/>
      <w:divBdr>
        <w:top w:val="none" w:sz="0" w:space="0" w:color="auto"/>
        <w:left w:val="none" w:sz="0" w:space="0" w:color="auto"/>
        <w:bottom w:val="none" w:sz="0" w:space="0" w:color="auto"/>
        <w:right w:val="none" w:sz="0" w:space="0" w:color="auto"/>
      </w:divBdr>
    </w:div>
    <w:div w:id="1589999873">
      <w:bodyDiv w:val="1"/>
      <w:marLeft w:val="0"/>
      <w:marRight w:val="0"/>
      <w:marTop w:val="0"/>
      <w:marBottom w:val="0"/>
      <w:divBdr>
        <w:top w:val="none" w:sz="0" w:space="0" w:color="auto"/>
        <w:left w:val="none" w:sz="0" w:space="0" w:color="auto"/>
        <w:bottom w:val="none" w:sz="0" w:space="0" w:color="auto"/>
        <w:right w:val="none" w:sz="0" w:space="0" w:color="auto"/>
      </w:divBdr>
    </w:div>
    <w:div w:id="1590237801">
      <w:bodyDiv w:val="1"/>
      <w:marLeft w:val="0"/>
      <w:marRight w:val="0"/>
      <w:marTop w:val="0"/>
      <w:marBottom w:val="0"/>
      <w:divBdr>
        <w:top w:val="none" w:sz="0" w:space="0" w:color="auto"/>
        <w:left w:val="none" w:sz="0" w:space="0" w:color="auto"/>
        <w:bottom w:val="none" w:sz="0" w:space="0" w:color="auto"/>
        <w:right w:val="none" w:sz="0" w:space="0" w:color="auto"/>
      </w:divBdr>
    </w:div>
    <w:div w:id="1597252988">
      <w:bodyDiv w:val="1"/>
      <w:marLeft w:val="0"/>
      <w:marRight w:val="0"/>
      <w:marTop w:val="0"/>
      <w:marBottom w:val="0"/>
      <w:divBdr>
        <w:top w:val="none" w:sz="0" w:space="0" w:color="auto"/>
        <w:left w:val="none" w:sz="0" w:space="0" w:color="auto"/>
        <w:bottom w:val="none" w:sz="0" w:space="0" w:color="auto"/>
        <w:right w:val="none" w:sz="0" w:space="0" w:color="auto"/>
      </w:divBdr>
    </w:div>
    <w:div w:id="1606888930">
      <w:bodyDiv w:val="1"/>
      <w:marLeft w:val="0"/>
      <w:marRight w:val="0"/>
      <w:marTop w:val="0"/>
      <w:marBottom w:val="0"/>
      <w:divBdr>
        <w:top w:val="none" w:sz="0" w:space="0" w:color="auto"/>
        <w:left w:val="none" w:sz="0" w:space="0" w:color="auto"/>
        <w:bottom w:val="none" w:sz="0" w:space="0" w:color="auto"/>
        <w:right w:val="none" w:sz="0" w:space="0" w:color="auto"/>
      </w:divBdr>
    </w:div>
    <w:div w:id="1607273303">
      <w:bodyDiv w:val="1"/>
      <w:marLeft w:val="0"/>
      <w:marRight w:val="0"/>
      <w:marTop w:val="0"/>
      <w:marBottom w:val="0"/>
      <w:divBdr>
        <w:top w:val="none" w:sz="0" w:space="0" w:color="auto"/>
        <w:left w:val="none" w:sz="0" w:space="0" w:color="auto"/>
        <w:bottom w:val="none" w:sz="0" w:space="0" w:color="auto"/>
        <w:right w:val="none" w:sz="0" w:space="0" w:color="auto"/>
      </w:divBdr>
    </w:div>
    <w:div w:id="1609971421">
      <w:bodyDiv w:val="1"/>
      <w:marLeft w:val="0"/>
      <w:marRight w:val="0"/>
      <w:marTop w:val="0"/>
      <w:marBottom w:val="0"/>
      <w:divBdr>
        <w:top w:val="none" w:sz="0" w:space="0" w:color="auto"/>
        <w:left w:val="none" w:sz="0" w:space="0" w:color="auto"/>
        <w:bottom w:val="none" w:sz="0" w:space="0" w:color="auto"/>
        <w:right w:val="none" w:sz="0" w:space="0" w:color="auto"/>
      </w:divBdr>
    </w:div>
    <w:div w:id="1610774307">
      <w:bodyDiv w:val="1"/>
      <w:marLeft w:val="0"/>
      <w:marRight w:val="0"/>
      <w:marTop w:val="0"/>
      <w:marBottom w:val="0"/>
      <w:divBdr>
        <w:top w:val="none" w:sz="0" w:space="0" w:color="auto"/>
        <w:left w:val="none" w:sz="0" w:space="0" w:color="auto"/>
        <w:bottom w:val="none" w:sz="0" w:space="0" w:color="auto"/>
        <w:right w:val="none" w:sz="0" w:space="0" w:color="auto"/>
      </w:divBdr>
    </w:div>
    <w:div w:id="1617560268">
      <w:bodyDiv w:val="1"/>
      <w:marLeft w:val="0"/>
      <w:marRight w:val="0"/>
      <w:marTop w:val="0"/>
      <w:marBottom w:val="0"/>
      <w:divBdr>
        <w:top w:val="none" w:sz="0" w:space="0" w:color="auto"/>
        <w:left w:val="none" w:sz="0" w:space="0" w:color="auto"/>
        <w:bottom w:val="none" w:sz="0" w:space="0" w:color="auto"/>
        <w:right w:val="none" w:sz="0" w:space="0" w:color="auto"/>
      </w:divBdr>
    </w:div>
    <w:div w:id="1627421508">
      <w:bodyDiv w:val="1"/>
      <w:marLeft w:val="0"/>
      <w:marRight w:val="0"/>
      <w:marTop w:val="0"/>
      <w:marBottom w:val="0"/>
      <w:divBdr>
        <w:top w:val="none" w:sz="0" w:space="0" w:color="auto"/>
        <w:left w:val="none" w:sz="0" w:space="0" w:color="auto"/>
        <w:bottom w:val="none" w:sz="0" w:space="0" w:color="auto"/>
        <w:right w:val="none" w:sz="0" w:space="0" w:color="auto"/>
      </w:divBdr>
    </w:div>
    <w:div w:id="1632516776">
      <w:bodyDiv w:val="1"/>
      <w:marLeft w:val="0"/>
      <w:marRight w:val="0"/>
      <w:marTop w:val="0"/>
      <w:marBottom w:val="0"/>
      <w:divBdr>
        <w:top w:val="none" w:sz="0" w:space="0" w:color="auto"/>
        <w:left w:val="none" w:sz="0" w:space="0" w:color="auto"/>
        <w:bottom w:val="none" w:sz="0" w:space="0" w:color="auto"/>
        <w:right w:val="none" w:sz="0" w:space="0" w:color="auto"/>
      </w:divBdr>
    </w:div>
    <w:div w:id="1635450972">
      <w:bodyDiv w:val="1"/>
      <w:marLeft w:val="0"/>
      <w:marRight w:val="0"/>
      <w:marTop w:val="0"/>
      <w:marBottom w:val="0"/>
      <w:divBdr>
        <w:top w:val="none" w:sz="0" w:space="0" w:color="auto"/>
        <w:left w:val="none" w:sz="0" w:space="0" w:color="auto"/>
        <w:bottom w:val="none" w:sz="0" w:space="0" w:color="auto"/>
        <w:right w:val="none" w:sz="0" w:space="0" w:color="auto"/>
      </w:divBdr>
    </w:div>
    <w:div w:id="1642879564">
      <w:bodyDiv w:val="1"/>
      <w:marLeft w:val="0"/>
      <w:marRight w:val="0"/>
      <w:marTop w:val="0"/>
      <w:marBottom w:val="0"/>
      <w:divBdr>
        <w:top w:val="none" w:sz="0" w:space="0" w:color="auto"/>
        <w:left w:val="none" w:sz="0" w:space="0" w:color="auto"/>
        <w:bottom w:val="none" w:sz="0" w:space="0" w:color="auto"/>
        <w:right w:val="none" w:sz="0" w:space="0" w:color="auto"/>
      </w:divBdr>
    </w:div>
    <w:div w:id="1648820714">
      <w:bodyDiv w:val="1"/>
      <w:marLeft w:val="0"/>
      <w:marRight w:val="0"/>
      <w:marTop w:val="0"/>
      <w:marBottom w:val="0"/>
      <w:divBdr>
        <w:top w:val="none" w:sz="0" w:space="0" w:color="auto"/>
        <w:left w:val="none" w:sz="0" w:space="0" w:color="auto"/>
        <w:bottom w:val="none" w:sz="0" w:space="0" w:color="auto"/>
        <w:right w:val="none" w:sz="0" w:space="0" w:color="auto"/>
      </w:divBdr>
    </w:div>
    <w:div w:id="1662655727">
      <w:bodyDiv w:val="1"/>
      <w:marLeft w:val="0"/>
      <w:marRight w:val="0"/>
      <w:marTop w:val="0"/>
      <w:marBottom w:val="0"/>
      <w:divBdr>
        <w:top w:val="none" w:sz="0" w:space="0" w:color="auto"/>
        <w:left w:val="none" w:sz="0" w:space="0" w:color="auto"/>
        <w:bottom w:val="none" w:sz="0" w:space="0" w:color="auto"/>
        <w:right w:val="none" w:sz="0" w:space="0" w:color="auto"/>
      </w:divBdr>
    </w:div>
    <w:div w:id="1664356322">
      <w:bodyDiv w:val="1"/>
      <w:marLeft w:val="0"/>
      <w:marRight w:val="0"/>
      <w:marTop w:val="0"/>
      <w:marBottom w:val="0"/>
      <w:divBdr>
        <w:top w:val="none" w:sz="0" w:space="0" w:color="auto"/>
        <w:left w:val="none" w:sz="0" w:space="0" w:color="auto"/>
        <w:bottom w:val="none" w:sz="0" w:space="0" w:color="auto"/>
        <w:right w:val="none" w:sz="0" w:space="0" w:color="auto"/>
      </w:divBdr>
    </w:div>
    <w:div w:id="1664622157">
      <w:bodyDiv w:val="1"/>
      <w:marLeft w:val="0"/>
      <w:marRight w:val="0"/>
      <w:marTop w:val="0"/>
      <w:marBottom w:val="0"/>
      <w:divBdr>
        <w:top w:val="none" w:sz="0" w:space="0" w:color="auto"/>
        <w:left w:val="none" w:sz="0" w:space="0" w:color="auto"/>
        <w:bottom w:val="none" w:sz="0" w:space="0" w:color="auto"/>
        <w:right w:val="none" w:sz="0" w:space="0" w:color="auto"/>
      </w:divBdr>
    </w:div>
    <w:div w:id="1668702638">
      <w:bodyDiv w:val="1"/>
      <w:marLeft w:val="0"/>
      <w:marRight w:val="0"/>
      <w:marTop w:val="0"/>
      <w:marBottom w:val="0"/>
      <w:divBdr>
        <w:top w:val="none" w:sz="0" w:space="0" w:color="auto"/>
        <w:left w:val="none" w:sz="0" w:space="0" w:color="auto"/>
        <w:bottom w:val="none" w:sz="0" w:space="0" w:color="auto"/>
        <w:right w:val="none" w:sz="0" w:space="0" w:color="auto"/>
      </w:divBdr>
    </w:div>
    <w:div w:id="1673560044">
      <w:bodyDiv w:val="1"/>
      <w:marLeft w:val="0"/>
      <w:marRight w:val="0"/>
      <w:marTop w:val="0"/>
      <w:marBottom w:val="0"/>
      <w:divBdr>
        <w:top w:val="none" w:sz="0" w:space="0" w:color="auto"/>
        <w:left w:val="none" w:sz="0" w:space="0" w:color="auto"/>
        <w:bottom w:val="none" w:sz="0" w:space="0" w:color="auto"/>
        <w:right w:val="none" w:sz="0" w:space="0" w:color="auto"/>
      </w:divBdr>
    </w:div>
    <w:div w:id="1694460384">
      <w:bodyDiv w:val="1"/>
      <w:marLeft w:val="0"/>
      <w:marRight w:val="0"/>
      <w:marTop w:val="0"/>
      <w:marBottom w:val="0"/>
      <w:divBdr>
        <w:top w:val="none" w:sz="0" w:space="0" w:color="auto"/>
        <w:left w:val="none" w:sz="0" w:space="0" w:color="auto"/>
        <w:bottom w:val="none" w:sz="0" w:space="0" w:color="auto"/>
        <w:right w:val="none" w:sz="0" w:space="0" w:color="auto"/>
      </w:divBdr>
    </w:div>
    <w:div w:id="1700819691">
      <w:bodyDiv w:val="1"/>
      <w:marLeft w:val="0"/>
      <w:marRight w:val="0"/>
      <w:marTop w:val="0"/>
      <w:marBottom w:val="0"/>
      <w:divBdr>
        <w:top w:val="none" w:sz="0" w:space="0" w:color="auto"/>
        <w:left w:val="none" w:sz="0" w:space="0" w:color="auto"/>
        <w:bottom w:val="none" w:sz="0" w:space="0" w:color="auto"/>
        <w:right w:val="none" w:sz="0" w:space="0" w:color="auto"/>
      </w:divBdr>
    </w:div>
    <w:div w:id="1710760512">
      <w:bodyDiv w:val="1"/>
      <w:marLeft w:val="0"/>
      <w:marRight w:val="0"/>
      <w:marTop w:val="0"/>
      <w:marBottom w:val="0"/>
      <w:divBdr>
        <w:top w:val="none" w:sz="0" w:space="0" w:color="auto"/>
        <w:left w:val="none" w:sz="0" w:space="0" w:color="auto"/>
        <w:bottom w:val="none" w:sz="0" w:space="0" w:color="auto"/>
        <w:right w:val="none" w:sz="0" w:space="0" w:color="auto"/>
      </w:divBdr>
    </w:div>
    <w:div w:id="1713799091">
      <w:bodyDiv w:val="1"/>
      <w:marLeft w:val="0"/>
      <w:marRight w:val="0"/>
      <w:marTop w:val="0"/>
      <w:marBottom w:val="0"/>
      <w:divBdr>
        <w:top w:val="none" w:sz="0" w:space="0" w:color="auto"/>
        <w:left w:val="none" w:sz="0" w:space="0" w:color="auto"/>
        <w:bottom w:val="none" w:sz="0" w:space="0" w:color="auto"/>
        <w:right w:val="none" w:sz="0" w:space="0" w:color="auto"/>
      </w:divBdr>
    </w:div>
    <w:div w:id="1718049983">
      <w:bodyDiv w:val="1"/>
      <w:marLeft w:val="0"/>
      <w:marRight w:val="0"/>
      <w:marTop w:val="0"/>
      <w:marBottom w:val="0"/>
      <w:divBdr>
        <w:top w:val="none" w:sz="0" w:space="0" w:color="auto"/>
        <w:left w:val="none" w:sz="0" w:space="0" w:color="auto"/>
        <w:bottom w:val="none" w:sz="0" w:space="0" w:color="auto"/>
        <w:right w:val="none" w:sz="0" w:space="0" w:color="auto"/>
      </w:divBdr>
    </w:div>
    <w:div w:id="1719553519">
      <w:bodyDiv w:val="1"/>
      <w:marLeft w:val="0"/>
      <w:marRight w:val="0"/>
      <w:marTop w:val="0"/>
      <w:marBottom w:val="0"/>
      <w:divBdr>
        <w:top w:val="none" w:sz="0" w:space="0" w:color="auto"/>
        <w:left w:val="none" w:sz="0" w:space="0" w:color="auto"/>
        <w:bottom w:val="none" w:sz="0" w:space="0" w:color="auto"/>
        <w:right w:val="none" w:sz="0" w:space="0" w:color="auto"/>
      </w:divBdr>
    </w:div>
    <w:div w:id="1720326798">
      <w:bodyDiv w:val="1"/>
      <w:marLeft w:val="0"/>
      <w:marRight w:val="0"/>
      <w:marTop w:val="0"/>
      <w:marBottom w:val="0"/>
      <w:divBdr>
        <w:top w:val="none" w:sz="0" w:space="0" w:color="auto"/>
        <w:left w:val="none" w:sz="0" w:space="0" w:color="auto"/>
        <w:bottom w:val="none" w:sz="0" w:space="0" w:color="auto"/>
        <w:right w:val="none" w:sz="0" w:space="0" w:color="auto"/>
      </w:divBdr>
    </w:div>
    <w:div w:id="1725256654">
      <w:bodyDiv w:val="1"/>
      <w:marLeft w:val="0"/>
      <w:marRight w:val="0"/>
      <w:marTop w:val="0"/>
      <w:marBottom w:val="0"/>
      <w:divBdr>
        <w:top w:val="none" w:sz="0" w:space="0" w:color="auto"/>
        <w:left w:val="none" w:sz="0" w:space="0" w:color="auto"/>
        <w:bottom w:val="none" w:sz="0" w:space="0" w:color="auto"/>
        <w:right w:val="none" w:sz="0" w:space="0" w:color="auto"/>
      </w:divBdr>
    </w:div>
    <w:div w:id="1729377435">
      <w:bodyDiv w:val="1"/>
      <w:marLeft w:val="0"/>
      <w:marRight w:val="0"/>
      <w:marTop w:val="0"/>
      <w:marBottom w:val="0"/>
      <w:divBdr>
        <w:top w:val="none" w:sz="0" w:space="0" w:color="auto"/>
        <w:left w:val="none" w:sz="0" w:space="0" w:color="auto"/>
        <w:bottom w:val="none" w:sz="0" w:space="0" w:color="auto"/>
        <w:right w:val="none" w:sz="0" w:space="0" w:color="auto"/>
      </w:divBdr>
    </w:div>
    <w:div w:id="1729495447">
      <w:bodyDiv w:val="1"/>
      <w:marLeft w:val="0"/>
      <w:marRight w:val="0"/>
      <w:marTop w:val="0"/>
      <w:marBottom w:val="0"/>
      <w:divBdr>
        <w:top w:val="none" w:sz="0" w:space="0" w:color="auto"/>
        <w:left w:val="none" w:sz="0" w:space="0" w:color="auto"/>
        <w:bottom w:val="none" w:sz="0" w:space="0" w:color="auto"/>
        <w:right w:val="none" w:sz="0" w:space="0" w:color="auto"/>
      </w:divBdr>
    </w:div>
    <w:div w:id="1735615255">
      <w:bodyDiv w:val="1"/>
      <w:marLeft w:val="0"/>
      <w:marRight w:val="0"/>
      <w:marTop w:val="0"/>
      <w:marBottom w:val="0"/>
      <w:divBdr>
        <w:top w:val="none" w:sz="0" w:space="0" w:color="auto"/>
        <w:left w:val="none" w:sz="0" w:space="0" w:color="auto"/>
        <w:bottom w:val="none" w:sz="0" w:space="0" w:color="auto"/>
        <w:right w:val="none" w:sz="0" w:space="0" w:color="auto"/>
      </w:divBdr>
    </w:div>
    <w:div w:id="1737822453">
      <w:bodyDiv w:val="1"/>
      <w:marLeft w:val="0"/>
      <w:marRight w:val="0"/>
      <w:marTop w:val="0"/>
      <w:marBottom w:val="0"/>
      <w:divBdr>
        <w:top w:val="none" w:sz="0" w:space="0" w:color="auto"/>
        <w:left w:val="none" w:sz="0" w:space="0" w:color="auto"/>
        <w:bottom w:val="none" w:sz="0" w:space="0" w:color="auto"/>
        <w:right w:val="none" w:sz="0" w:space="0" w:color="auto"/>
      </w:divBdr>
    </w:div>
    <w:div w:id="1738211612">
      <w:bodyDiv w:val="1"/>
      <w:marLeft w:val="0"/>
      <w:marRight w:val="0"/>
      <w:marTop w:val="0"/>
      <w:marBottom w:val="0"/>
      <w:divBdr>
        <w:top w:val="none" w:sz="0" w:space="0" w:color="auto"/>
        <w:left w:val="none" w:sz="0" w:space="0" w:color="auto"/>
        <w:bottom w:val="none" w:sz="0" w:space="0" w:color="auto"/>
        <w:right w:val="none" w:sz="0" w:space="0" w:color="auto"/>
      </w:divBdr>
    </w:div>
    <w:div w:id="1747804742">
      <w:bodyDiv w:val="1"/>
      <w:marLeft w:val="0"/>
      <w:marRight w:val="0"/>
      <w:marTop w:val="0"/>
      <w:marBottom w:val="0"/>
      <w:divBdr>
        <w:top w:val="none" w:sz="0" w:space="0" w:color="auto"/>
        <w:left w:val="none" w:sz="0" w:space="0" w:color="auto"/>
        <w:bottom w:val="none" w:sz="0" w:space="0" w:color="auto"/>
        <w:right w:val="none" w:sz="0" w:space="0" w:color="auto"/>
      </w:divBdr>
    </w:div>
    <w:div w:id="1753965817">
      <w:bodyDiv w:val="1"/>
      <w:marLeft w:val="0"/>
      <w:marRight w:val="0"/>
      <w:marTop w:val="0"/>
      <w:marBottom w:val="0"/>
      <w:divBdr>
        <w:top w:val="none" w:sz="0" w:space="0" w:color="auto"/>
        <w:left w:val="none" w:sz="0" w:space="0" w:color="auto"/>
        <w:bottom w:val="none" w:sz="0" w:space="0" w:color="auto"/>
        <w:right w:val="none" w:sz="0" w:space="0" w:color="auto"/>
      </w:divBdr>
    </w:div>
    <w:div w:id="1758018921">
      <w:bodyDiv w:val="1"/>
      <w:marLeft w:val="0"/>
      <w:marRight w:val="0"/>
      <w:marTop w:val="0"/>
      <w:marBottom w:val="0"/>
      <w:divBdr>
        <w:top w:val="none" w:sz="0" w:space="0" w:color="auto"/>
        <w:left w:val="none" w:sz="0" w:space="0" w:color="auto"/>
        <w:bottom w:val="none" w:sz="0" w:space="0" w:color="auto"/>
        <w:right w:val="none" w:sz="0" w:space="0" w:color="auto"/>
      </w:divBdr>
    </w:div>
    <w:div w:id="1758139176">
      <w:bodyDiv w:val="1"/>
      <w:marLeft w:val="0"/>
      <w:marRight w:val="0"/>
      <w:marTop w:val="0"/>
      <w:marBottom w:val="0"/>
      <w:divBdr>
        <w:top w:val="none" w:sz="0" w:space="0" w:color="auto"/>
        <w:left w:val="none" w:sz="0" w:space="0" w:color="auto"/>
        <w:bottom w:val="none" w:sz="0" w:space="0" w:color="auto"/>
        <w:right w:val="none" w:sz="0" w:space="0" w:color="auto"/>
      </w:divBdr>
    </w:div>
    <w:div w:id="1762027789">
      <w:bodyDiv w:val="1"/>
      <w:marLeft w:val="0"/>
      <w:marRight w:val="0"/>
      <w:marTop w:val="0"/>
      <w:marBottom w:val="0"/>
      <w:divBdr>
        <w:top w:val="none" w:sz="0" w:space="0" w:color="auto"/>
        <w:left w:val="none" w:sz="0" w:space="0" w:color="auto"/>
        <w:bottom w:val="none" w:sz="0" w:space="0" w:color="auto"/>
        <w:right w:val="none" w:sz="0" w:space="0" w:color="auto"/>
      </w:divBdr>
    </w:div>
    <w:div w:id="1763184130">
      <w:bodyDiv w:val="1"/>
      <w:marLeft w:val="0"/>
      <w:marRight w:val="0"/>
      <w:marTop w:val="0"/>
      <w:marBottom w:val="0"/>
      <w:divBdr>
        <w:top w:val="none" w:sz="0" w:space="0" w:color="auto"/>
        <w:left w:val="none" w:sz="0" w:space="0" w:color="auto"/>
        <w:bottom w:val="none" w:sz="0" w:space="0" w:color="auto"/>
        <w:right w:val="none" w:sz="0" w:space="0" w:color="auto"/>
      </w:divBdr>
    </w:div>
    <w:div w:id="1764957603">
      <w:bodyDiv w:val="1"/>
      <w:marLeft w:val="0"/>
      <w:marRight w:val="0"/>
      <w:marTop w:val="0"/>
      <w:marBottom w:val="0"/>
      <w:divBdr>
        <w:top w:val="none" w:sz="0" w:space="0" w:color="auto"/>
        <w:left w:val="none" w:sz="0" w:space="0" w:color="auto"/>
        <w:bottom w:val="none" w:sz="0" w:space="0" w:color="auto"/>
        <w:right w:val="none" w:sz="0" w:space="0" w:color="auto"/>
      </w:divBdr>
    </w:div>
    <w:div w:id="1771318226">
      <w:bodyDiv w:val="1"/>
      <w:marLeft w:val="0"/>
      <w:marRight w:val="0"/>
      <w:marTop w:val="0"/>
      <w:marBottom w:val="0"/>
      <w:divBdr>
        <w:top w:val="none" w:sz="0" w:space="0" w:color="auto"/>
        <w:left w:val="none" w:sz="0" w:space="0" w:color="auto"/>
        <w:bottom w:val="none" w:sz="0" w:space="0" w:color="auto"/>
        <w:right w:val="none" w:sz="0" w:space="0" w:color="auto"/>
      </w:divBdr>
    </w:div>
    <w:div w:id="1782413638">
      <w:bodyDiv w:val="1"/>
      <w:marLeft w:val="0"/>
      <w:marRight w:val="0"/>
      <w:marTop w:val="0"/>
      <w:marBottom w:val="0"/>
      <w:divBdr>
        <w:top w:val="none" w:sz="0" w:space="0" w:color="auto"/>
        <w:left w:val="none" w:sz="0" w:space="0" w:color="auto"/>
        <w:bottom w:val="none" w:sz="0" w:space="0" w:color="auto"/>
        <w:right w:val="none" w:sz="0" w:space="0" w:color="auto"/>
      </w:divBdr>
    </w:div>
    <w:div w:id="1785147942">
      <w:bodyDiv w:val="1"/>
      <w:marLeft w:val="0"/>
      <w:marRight w:val="0"/>
      <w:marTop w:val="0"/>
      <w:marBottom w:val="0"/>
      <w:divBdr>
        <w:top w:val="none" w:sz="0" w:space="0" w:color="auto"/>
        <w:left w:val="none" w:sz="0" w:space="0" w:color="auto"/>
        <w:bottom w:val="none" w:sz="0" w:space="0" w:color="auto"/>
        <w:right w:val="none" w:sz="0" w:space="0" w:color="auto"/>
      </w:divBdr>
    </w:div>
    <w:div w:id="1794247225">
      <w:bodyDiv w:val="1"/>
      <w:marLeft w:val="0"/>
      <w:marRight w:val="0"/>
      <w:marTop w:val="0"/>
      <w:marBottom w:val="0"/>
      <w:divBdr>
        <w:top w:val="none" w:sz="0" w:space="0" w:color="auto"/>
        <w:left w:val="none" w:sz="0" w:space="0" w:color="auto"/>
        <w:bottom w:val="none" w:sz="0" w:space="0" w:color="auto"/>
        <w:right w:val="none" w:sz="0" w:space="0" w:color="auto"/>
      </w:divBdr>
    </w:div>
    <w:div w:id="1810123014">
      <w:bodyDiv w:val="1"/>
      <w:marLeft w:val="0"/>
      <w:marRight w:val="0"/>
      <w:marTop w:val="0"/>
      <w:marBottom w:val="0"/>
      <w:divBdr>
        <w:top w:val="none" w:sz="0" w:space="0" w:color="auto"/>
        <w:left w:val="none" w:sz="0" w:space="0" w:color="auto"/>
        <w:bottom w:val="none" w:sz="0" w:space="0" w:color="auto"/>
        <w:right w:val="none" w:sz="0" w:space="0" w:color="auto"/>
      </w:divBdr>
    </w:div>
    <w:div w:id="1811363737">
      <w:bodyDiv w:val="1"/>
      <w:marLeft w:val="0"/>
      <w:marRight w:val="0"/>
      <w:marTop w:val="0"/>
      <w:marBottom w:val="0"/>
      <w:divBdr>
        <w:top w:val="none" w:sz="0" w:space="0" w:color="auto"/>
        <w:left w:val="none" w:sz="0" w:space="0" w:color="auto"/>
        <w:bottom w:val="none" w:sz="0" w:space="0" w:color="auto"/>
        <w:right w:val="none" w:sz="0" w:space="0" w:color="auto"/>
      </w:divBdr>
    </w:div>
    <w:div w:id="1811748281">
      <w:bodyDiv w:val="1"/>
      <w:marLeft w:val="0"/>
      <w:marRight w:val="0"/>
      <w:marTop w:val="0"/>
      <w:marBottom w:val="0"/>
      <w:divBdr>
        <w:top w:val="none" w:sz="0" w:space="0" w:color="auto"/>
        <w:left w:val="none" w:sz="0" w:space="0" w:color="auto"/>
        <w:bottom w:val="none" w:sz="0" w:space="0" w:color="auto"/>
        <w:right w:val="none" w:sz="0" w:space="0" w:color="auto"/>
      </w:divBdr>
    </w:div>
    <w:div w:id="1820535193">
      <w:bodyDiv w:val="1"/>
      <w:marLeft w:val="0"/>
      <w:marRight w:val="0"/>
      <w:marTop w:val="0"/>
      <w:marBottom w:val="0"/>
      <w:divBdr>
        <w:top w:val="none" w:sz="0" w:space="0" w:color="auto"/>
        <w:left w:val="none" w:sz="0" w:space="0" w:color="auto"/>
        <w:bottom w:val="none" w:sz="0" w:space="0" w:color="auto"/>
        <w:right w:val="none" w:sz="0" w:space="0" w:color="auto"/>
      </w:divBdr>
    </w:div>
    <w:div w:id="1825779487">
      <w:bodyDiv w:val="1"/>
      <w:marLeft w:val="0"/>
      <w:marRight w:val="0"/>
      <w:marTop w:val="0"/>
      <w:marBottom w:val="0"/>
      <w:divBdr>
        <w:top w:val="none" w:sz="0" w:space="0" w:color="auto"/>
        <w:left w:val="none" w:sz="0" w:space="0" w:color="auto"/>
        <w:bottom w:val="none" w:sz="0" w:space="0" w:color="auto"/>
        <w:right w:val="none" w:sz="0" w:space="0" w:color="auto"/>
      </w:divBdr>
    </w:div>
    <w:div w:id="1827621424">
      <w:bodyDiv w:val="1"/>
      <w:marLeft w:val="0"/>
      <w:marRight w:val="0"/>
      <w:marTop w:val="0"/>
      <w:marBottom w:val="0"/>
      <w:divBdr>
        <w:top w:val="none" w:sz="0" w:space="0" w:color="auto"/>
        <w:left w:val="none" w:sz="0" w:space="0" w:color="auto"/>
        <w:bottom w:val="none" w:sz="0" w:space="0" w:color="auto"/>
        <w:right w:val="none" w:sz="0" w:space="0" w:color="auto"/>
      </w:divBdr>
    </w:div>
    <w:div w:id="1834687505">
      <w:bodyDiv w:val="1"/>
      <w:marLeft w:val="0"/>
      <w:marRight w:val="0"/>
      <w:marTop w:val="0"/>
      <w:marBottom w:val="0"/>
      <w:divBdr>
        <w:top w:val="none" w:sz="0" w:space="0" w:color="auto"/>
        <w:left w:val="none" w:sz="0" w:space="0" w:color="auto"/>
        <w:bottom w:val="none" w:sz="0" w:space="0" w:color="auto"/>
        <w:right w:val="none" w:sz="0" w:space="0" w:color="auto"/>
      </w:divBdr>
    </w:div>
    <w:div w:id="1837383613">
      <w:bodyDiv w:val="1"/>
      <w:marLeft w:val="0"/>
      <w:marRight w:val="0"/>
      <w:marTop w:val="0"/>
      <w:marBottom w:val="0"/>
      <w:divBdr>
        <w:top w:val="none" w:sz="0" w:space="0" w:color="auto"/>
        <w:left w:val="none" w:sz="0" w:space="0" w:color="auto"/>
        <w:bottom w:val="none" w:sz="0" w:space="0" w:color="auto"/>
        <w:right w:val="none" w:sz="0" w:space="0" w:color="auto"/>
      </w:divBdr>
    </w:div>
    <w:div w:id="1840805156">
      <w:bodyDiv w:val="1"/>
      <w:marLeft w:val="0"/>
      <w:marRight w:val="0"/>
      <w:marTop w:val="0"/>
      <w:marBottom w:val="0"/>
      <w:divBdr>
        <w:top w:val="none" w:sz="0" w:space="0" w:color="auto"/>
        <w:left w:val="none" w:sz="0" w:space="0" w:color="auto"/>
        <w:bottom w:val="none" w:sz="0" w:space="0" w:color="auto"/>
        <w:right w:val="none" w:sz="0" w:space="0" w:color="auto"/>
      </w:divBdr>
    </w:div>
    <w:div w:id="1840851449">
      <w:bodyDiv w:val="1"/>
      <w:marLeft w:val="0"/>
      <w:marRight w:val="0"/>
      <w:marTop w:val="0"/>
      <w:marBottom w:val="0"/>
      <w:divBdr>
        <w:top w:val="none" w:sz="0" w:space="0" w:color="auto"/>
        <w:left w:val="none" w:sz="0" w:space="0" w:color="auto"/>
        <w:bottom w:val="none" w:sz="0" w:space="0" w:color="auto"/>
        <w:right w:val="none" w:sz="0" w:space="0" w:color="auto"/>
      </w:divBdr>
    </w:div>
    <w:div w:id="1844121516">
      <w:bodyDiv w:val="1"/>
      <w:marLeft w:val="0"/>
      <w:marRight w:val="0"/>
      <w:marTop w:val="0"/>
      <w:marBottom w:val="0"/>
      <w:divBdr>
        <w:top w:val="none" w:sz="0" w:space="0" w:color="auto"/>
        <w:left w:val="none" w:sz="0" w:space="0" w:color="auto"/>
        <w:bottom w:val="none" w:sz="0" w:space="0" w:color="auto"/>
        <w:right w:val="none" w:sz="0" w:space="0" w:color="auto"/>
      </w:divBdr>
    </w:div>
    <w:div w:id="1848520808">
      <w:bodyDiv w:val="1"/>
      <w:marLeft w:val="0"/>
      <w:marRight w:val="0"/>
      <w:marTop w:val="0"/>
      <w:marBottom w:val="0"/>
      <w:divBdr>
        <w:top w:val="none" w:sz="0" w:space="0" w:color="auto"/>
        <w:left w:val="none" w:sz="0" w:space="0" w:color="auto"/>
        <w:bottom w:val="none" w:sz="0" w:space="0" w:color="auto"/>
        <w:right w:val="none" w:sz="0" w:space="0" w:color="auto"/>
      </w:divBdr>
    </w:div>
    <w:div w:id="1860045730">
      <w:bodyDiv w:val="1"/>
      <w:marLeft w:val="0"/>
      <w:marRight w:val="0"/>
      <w:marTop w:val="0"/>
      <w:marBottom w:val="0"/>
      <w:divBdr>
        <w:top w:val="none" w:sz="0" w:space="0" w:color="auto"/>
        <w:left w:val="none" w:sz="0" w:space="0" w:color="auto"/>
        <w:bottom w:val="none" w:sz="0" w:space="0" w:color="auto"/>
        <w:right w:val="none" w:sz="0" w:space="0" w:color="auto"/>
      </w:divBdr>
    </w:div>
    <w:div w:id="1869024069">
      <w:bodyDiv w:val="1"/>
      <w:marLeft w:val="0"/>
      <w:marRight w:val="0"/>
      <w:marTop w:val="0"/>
      <w:marBottom w:val="0"/>
      <w:divBdr>
        <w:top w:val="none" w:sz="0" w:space="0" w:color="auto"/>
        <w:left w:val="none" w:sz="0" w:space="0" w:color="auto"/>
        <w:bottom w:val="none" w:sz="0" w:space="0" w:color="auto"/>
        <w:right w:val="none" w:sz="0" w:space="0" w:color="auto"/>
      </w:divBdr>
    </w:div>
    <w:div w:id="1869952453">
      <w:bodyDiv w:val="1"/>
      <w:marLeft w:val="0"/>
      <w:marRight w:val="0"/>
      <w:marTop w:val="0"/>
      <w:marBottom w:val="0"/>
      <w:divBdr>
        <w:top w:val="none" w:sz="0" w:space="0" w:color="auto"/>
        <w:left w:val="none" w:sz="0" w:space="0" w:color="auto"/>
        <w:bottom w:val="none" w:sz="0" w:space="0" w:color="auto"/>
        <w:right w:val="none" w:sz="0" w:space="0" w:color="auto"/>
      </w:divBdr>
    </w:div>
    <w:div w:id="1870413631">
      <w:bodyDiv w:val="1"/>
      <w:marLeft w:val="0"/>
      <w:marRight w:val="0"/>
      <w:marTop w:val="0"/>
      <w:marBottom w:val="0"/>
      <w:divBdr>
        <w:top w:val="none" w:sz="0" w:space="0" w:color="auto"/>
        <w:left w:val="none" w:sz="0" w:space="0" w:color="auto"/>
        <w:bottom w:val="none" w:sz="0" w:space="0" w:color="auto"/>
        <w:right w:val="none" w:sz="0" w:space="0" w:color="auto"/>
      </w:divBdr>
    </w:div>
    <w:div w:id="1876960482">
      <w:bodyDiv w:val="1"/>
      <w:marLeft w:val="0"/>
      <w:marRight w:val="0"/>
      <w:marTop w:val="0"/>
      <w:marBottom w:val="0"/>
      <w:divBdr>
        <w:top w:val="none" w:sz="0" w:space="0" w:color="auto"/>
        <w:left w:val="none" w:sz="0" w:space="0" w:color="auto"/>
        <w:bottom w:val="none" w:sz="0" w:space="0" w:color="auto"/>
        <w:right w:val="none" w:sz="0" w:space="0" w:color="auto"/>
      </w:divBdr>
    </w:div>
    <w:div w:id="1879317051">
      <w:bodyDiv w:val="1"/>
      <w:marLeft w:val="0"/>
      <w:marRight w:val="0"/>
      <w:marTop w:val="0"/>
      <w:marBottom w:val="0"/>
      <w:divBdr>
        <w:top w:val="none" w:sz="0" w:space="0" w:color="auto"/>
        <w:left w:val="none" w:sz="0" w:space="0" w:color="auto"/>
        <w:bottom w:val="none" w:sz="0" w:space="0" w:color="auto"/>
        <w:right w:val="none" w:sz="0" w:space="0" w:color="auto"/>
      </w:divBdr>
    </w:div>
    <w:div w:id="1880431519">
      <w:bodyDiv w:val="1"/>
      <w:marLeft w:val="0"/>
      <w:marRight w:val="0"/>
      <w:marTop w:val="0"/>
      <w:marBottom w:val="0"/>
      <w:divBdr>
        <w:top w:val="none" w:sz="0" w:space="0" w:color="auto"/>
        <w:left w:val="none" w:sz="0" w:space="0" w:color="auto"/>
        <w:bottom w:val="none" w:sz="0" w:space="0" w:color="auto"/>
        <w:right w:val="none" w:sz="0" w:space="0" w:color="auto"/>
      </w:divBdr>
    </w:div>
    <w:div w:id="1884975353">
      <w:bodyDiv w:val="1"/>
      <w:marLeft w:val="0"/>
      <w:marRight w:val="0"/>
      <w:marTop w:val="0"/>
      <w:marBottom w:val="0"/>
      <w:divBdr>
        <w:top w:val="none" w:sz="0" w:space="0" w:color="auto"/>
        <w:left w:val="none" w:sz="0" w:space="0" w:color="auto"/>
        <w:bottom w:val="none" w:sz="0" w:space="0" w:color="auto"/>
        <w:right w:val="none" w:sz="0" w:space="0" w:color="auto"/>
      </w:divBdr>
    </w:div>
    <w:div w:id="1886259527">
      <w:bodyDiv w:val="1"/>
      <w:marLeft w:val="0"/>
      <w:marRight w:val="0"/>
      <w:marTop w:val="0"/>
      <w:marBottom w:val="0"/>
      <w:divBdr>
        <w:top w:val="none" w:sz="0" w:space="0" w:color="auto"/>
        <w:left w:val="none" w:sz="0" w:space="0" w:color="auto"/>
        <w:bottom w:val="none" w:sz="0" w:space="0" w:color="auto"/>
        <w:right w:val="none" w:sz="0" w:space="0" w:color="auto"/>
      </w:divBdr>
    </w:div>
    <w:div w:id="1891766765">
      <w:bodyDiv w:val="1"/>
      <w:marLeft w:val="0"/>
      <w:marRight w:val="0"/>
      <w:marTop w:val="0"/>
      <w:marBottom w:val="0"/>
      <w:divBdr>
        <w:top w:val="none" w:sz="0" w:space="0" w:color="auto"/>
        <w:left w:val="none" w:sz="0" w:space="0" w:color="auto"/>
        <w:bottom w:val="none" w:sz="0" w:space="0" w:color="auto"/>
        <w:right w:val="none" w:sz="0" w:space="0" w:color="auto"/>
      </w:divBdr>
    </w:div>
    <w:div w:id="1896382051">
      <w:bodyDiv w:val="1"/>
      <w:marLeft w:val="0"/>
      <w:marRight w:val="0"/>
      <w:marTop w:val="0"/>
      <w:marBottom w:val="0"/>
      <w:divBdr>
        <w:top w:val="none" w:sz="0" w:space="0" w:color="auto"/>
        <w:left w:val="none" w:sz="0" w:space="0" w:color="auto"/>
        <w:bottom w:val="none" w:sz="0" w:space="0" w:color="auto"/>
        <w:right w:val="none" w:sz="0" w:space="0" w:color="auto"/>
      </w:divBdr>
    </w:div>
    <w:div w:id="1896894497">
      <w:bodyDiv w:val="1"/>
      <w:marLeft w:val="0"/>
      <w:marRight w:val="0"/>
      <w:marTop w:val="0"/>
      <w:marBottom w:val="0"/>
      <w:divBdr>
        <w:top w:val="none" w:sz="0" w:space="0" w:color="auto"/>
        <w:left w:val="none" w:sz="0" w:space="0" w:color="auto"/>
        <w:bottom w:val="none" w:sz="0" w:space="0" w:color="auto"/>
        <w:right w:val="none" w:sz="0" w:space="0" w:color="auto"/>
      </w:divBdr>
    </w:div>
    <w:div w:id="1902404047">
      <w:bodyDiv w:val="1"/>
      <w:marLeft w:val="0"/>
      <w:marRight w:val="0"/>
      <w:marTop w:val="0"/>
      <w:marBottom w:val="0"/>
      <w:divBdr>
        <w:top w:val="none" w:sz="0" w:space="0" w:color="auto"/>
        <w:left w:val="none" w:sz="0" w:space="0" w:color="auto"/>
        <w:bottom w:val="none" w:sz="0" w:space="0" w:color="auto"/>
        <w:right w:val="none" w:sz="0" w:space="0" w:color="auto"/>
      </w:divBdr>
    </w:div>
    <w:div w:id="1912694876">
      <w:bodyDiv w:val="1"/>
      <w:marLeft w:val="0"/>
      <w:marRight w:val="0"/>
      <w:marTop w:val="0"/>
      <w:marBottom w:val="0"/>
      <w:divBdr>
        <w:top w:val="none" w:sz="0" w:space="0" w:color="auto"/>
        <w:left w:val="none" w:sz="0" w:space="0" w:color="auto"/>
        <w:bottom w:val="none" w:sz="0" w:space="0" w:color="auto"/>
        <w:right w:val="none" w:sz="0" w:space="0" w:color="auto"/>
      </w:divBdr>
    </w:div>
    <w:div w:id="1914655280">
      <w:bodyDiv w:val="1"/>
      <w:marLeft w:val="0"/>
      <w:marRight w:val="0"/>
      <w:marTop w:val="0"/>
      <w:marBottom w:val="0"/>
      <w:divBdr>
        <w:top w:val="none" w:sz="0" w:space="0" w:color="auto"/>
        <w:left w:val="none" w:sz="0" w:space="0" w:color="auto"/>
        <w:bottom w:val="none" w:sz="0" w:space="0" w:color="auto"/>
        <w:right w:val="none" w:sz="0" w:space="0" w:color="auto"/>
      </w:divBdr>
    </w:div>
    <w:div w:id="1920825646">
      <w:bodyDiv w:val="1"/>
      <w:marLeft w:val="0"/>
      <w:marRight w:val="0"/>
      <w:marTop w:val="0"/>
      <w:marBottom w:val="0"/>
      <w:divBdr>
        <w:top w:val="none" w:sz="0" w:space="0" w:color="auto"/>
        <w:left w:val="none" w:sz="0" w:space="0" w:color="auto"/>
        <w:bottom w:val="none" w:sz="0" w:space="0" w:color="auto"/>
        <w:right w:val="none" w:sz="0" w:space="0" w:color="auto"/>
      </w:divBdr>
    </w:div>
    <w:div w:id="1924489519">
      <w:bodyDiv w:val="1"/>
      <w:marLeft w:val="0"/>
      <w:marRight w:val="0"/>
      <w:marTop w:val="0"/>
      <w:marBottom w:val="0"/>
      <w:divBdr>
        <w:top w:val="none" w:sz="0" w:space="0" w:color="auto"/>
        <w:left w:val="none" w:sz="0" w:space="0" w:color="auto"/>
        <w:bottom w:val="none" w:sz="0" w:space="0" w:color="auto"/>
        <w:right w:val="none" w:sz="0" w:space="0" w:color="auto"/>
      </w:divBdr>
    </w:div>
    <w:div w:id="1935549407">
      <w:bodyDiv w:val="1"/>
      <w:marLeft w:val="0"/>
      <w:marRight w:val="0"/>
      <w:marTop w:val="0"/>
      <w:marBottom w:val="0"/>
      <w:divBdr>
        <w:top w:val="none" w:sz="0" w:space="0" w:color="auto"/>
        <w:left w:val="none" w:sz="0" w:space="0" w:color="auto"/>
        <w:bottom w:val="none" w:sz="0" w:space="0" w:color="auto"/>
        <w:right w:val="none" w:sz="0" w:space="0" w:color="auto"/>
      </w:divBdr>
    </w:div>
    <w:div w:id="1938974685">
      <w:bodyDiv w:val="1"/>
      <w:marLeft w:val="0"/>
      <w:marRight w:val="0"/>
      <w:marTop w:val="0"/>
      <w:marBottom w:val="0"/>
      <w:divBdr>
        <w:top w:val="none" w:sz="0" w:space="0" w:color="auto"/>
        <w:left w:val="none" w:sz="0" w:space="0" w:color="auto"/>
        <w:bottom w:val="none" w:sz="0" w:space="0" w:color="auto"/>
        <w:right w:val="none" w:sz="0" w:space="0" w:color="auto"/>
      </w:divBdr>
    </w:div>
    <w:div w:id="1939020510">
      <w:bodyDiv w:val="1"/>
      <w:marLeft w:val="0"/>
      <w:marRight w:val="0"/>
      <w:marTop w:val="0"/>
      <w:marBottom w:val="0"/>
      <w:divBdr>
        <w:top w:val="none" w:sz="0" w:space="0" w:color="auto"/>
        <w:left w:val="none" w:sz="0" w:space="0" w:color="auto"/>
        <w:bottom w:val="none" w:sz="0" w:space="0" w:color="auto"/>
        <w:right w:val="none" w:sz="0" w:space="0" w:color="auto"/>
      </w:divBdr>
    </w:div>
    <w:div w:id="1945183392">
      <w:bodyDiv w:val="1"/>
      <w:marLeft w:val="0"/>
      <w:marRight w:val="0"/>
      <w:marTop w:val="0"/>
      <w:marBottom w:val="0"/>
      <w:divBdr>
        <w:top w:val="none" w:sz="0" w:space="0" w:color="auto"/>
        <w:left w:val="none" w:sz="0" w:space="0" w:color="auto"/>
        <w:bottom w:val="none" w:sz="0" w:space="0" w:color="auto"/>
        <w:right w:val="none" w:sz="0" w:space="0" w:color="auto"/>
      </w:divBdr>
    </w:div>
    <w:div w:id="1948000978">
      <w:bodyDiv w:val="1"/>
      <w:marLeft w:val="0"/>
      <w:marRight w:val="0"/>
      <w:marTop w:val="0"/>
      <w:marBottom w:val="0"/>
      <w:divBdr>
        <w:top w:val="none" w:sz="0" w:space="0" w:color="auto"/>
        <w:left w:val="none" w:sz="0" w:space="0" w:color="auto"/>
        <w:bottom w:val="none" w:sz="0" w:space="0" w:color="auto"/>
        <w:right w:val="none" w:sz="0" w:space="0" w:color="auto"/>
      </w:divBdr>
    </w:div>
    <w:div w:id="1948582048">
      <w:bodyDiv w:val="1"/>
      <w:marLeft w:val="0"/>
      <w:marRight w:val="0"/>
      <w:marTop w:val="0"/>
      <w:marBottom w:val="0"/>
      <w:divBdr>
        <w:top w:val="none" w:sz="0" w:space="0" w:color="auto"/>
        <w:left w:val="none" w:sz="0" w:space="0" w:color="auto"/>
        <w:bottom w:val="none" w:sz="0" w:space="0" w:color="auto"/>
        <w:right w:val="none" w:sz="0" w:space="0" w:color="auto"/>
      </w:divBdr>
    </w:div>
    <w:div w:id="1951207236">
      <w:bodyDiv w:val="1"/>
      <w:marLeft w:val="0"/>
      <w:marRight w:val="0"/>
      <w:marTop w:val="0"/>
      <w:marBottom w:val="0"/>
      <w:divBdr>
        <w:top w:val="none" w:sz="0" w:space="0" w:color="auto"/>
        <w:left w:val="none" w:sz="0" w:space="0" w:color="auto"/>
        <w:bottom w:val="none" w:sz="0" w:space="0" w:color="auto"/>
        <w:right w:val="none" w:sz="0" w:space="0" w:color="auto"/>
      </w:divBdr>
    </w:div>
    <w:div w:id="1955549909">
      <w:bodyDiv w:val="1"/>
      <w:marLeft w:val="0"/>
      <w:marRight w:val="0"/>
      <w:marTop w:val="0"/>
      <w:marBottom w:val="0"/>
      <w:divBdr>
        <w:top w:val="none" w:sz="0" w:space="0" w:color="auto"/>
        <w:left w:val="none" w:sz="0" w:space="0" w:color="auto"/>
        <w:bottom w:val="none" w:sz="0" w:space="0" w:color="auto"/>
        <w:right w:val="none" w:sz="0" w:space="0" w:color="auto"/>
      </w:divBdr>
    </w:div>
    <w:div w:id="1972710502">
      <w:bodyDiv w:val="1"/>
      <w:marLeft w:val="0"/>
      <w:marRight w:val="0"/>
      <w:marTop w:val="0"/>
      <w:marBottom w:val="0"/>
      <w:divBdr>
        <w:top w:val="none" w:sz="0" w:space="0" w:color="auto"/>
        <w:left w:val="none" w:sz="0" w:space="0" w:color="auto"/>
        <w:bottom w:val="none" w:sz="0" w:space="0" w:color="auto"/>
        <w:right w:val="none" w:sz="0" w:space="0" w:color="auto"/>
      </w:divBdr>
    </w:div>
    <w:div w:id="1973900907">
      <w:bodyDiv w:val="1"/>
      <w:marLeft w:val="0"/>
      <w:marRight w:val="0"/>
      <w:marTop w:val="0"/>
      <w:marBottom w:val="0"/>
      <w:divBdr>
        <w:top w:val="none" w:sz="0" w:space="0" w:color="auto"/>
        <w:left w:val="none" w:sz="0" w:space="0" w:color="auto"/>
        <w:bottom w:val="none" w:sz="0" w:space="0" w:color="auto"/>
        <w:right w:val="none" w:sz="0" w:space="0" w:color="auto"/>
      </w:divBdr>
    </w:div>
    <w:div w:id="1982423410">
      <w:bodyDiv w:val="1"/>
      <w:marLeft w:val="0"/>
      <w:marRight w:val="0"/>
      <w:marTop w:val="0"/>
      <w:marBottom w:val="0"/>
      <w:divBdr>
        <w:top w:val="none" w:sz="0" w:space="0" w:color="auto"/>
        <w:left w:val="none" w:sz="0" w:space="0" w:color="auto"/>
        <w:bottom w:val="none" w:sz="0" w:space="0" w:color="auto"/>
        <w:right w:val="none" w:sz="0" w:space="0" w:color="auto"/>
      </w:divBdr>
    </w:div>
    <w:div w:id="1986667378">
      <w:bodyDiv w:val="1"/>
      <w:marLeft w:val="0"/>
      <w:marRight w:val="0"/>
      <w:marTop w:val="0"/>
      <w:marBottom w:val="0"/>
      <w:divBdr>
        <w:top w:val="none" w:sz="0" w:space="0" w:color="auto"/>
        <w:left w:val="none" w:sz="0" w:space="0" w:color="auto"/>
        <w:bottom w:val="none" w:sz="0" w:space="0" w:color="auto"/>
        <w:right w:val="none" w:sz="0" w:space="0" w:color="auto"/>
      </w:divBdr>
    </w:div>
    <w:div w:id="1991785222">
      <w:bodyDiv w:val="1"/>
      <w:marLeft w:val="0"/>
      <w:marRight w:val="0"/>
      <w:marTop w:val="0"/>
      <w:marBottom w:val="0"/>
      <w:divBdr>
        <w:top w:val="none" w:sz="0" w:space="0" w:color="auto"/>
        <w:left w:val="none" w:sz="0" w:space="0" w:color="auto"/>
        <w:bottom w:val="none" w:sz="0" w:space="0" w:color="auto"/>
        <w:right w:val="none" w:sz="0" w:space="0" w:color="auto"/>
      </w:divBdr>
    </w:div>
    <w:div w:id="1998880673">
      <w:bodyDiv w:val="1"/>
      <w:marLeft w:val="0"/>
      <w:marRight w:val="0"/>
      <w:marTop w:val="0"/>
      <w:marBottom w:val="0"/>
      <w:divBdr>
        <w:top w:val="none" w:sz="0" w:space="0" w:color="auto"/>
        <w:left w:val="none" w:sz="0" w:space="0" w:color="auto"/>
        <w:bottom w:val="none" w:sz="0" w:space="0" w:color="auto"/>
        <w:right w:val="none" w:sz="0" w:space="0" w:color="auto"/>
      </w:divBdr>
    </w:div>
    <w:div w:id="2003461938">
      <w:bodyDiv w:val="1"/>
      <w:marLeft w:val="0"/>
      <w:marRight w:val="0"/>
      <w:marTop w:val="0"/>
      <w:marBottom w:val="0"/>
      <w:divBdr>
        <w:top w:val="none" w:sz="0" w:space="0" w:color="auto"/>
        <w:left w:val="none" w:sz="0" w:space="0" w:color="auto"/>
        <w:bottom w:val="none" w:sz="0" w:space="0" w:color="auto"/>
        <w:right w:val="none" w:sz="0" w:space="0" w:color="auto"/>
      </w:divBdr>
    </w:div>
    <w:div w:id="2014869261">
      <w:bodyDiv w:val="1"/>
      <w:marLeft w:val="0"/>
      <w:marRight w:val="0"/>
      <w:marTop w:val="0"/>
      <w:marBottom w:val="0"/>
      <w:divBdr>
        <w:top w:val="none" w:sz="0" w:space="0" w:color="auto"/>
        <w:left w:val="none" w:sz="0" w:space="0" w:color="auto"/>
        <w:bottom w:val="none" w:sz="0" w:space="0" w:color="auto"/>
        <w:right w:val="none" w:sz="0" w:space="0" w:color="auto"/>
      </w:divBdr>
    </w:div>
    <w:div w:id="2015764567">
      <w:bodyDiv w:val="1"/>
      <w:marLeft w:val="0"/>
      <w:marRight w:val="0"/>
      <w:marTop w:val="0"/>
      <w:marBottom w:val="0"/>
      <w:divBdr>
        <w:top w:val="none" w:sz="0" w:space="0" w:color="auto"/>
        <w:left w:val="none" w:sz="0" w:space="0" w:color="auto"/>
        <w:bottom w:val="none" w:sz="0" w:space="0" w:color="auto"/>
        <w:right w:val="none" w:sz="0" w:space="0" w:color="auto"/>
      </w:divBdr>
    </w:div>
    <w:div w:id="2020159309">
      <w:bodyDiv w:val="1"/>
      <w:marLeft w:val="0"/>
      <w:marRight w:val="0"/>
      <w:marTop w:val="0"/>
      <w:marBottom w:val="0"/>
      <w:divBdr>
        <w:top w:val="none" w:sz="0" w:space="0" w:color="auto"/>
        <w:left w:val="none" w:sz="0" w:space="0" w:color="auto"/>
        <w:bottom w:val="none" w:sz="0" w:space="0" w:color="auto"/>
        <w:right w:val="none" w:sz="0" w:space="0" w:color="auto"/>
      </w:divBdr>
    </w:div>
    <w:div w:id="2023316545">
      <w:bodyDiv w:val="1"/>
      <w:marLeft w:val="0"/>
      <w:marRight w:val="0"/>
      <w:marTop w:val="0"/>
      <w:marBottom w:val="0"/>
      <w:divBdr>
        <w:top w:val="none" w:sz="0" w:space="0" w:color="auto"/>
        <w:left w:val="none" w:sz="0" w:space="0" w:color="auto"/>
        <w:bottom w:val="none" w:sz="0" w:space="0" w:color="auto"/>
        <w:right w:val="none" w:sz="0" w:space="0" w:color="auto"/>
      </w:divBdr>
    </w:div>
    <w:div w:id="2023586806">
      <w:bodyDiv w:val="1"/>
      <w:marLeft w:val="0"/>
      <w:marRight w:val="0"/>
      <w:marTop w:val="0"/>
      <w:marBottom w:val="0"/>
      <w:divBdr>
        <w:top w:val="none" w:sz="0" w:space="0" w:color="auto"/>
        <w:left w:val="none" w:sz="0" w:space="0" w:color="auto"/>
        <w:bottom w:val="none" w:sz="0" w:space="0" w:color="auto"/>
        <w:right w:val="none" w:sz="0" w:space="0" w:color="auto"/>
      </w:divBdr>
    </w:div>
    <w:div w:id="2027562662">
      <w:bodyDiv w:val="1"/>
      <w:marLeft w:val="0"/>
      <w:marRight w:val="0"/>
      <w:marTop w:val="0"/>
      <w:marBottom w:val="0"/>
      <w:divBdr>
        <w:top w:val="none" w:sz="0" w:space="0" w:color="auto"/>
        <w:left w:val="none" w:sz="0" w:space="0" w:color="auto"/>
        <w:bottom w:val="none" w:sz="0" w:space="0" w:color="auto"/>
        <w:right w:val="none" w:sz="0" w:space="0" w:color="auto"/>
      </w:divBdr>
    </w:div>
    <w:div w:id="2032340327">
      <w:bodyDiv w:val="1"/>
      <w:marLeft w:val="0"/>
      <w:marRight w:val="0"/>
      <w:marTop w:val="0"/>
      <w:marBottom w:val="0"/>
      <w:divBdr>
        <w:top w:val="none" w:sz="0" w:space="0" w:color="auto"/>
        <w:left w:val="none" w:sz="0" w:space="0" w:color="auto"/>
        <w:bottom w:val="none" w:sz="0" w:space="0" w:color="auto"/>
        <w:right w:val="none" w:sz="0" w:space="0" w:color="auto"/>
      </w:divBdr>
    </w:div>
    <w:div w:id="2034070005">
      <w:bodyDiv w:val="1"/>
      <w:marLeft w:val="0"/>
      <w:marRight w:val="0"/>
      <w:marTop w:val="0"/>
      <w:marBottom w:val="0"/>
      <w:divBdr>
        <w:top w:val="none" w:sz="0" w:space="0" w:color="auto"/>
        <w:left w:val="none" w:sz="0" w:space="0" w:color="auto"/>
        <w:bottom w:val="none" w:sz="0" w:space="0" w:color="auto"/>
        <w:right w:val="none" w:sz="0" w:space="0" w:color="auto"/>
      </w:divBdr>
    </w:div>
    <w:div w:id="2038965214">
      <w:bodyDiv w:val="1"/>
      <w:marLeft w:val="0"/>
      <w:marRight w:val="0"/>
      <w:marTop w:val="0"/>
      <w:marBottom w:val="0"/>
      <w:divBdr>
        <w:top w:val="none" w:sz="0" w:space="0" w:color="auto"/>
        <w:left w:val="none" w:sz="0" w:space="0" w:color="auto"/>
        <w:bottom w:val="none" w:sz="0" w:space="0" w:color="auto"/>
        <w:right w:val="none" w:sz="0" w:space="0" w:color="auto"/>
      </w:divBdr>
    </w:div>
    <w:div w:id="2047438779">
      <w:bodyDiv w:val="1"/>
      <w:marLeft w:val="0"/>
      <w:marRight w:val="0"/>
      <w:marTop w:val="0"/>
      <w:marBottom w:val="0"/>
      <w:divBdr>
        <w:top w:val="none" w:sz="0" w:space="0" w:color="auto"/>
        <w:left w:val="none" w:sz="0" w:space="0" w:color="auto"/>
        <w:bottom w:val="none" w:sz="0" w:space="0" w:color="auto"/>
        <w:right w:val="none" w:sz="0" w:space="0" w:color="auto"/>
      </w:divBdr>
    </w:div>
    <w:div w:id="2052607710">
      <w:bodyDiv w:val="1"/>
      <w:marLeft w:val="0"/>
      <w:marRight w:val="0"/>
      <w:marTop w:val="0"/>
      <w:marBottom w:val="0"/>
      <w:divBdr>
        <w:top w:val="none" w:sz="0" w:space="0" w:color="auto"/>
        <w:left w:val="none" w:sz="0" w:space="0" w:color="auto"/>
        <w:bottom w:val="none" w:sz="0" w:space="0" w:color="auto"/>
        <w:right w:val="none" w:sz="0" w:space="0" w:color="auto"/>
      </w:divBdr>
    </w:div>
    <w:div w:id="2057699733">
      <w:bodyDiv w:val="1"/>
      <w:marLeft w:val="0"/>
      <w:marRight w:val="0"/>
      <w:marTop w:val="0"/>
      <w:marBottom w:val="0"/>
      <w:divBdr>
        <w:top w:val="none" w:sz="0" w:space="0" w:color="auto"/>
        <w:left w:val="none" w:sz="0" w:space="0" w:color="auto"/>
        <w:bottom w:val="none" w:sz="0" w:space="0" w:color="auto"/>
        <w:right w:val="none" w:sz="0" w:space="0" w:color="auto"/>
      </w:divBdr>
    </w:div>
    <w:div w:id="2057852473">
      <w:bodyDiv w:val="1"/>
      <w:marLeft w:val="0"/>
      <w:marRight w:val="0"/>
      <w:marTop w:val="0"/>
      <w:marBottom w:val="0"/>
      <w:divBdr>
        <w:top w:val="none" w:sz="0" w:space="0" w:color="auto"/>
        <w:left w:val="none" w:sz="0" w:space="0" w:color="auto"/>
        <w:bottom w:val="none" w:sz="0" w:space="0" w:color="auto"/>
        <w:right w:val="none" w:sz="0" w:space="0" w:color="auto"/>
      </w:divBdr>
    </w:div>
    <w:div w:id="2061896494">
      <w:bodyDiv w:val="1"/>
      <w:marLeft w:val="0"/>
      <w:marRight w:val="0"/>
      <w:marTop w:val="0"/>
      <w:marBottom w:val="0"/>
      <w:divBdr>
        <w:top w:val="none" w:sz="0" w:space="0" w:color="auto"/>
        <w:left w:val="none" w:sz="0" w:space="0" w:color="auto"/>
        <w:bottom w:val="none" w:sz="0" w:space="0" w:color="auto"/>
        <w:right w:val="none" w:sz="0" w:space="0" w:color="auto"/>
      </w:divBdr>
    </w:div>
    <w:div w:id="2062754355">
      <w:bodyDiv w:val="1"/>
      <w:marLeft w:val="0"/>
      <w:marRight w:val="0"/>
      <w:marTop w:val="0"/>
      <w:marBottom w:val="0"/>
      <w:divBdr>
        <w:top w:val="none" w:sz="0" w:space="0" w:color="auto"/>
        <w:left w:val="none" w:sz="0" w:space="0" w:color="auto"/>
        <w:bottom w:val="none" w:sz="0" w:space="0" w:color="auto"/>
        <w:right w:val="none" w:sz="0" w:space="0" w:color="auto"/>
      </w:divBdr>
    </w:div>
    <w:div w:id="2066250049">
      <w:bodyDiv w:val="1"/>
      <w:marLeft w:val="0"/>
      <w:marRight w:val="0"/>
      <w:marTop w:val="0"/>
      <w:marBottom w:val="0"/>
      <w:divBdr>
        <w:top w:val="none" w:sz="0" w:space="0" w:color="auto"/>
        <w:left w:val="none" w:sz="0" w:space="0" w:color="auto"/>
        <w:bottom w:val="none" w:sz="0" w:space="0" w:color="auto"/>
        <w:right w:val="none" w:sz="0" w:space="0" w:color="auto"/>
      </w:divBdr>
    </w:div>
    <w:div w:id="2067875606">
      <w:bodyDiv w:val="1"/>
      <w:marLeft w:val="0"/>
      <w:marRight w:val="0"/>
      <w:marTop w:val="0"/>
      <w:marBottom w:val="0"/>
      <w:divBdr>
        <w:top w:val="none" w:sz="0" w:space="0" w:color="auto"/>
        <w:left w:val="none" w:sz="0" w:space="0" w:color="auto"/>
        <w:bottom w:val="none" w:sz="0" w:space="0" w:color="auto"/>
        <w:right w:val="none" w:sz="0" w:space="0" w:color="auto"/>
      </w:divBdr>
    </w:div>
    <w:div w:id="2075198380">
      <w:bodyDiv w:val="1"/>
      <w:marLeft w:val="0"/>
      <w:marRight w:val="0"/>
      <w:marTop w:val="0"/>
      <w:marBottom w:val="0"/>
      <w:divBdr>
        <w:top w:val="none" w:sz="0" w:space="0" w:color="auto"/>
        <w:left w:val="none" w:sz="0" w:space="0" w:color="auto"/>
        <w:bottom w:val="none" w:sz="0" w:space="0" w:color="auto"/>
        <w:right w:val="none" w:sz="0" w:space="0" w:color="auto"/>
      </w:divBdr>
    </w:div>
    <w:div w:id="2076929713">
      <w:bodyDiv w:val="1"/>
      <w:marLeft w:val="0"/>
      <w:marRight w:val="0"/>
      <w:marTop w:val="0"/>
      <w:marBottom w:val="0"/>
      <w:divBdr>
        <w:top w:val="none" w:sz="0" w:space="0" w:color="auto"/>
        <w:left w:val="none" w:sz="0" w:space="0" w:color="auto"/>
        <w:bottom w:val="none" w:sz="0" w:space="0" w:color="auto"/>
        <w:right w:val="none" w:sz="0" w:space="0" w:color="auto"/>
      </w:divBdr>
    </w:div>
    <w:div w:id="2083942991">
      <w:bodyDiv w:val="1"/>
      <w:marLeft w:val="0"/>
      <w:marRight w:val="0"/>
      <w:marTop w:val="0"/>
      <w:marBottom w:val="0"/>
      <w:divBdr>
        <w:top w:val="none" w:sz="0" w:space="0" w:color="auto"/>
        <w:left w:val="none" w:sz="0" w:space="0" w:color="auto"/>
        <w:bottom w:val="none" w:sz="0" w:space="0" w:color="auto"/>
        <w:right w:val="none" w:sz="0" w:space="0" w:color="auto"/>
      </w:divBdr>
    </w:div>
    <w:div w:id="2092504972">
      <w:bodyDiv w:val="1"/>
      <w:marLeft w:val="0"/>
      <w:marRight w:val="0"/>
      <w:marTop w:val="0"/>
      <w:marBottom w:val="0"/>
      <w:divBdr>
        <w:top w:val="none" w:sz="0" w:space="0" w:color="auto"/>
        <w:left w:val="none" w:sz="0" w:space="0" w:color="auto"/>
        <w:bottom w:val="none" w:sz="0" w:space="0" w:color="auto"/>
        <w:right w:val="none" w:sz="0" w:space="0" w:color="auto"/>
      </w:divBdr>
    </w:div>
    <w:div w:id="2095079132">
      <w:bodyDiv w:val="1"/>
      <w:marLeft w:val="0"/>
      <w:marRight w:val="0"/>
      <w:marTop w:val="0"/>
      <w:marBottom w:val="0"/>
      <w:divBdr>
        <w:top w:val="none" w:sz="0" w:space="0" w:color="auto"/>
        <w:left w:val="none" w:sz="0" w:space="0" w:color="auto"/>
        <w:bottom w:val="none" w:sz="0" w:space="0" w:color="auto"/>
        <w:right w:val="none" w:sz="0" w:space="0" w:color="auto"/>
      </w:divBdr>
    </w:div>
    <w:div w:id="2097631316">
      <w:bodyDiv w:val="1"/>
      <w:marLeft w:val="0"/>
      <w:marRight w:val="0"/>
      <w:marTop w:val="0"/>
      <w:marBottom w:val="0"/>
      <w:divBdr>
        <w:top w:val="none" w:sz="0" w:space="0" w:color="auto"/>
        <w:left w:val="none" w:sz="0" w:space="0" w:color="auto"/>
        <w:bottom w:val="none" w:sz="0" w:space="0" w:color="auto"/>
        <w:right w:val="none" w:sz="0" w:space="0" w:color="auto"/>
      </w:divBdr>
    </w:div>
    <w:div w:id="2104034335">
      <w:bodyDiv w:val="1"/>
      <w:marLeft w:val="0"/>
      <w:marRight w:val="0"/>
      <w:marTop w:val="0"/>
      <w:marBottom w:val="0"/>
      <w:divBdr>
        <w:top w:val="none" w:sz="0" w:space="0" w:color="auto"/>
        <w:left w:val="none" w:sz="0" w:space="0" w:color="auto"/>
        <w:bottom w:val="none" w:sz="0" w:space="0" w:color="auto"/>
        <w:right w:val="none" w:sz="0" w:space="0" w:color="auto"/>
      </w:divBdr>
    </w:div>
    <w:div w:id="2108891701">
      <w:bodyDiv w:val="1"/>
      <w:marLeft w:val="0"/>
      <w:marRight w:val="0"/>
      <w:marTop w:val="0"/>
      <w:marBottom w:val="0"/>
      <w:divBdr>
        <w:top w:val="none" w:sz="0" w:space="0" w:color="auto"/>
        <w:left w:val="none" w:sz="0" w:space="0" w:color="auto"/>
        <w:bottom w:val="none" w:sz="0" w:space="0" w:color="auto"/>
        <w:right w:val="none" w:sz="0" w:space="0" w:color="auto"/>
      </w:divBdr>
    </w:div>
    <w:div w:id="2117626855">
      <w:bodyDiv w:val="1"/>
      <w:marLeft w:val="0"/>
      <w:marRight w:val="0"/>
      <w:marTop w:val="0"/>
      <w:marBottom w:val="0"/>
      <w:divBdr>
        <w:top w:val="none" w:sz="0" w:space="0" w:color="auto"/>
        <w:left w:val="none" w:sz="0" w:space="0" w:color="auto"/>
        <w:bottom w:val="none" w:sz="0" w:space="0" w:color="auto"/>
        <w:right w:val="none" w:sz="0" w:space="0" w:color="auto"/>
      </w:divBdr>
    </w:div>
    <w:div w:id="2120221424">
      <w:bodyDiv w:val="1"/>
      <w:marLeft w:val="0"/>
      <w:marRight w:val="0"/>
      <w:marTop w:val="0"/>
      <w:marBottom w:val="0"/>
      <w:divBdr>
        <w:top w:val="none" w:sz="0" w:space="0" w:color="auto"/>
        <w:left w:val="none" w:sz="0" w:space="0" w:color="auto"/>
        <w:bottom w:val="none" w:sz="0" w:space="0" w:color="auto"/>
        <w:right w:val="none" w:sz="0" w:space="0" w:color="auto"/>
      </w:divBdr>
    </w:div>
    <w:div w:id="2121100893">
      <w:bodyDiv w:val="1"/>
      <w:marLeft w:val="0"/>
      <w:marRight w:val="0"/>
      <w:marTop w:val="0"/>
      <w:marBottom w:val="0"/>
      <w:divBdr>
        <w:top w:val="none" w:sz="0" w:space="0" w:color="auto"/>
        <w:left w:val="none" w:sz="0" w:space="0" w:color="auto"/>
        <w:bottom w:val="none" w:sz="0" w:space="0" w:color="auto"/>
        <w:right w:val="none" w:sz="0" w:space="0" w:color="auto"/>
      </w:divBdr>
    </w:div>
    <w:div w:id="2122648516">
      <w:bodyDiv w:val="1"/>
      <w:marLeft w:val="0"/>
      <w:marRight w:val="0"/>
      <w:marTop w:val="0"/>
      <w:marBottom w:val="0"/>
      <w:divBdr>
        <w:top w:val="none" w:sz="0" w:space="0" w:color="auto"/>
        <w:left w:val="none" w:sz="0" w:space="0" w:color="auto"/>
        <w:bottom w:val="none" w:sz="0" w:space="0" w:color="auto"/>
        <w:right w:val="none" w:sz="0" w:space="0" w:color="auto"/>
      </w:divBdr>
    </w:div>
    <w:div w:id="2126074245">
      <w:bodyDiv w:val="1"/>
      <w:marLeft w:val="0"/>
      <w:marRight w:val="0"/>
      <w:marTop w:val="0"/>
      <w:marBottom w:val="0"/>
      <w:divBdr>
        <w:top w:val="none" w:sz="0" w:space="0" w:color="auto"/>
        <w:left w:val="none" w:sz="0" w:space="0" w:color="auto"/>
        <w:bottom w:val="none" w:sz="0" w:space="0" w:color="auto"/>
        <w:right w:val="none" w:sz="0" w:space="0" w:color="auto"/>
      </w:divBdr>
    </w:div>
    <w:div w:id="2131433629">
      <w:bodyDiv w:val="1"/>
      <w:marLeft w:val="0"/>
      <w:marRight w:val="0"/>
      <w:marTop w:val="0"/>
      <w:marBottom w:val="0"/>
      <w:divBdr>
        <w:top w:val="none" w:sz="0" w:space="0" w:color="auto"/>
        <w:left w:val="none" w:sz="0" w:space="0" w:color="auto"/>
        <w:bottom w:val="none" w:sz="0" w:space="0" w:color="auto"/>
        <w:right w:val="none" w:sz="0" w:space="0" w:color="auto"/>
      </w:divBdr>
    </w:div>
    <w:div w:id="2131974488">
      <w:bodyDiv w:val="1"/>
      <w:marLeft w:val="0"/>
      <w:marRight w:val="0"/>
      <w:marTop w:val="0"/>
      <w:marBottom w:val="0"/>
      <w:divBdr>
        <w:top w:val="none" w:sz="0" w:space="0" w:color="auto"/>
        <w:left w:val="none" w:sz="0" w:space="0" w:color="auto"/>
        <w:bottom w:val="none" w:sz="0" w:space="0" w:color="auto"/>
        <w:right w:val="none" w:sz="0" w:space="0" w:color="auto"/>
      </w:divBdr>
    </w:div>
    <w:div w:id="2133740905">
      <w:bodyDiv w:val="1"/>
      <w:marLeft w:val="0"/>
      <w:marRight w:val="0"/>
      <w:marTop w:val="0"/>
      <w:marBottom w:val="0"/>
      <w:divBdr>
        <w:top w:val="none" w:sz="0" w:space="0" w:color="auto"/>
        <w:left w:val="none" w:sz="0" w:space="0" w:color="auto"/>
        <w:bottom w:val="none" w:sz="0" w:space="0" w:color="auto"/>
        <w:right w:val="none" w:sz="0" w:space="0" w:color="auto"/>
      </w:divBdr>
    </w:div>
    <w:div w:id="213401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6350</TotalTime>
  <Pages>12</Pages>
  <Words>3517</Words>
  <Characters>20053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Veverka</dc:creator>
  <cp:keywords/>
  <dc:description/>
  <cp:lastModifiedBy>Samuel Veverka</cp:lastModifiedBy>
  <cp:revision>21</cp:revision>
  <dcterms:created xsi:type="dcterms:W3CDTF">2017-05-07T16:28:00Z</dcterms:created>
  <dcterms:modified xsi:type="dcterms:W3CDTF">2017-05-16T23:48:00Z</dcterms:modified>
</cp:coreProperties>
</file>