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TÁMARA ANZURES BONILLA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