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PK(StdNo), VARCHAR StdName, VARCHAR StdAddress, VARCHAR StdCity, VARCHAR StdState, VARCHAR StdZip, VARCHAR StdEmail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Loan: PK(LoanNo), FK(StdNo), FK(LenderNo), FK(InstID), DATE ProcDate, VARCHAR DisbMethod, VARCHAR DisbBank, DATE DateAuth, REAL NoteValue, VARCHAR Subsidized, REAL Rate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Institution: PK(InstID), VARCHAR InstName, VARCHAR InstMascot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Lender: PK(LenderNo), VARCHAR LendName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DisburseLine: PK(DateSent), FK(StdNo), REAL Amount, REAL OrigFee, REAL GuarFee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 in DisburseLine are NOT NULL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DisburseLine could have a PK of StdNo and LoanNo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Account (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Accid INT,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AcctName VARCHAR(40),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Balance REAL,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Decomposed INT,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PK_Accid PRIMARY KEY (Accid),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FK_Decomp FOREIGN KEY (Decomposed) REFERENCES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(Accid) ON DELETE CASCADE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Owner: PK(OwnId), VARCHAR OwnName, VARCHAR OwnPhone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OwnedProp: PK(FK(OwnId), FK(PropId)) NOT NULL, DATE StartWeek, DATE EndWeek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Property: PK(PropId), VARCHAR BIdgName, CARCHAR UnitNo, INT Bdrms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