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2F3F5"/>
  <w:body>
    <w:p>
      <w:pPr>
        <w:spacing w:after="600" w:before="2400"/>
      </w:pPr>
      <w:r>
        <w:drawing>
          <wp:inline distT="0" distB="0" distL="0" distR="0">
            <wp:extent cx="49530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7080B"/>
          <w:sz w:val="64"/>
          <w:szCs w:val="64"/>
        </w:rPr>
        <w:t xml:space="preserve">Identidade visual</w:t>
      </w:r>
    </w:p>
    <w:p>
      <w:pPr>
        <w:spacing w:after="140" w:line="300"/>
      </w:pPr>
      <w:r>
        <w:rPr>
          <w:color w:val="606671"/>
          <w:sz w:val="21"/>
          <w:szCs w:val="21"/>
        </w:rPr>
        <w:t xml:space="preserve">Versão 2, setembro de 2026</w:t>
      </w:r>
    </w:p>
    <w:p>
      <w:pPr>
        <w:spacing w:after="140" w:line="300"/>
      </w:pPr>
      <w:r>
        <w:rPr>
          <w:color w:val="606671"/>
          <w:sz w:val="18"/>
          <w:szCs w:val="18"/>
        </w:rPr>
        <w:t xml:space="preserve">Este documento tem o mesmo conteúdo do PDF de identidade visual, em formato editável. As cores de texto sobre fundo claro seguem a tabela de contraste da seção Cor.</w:t>
      </w:r>
    </w:p>
    <w:p>
      <w:pPr>
        <w:pStyle w:val="Heading1"/>
        <w:pageBreakBefore/>
      </w:pPr>
      <w:r>
        <w:t xml:space="preserve">A marca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A DETERA é uma empresa de soluções web de Goiânia. Faz sites, campanhas de crescimento, sistemas sob medida e a infraestrutura que mantém tudo isso no ar, para pequenas e médias empresas de todo o Brasil.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 nome vem de DETERMINAÇÃO. A inspiração é Undertale (Toby Fox, 2015), o jogo em que a determinação é a força que mantém de pé o coração vermelho de quem joga. A DETERA leva essa ideia para o trabalho: um projeto só está bom quando aguenta a próxima mudança do negócio sem precisar recomeçar.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A referência ao jogo aparece na lógica da marca e nunca em material de terceiros. A DETERA não usa sprites, fontes, músicas, sons nem falas de Undertale.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Slogan</w:t>
      </w:r>
    </w:p>
    <w:p>
      <w:pPr>
        <w:spacing w:after="140" w:line="300"/>
      </w:pPr>
      <w:r>
        <w:rPr>
          <w:b/>
          <w:bCs/>
          <w:color w:val="07080B"/>
          <w:sz w:val="30"/>
          <w:szCs w:val="30"/>
        </w:rPr>
        <w:t xml:space="preserve">Transformando ideias em personalidade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Assinatura de linha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Tecnologia, estratégia e crescimento digital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As quatro frentes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Presença digital. </w:t>
      </w:r>
      <w:r>
        <w:rPr>
          <w:color w:val="07080B"/>
          <w:sz w:val="21"/>
          <w:szCs w:val="21"/>
        </w:rPr>
        <w:t xml:space="preserve">Um site que trabalha enquanto você trabalha.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Crescimento. </w:t>
      </w:r>
      <w:r>
        <w:rPr>
          <w:color w:val="07080B"/>
          <w:sz w:val="21"/>
          <w:szCs w:val="21"/>
        </w:rPr>
        <w:t xml:space="preserve">Atenção que não vira oportunidade é só custo.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Tecnologia. </w:t>
      </w:r>
      <w:r>
        <w:rPr>
          <w:color w:val="07080B"/>
          <w:sz w:val="21"/>
          <w:szCs w:val="21"/>
        </w:rPr>
        <w:t xml:space="preserve">Tecnologia serve para tirar trabalho da frente.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Infraestrutura. </w:t>
      </w:r>
      <w:r>
        <w:rPr>
          <w:color w:val="07080B"/>
          <w:sz w:val="21"/>
          <w:szCs w:val="21"/>
        </w:rPr>
        <w:t xml:space="preserve">O lançamento é o começo do que importa.</w:t>
      </w:r>
    </w:p>
    <w:p>
      <w:pPr>
        <w:pStyle w:val="Heading1"/>
        <w:pageBreakBefore/>
      </w:pPr>
      <w:r>
        <w:t xml:space="preserve">Personalidade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Exata. </w:t>
      </w:r>
      <w:r>
        <w:rPr>
          <w:color w:val="07080B"/>
          <w:sz w:val="21"/>
          <w:szCs w:val="21"/>
        </w:rPr>
        <w:t xml:space="preserve">Faz o que diz e mede o que mostra. Número só entra se foi medido e tem fonte.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Persistente. </w:t>
      </w:r>
      <w:r>
        <w:rPr>
          <w:color w:val="07080B"/>
          <w:sz w:val="21"/>
          <w:szCs w:val="21"/>
        </w:rPr>
        <w:t xml:space="preserve">Fica depois do lançamento. O projeto continua sendo cuidado quando o site já está no 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Lúdica. </w:t>
      </w:r>
      <w:r>
        <w:rPr>
          <w:color w:val="07080B"/>
          <w:sz w:val="21"/>
          <w:szCs w:val="21"/>
        </w:rPr>
        <w:t xml:space="preserve">Tem senso de jogo: um coração que é cursor, texto que é fala, pontos que salvam o progresso.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Princípios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Cor com significado. Vermelho é ação e núcleo; azul é o que sustenta.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Tudo em pixel. A marca encaixa na grade e anda em degraus.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Contenção. Uma coisa memorável por tela, o resto quieto.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Verdade. Nenhum cliente, métrica ou depoimento inventado.</w:t>
      </w:r>
    </w:p>
    <w:p>
      <w:pPr>
        <w:pStyle w:val="Heading1"/>
        <w:pageBreakBefore/>
      </w:pPr>
      <w:r>
        <w:t xml:space="preserve">Logo</w:t>
      </w:r>
    </w:p>
    <w:p>
      <w:pPr>
        <w:pStyle w:val="Heading2"/>
      </w:pPr>
      <w:r>
        <w:t xml:space="preserve">O símbolo</w:t>
      </w:r>
    </w:p>
    <w:p>
      <w:pPr>
        <w:spacing w:after="200"/>
      </w:pPr>
      <w:r>
        <w:drawing>
          <wp:inline distT="0" distB="0" distL="0" distR="0">
            <wp:extent cx="914400" cy="114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 símbolo é um coração de placas partido ao meio por uma linha de energia. Dentro do coração a linha vira núcleo, uma cruz escalonada; fora dele, vira traço pontilhado, um pulso que continua além da própria forma. A metade direita é a esquerda espelhada, para a simetria ser exata.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Anatomia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Placas. </w:t>
      </w:r>
      <w:r>
        <w:rPr>
          <w:color w:val="07080B"/>
          <w:sz w:val="21"/>
          <w:szCs w:val="21"/>
        </w:rPr>
        <w:t xml:space="preserve">As duas metades do coração, com chanfros de 45°.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Linha de energia. </w:t>
      </w:r>
      <w:r>
        <w:rPr>
          <w:color w:val="07080B"/>
          <w:sz w:val="21"/>
          <w:szCs w:val="21"/>
        </w:rPr>
        <w:t xml:space="preserve">Atravessa o coração de cima a baixo, em vermelho.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Núcleo. </w:t>
      </w:r>
      <w:r>
        <w:rPr>
          <w:color w:val="07080B"/>
          <w:sz w:val="21"/>
          <w:szCs w:val="21"/>
        </w:rPr>
        <w:t xml:space="preserve">Cruz escalonada no centro. É o que acende.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Traços. </w:t>
      </w:r>
      <w:r>
        <w:rPr>
          <w:color w:val="07080B"/>
          <w:sz w:val="21"/>
          <w:szCs w:val="21"/>
        </w:rPr>
        <w:t xml:space="preserve">Quatro segmentos que continuam a linha fora do coração.</w:t>
      </w:r>
    </w:p>
    <w:p>
      <w:pPr>
        <w:pStyle w:val="Heading2"/>
      </w:pPr>
      <w:r>
        <w:t xml:space="preserve">O letreiro e as assinaturas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 nome é desenhado, sem fonte: seis letras traçadas à mão, com chanfro de 45° nos terminais, proporção larga e o A de topo reto. Sempre com A latino (U+0041). O A cirílico (U+0410) parece igual e quebra busca, leitor de tela e copiar e colar.</w:t>
      </w:r>
    </w:p>
    <w:p>
      <w:pPr>
        <w:spacing w:after="80"/>
      </w:pPr>
      <w:r>
        <w:drawing>
          <wp:inline distT="0" distB="0" distL="0" distR="0">
            <wp:extent cx="3810000" cy="1076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Letreiro de apresentação. O nome com o coração embaixo do A. Uso do hero e das capas.</w:t>
      </w:r>
    </w:p>
    <w:p>
      <w:pPr>
        <w:spacing w:after="80"/>
      </w:pPr>
      <w:r>
        <w:drawing>
          <wp:inline distT="0" distB="0" distL="0" distR="0">
            <wp:extent cx="3619500" cy="962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Assinatura horizontal. O símbolo ao lado do nome, com 2,14 vezes a altura das letras. Uso de rodapé e documentos.</w:t>
      </w:r>
    </w:p>
    <w:p>
      <w:pPr>
        <w:spacing w:after="80"/>
      </w:pPr>
      <w:r>
        <w:drawing>
          <wp:inline distT="0" distB="0" distL="0" distR="0">
            <wp:extent cx="609600" cy="762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Símbolo. Sozinho no cabeçalho, no favicon e em avatares.</w:t>
      </w:r>
    </w:p>
    <w:p>
      <w:pPr>
        <w:pStyle w:val="Heading2"/>
      </w:pPr>
      <w:r>
        <w:t xml:space="preserve">Construção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Grade de 32 por 40 unidades, com centro em x = 16. A linha de energia ocupa de x 15,35 a 16,65 e vai de y 6,6 a 33,2; os quatro traços continuam a linha acima e abaixo. As placas ocupam de y 11,4 a 29,8. Toda a geometria vive num arquivo só (marca-paths.ts), usado pelo site, pelo favicon e pela imagem de compartilhamento.</w:t>
      </w:r>
    </w:p>
    <w:p>
      <w:pPr>
        <w:pStyle w:val="Heading2"/>
      </w:pPr>
      <w:r>
        <w:t xml:space="preserve">Área de respiro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Área de respiro mínima em volta do símbolo e da assinatura: a largura de uma placa, um terço da largura do símbolo. Nada de texto, borda ou imagem dentro dela.</w:t>
      </w:r>
    </w:p>
    <w:p>
      <w:pPr>
        <w:pStyle w:val="Heading2"/>
      </w:pPr>
      <w:r>
        <w:t xml:space="preserve">Tamanhos mínimos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Símbolo: mínimo de 24 px de altura em tela e 8 mm impresso. Abaixo disso, a versão sem traços, como no favicon de 32 px.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Letreiro: letras com no mínimo 11 px de altura em tela e 3 mm impresso.</w:t>
      </w:r>
    </w:p>
    <w:p>
      <w:pPr>
        <w:pStyle w:val="Heading1"/>
        <w:pageBreakBefore/>
      </w:pPr>
      <w:r>
        <w:t xml:space="preserve">Versões e usos</w:t>
      </w:r>
    </w:p>
    <w:p>
      <w:pPr>
        <w:spacing w:after="60"/>
      </w:pPr>
      <w:r>
        <w:drawing>
          <wp:inline distT="0" distB="0" distL="0" distR="0">
            <wp:extent cx="2857500" cy="10858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Sobre escuro. A versão principal. Placas claras e energia vermelha sobre o vazio.</w:t>
      </w:r>
    </w:p>
    <w:p>
      <w:pPr>
        <w:spacing w:after="60"/>
      </w:pPr>
      <w:r>
        <w:drawing>
          <wp:inline distT="0" distB="0" distL="0" distR="0">
            <wp:extent cx="2857500" cy="10858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Sobre claro. Placas em vazio e energia vermelha sobre o cinza-claro da marca.</w:t>
      </w:r>
    </w:p>
    <w:p>
      <w:pPr>
        <w:spacing w:after="60"/>
      </w:pPr>
      <w:r>
        <w:drawing>
          <wp:inline distT="0" distB="0" distL="0" distR="0">
            <wp:extent cx="2857500" cy="10858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Monocromática clara. Uma cor só, para gravação e fundos onde o vermelho não é possível.</w:t>
      </w:r>
    </w:p>
    <w:p>
      <w:pPr>
        <w:spacing w:after="60"/>
      </w:pPr>
      <w:r>
        <w:drawing>
          <wp:inline distT="0" distB="0" distL="0" distR="0">
            <wp:extent cx="2857500" cy="1085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Monocromática escura. Uma cor só, para carimbo, papel e impressão em uma cor.</w:t>
      </w:r>
    </w:p>
    <w:p>
      <w:pPr>
        <w:pStyle w:val="Heading2"/>
      </w:pPr>
      <w:r>
        <w:t xml:space="preserve">Usos errados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Mudar a cor da linha de energia ou do núcleo.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Separar, girar ou distorcer as metades do coração.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Aplicar brilho, sombra, contorno neon ou gradiente.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Recriar o nome com uma fonte.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Trocar o A latino pelo cirílico.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Errado: </w:t>
      </w:r>
      <w:r>
        <w:rPr>
          <w:color w:val="07080B"/>
          <w:sz w:val="21"/>
          <w:szCs w:val="21"/>
        </w:rPr>
        <w:t xml:space="preserve">Colocar sobre foto sem área de respiro e sem contraste.</w:t>
      </w:r>
    </w:p>
    <w:p>
      <w:pPr>
        <w:pStyle w:val="Heading1"/>
        <w:pageBreakBefore/>
      </w:pPr>
      <w:r>
        <w:t xml:space="preserve">Cor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Os dois acentos têm significado fixo e nunca são decorativos. O vermelho marca o que age: o botão principal, o núcleo, a alma, o estado ativo. O azul aparece só onde a mensagem é sustentação: a frente de Infraestrutura, dados, continuidade.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Proporção: fundo escuro na maior parte, texto claro, vermelho em pontos e azul mais raro que o vermelho.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Superfícies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400"/>
        <w:gridCol w:w="5038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Hex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07080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vazio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#07080B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Fundo principal. Preto com desvio de azul.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0e101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camada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#0E1015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Seções de leitura.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16192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camada-alta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#161920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Campos, cartões, tela desligada.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2326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borda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#23262E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Filetes decorativos.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363b4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borda-viva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#363B45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Nós e bordas de destaque.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60667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contorno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#606671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Borda de componente; texto secundário sobre claro.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Texto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400"/>
        <w:gridCol w:w="5038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Hex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f2f3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#F2F3F5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 principal; fundo das peças claras.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9ba1a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texto-suave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#9BA1AC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 de apoio.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7c828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texto-fraco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#7C828E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Legendas e texto terciário.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Determinação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400"/>
        <w:gridCol w:w="5038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Hex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ff3b3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determinacao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#FF3B3B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Ação, núcleo, alma, estado ativo.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ff6b6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determinacao-viva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#FF6B6B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Vermelho em texto sobre escuro.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3d0f1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determinacao-funda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#3D0F14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Fundo de alerta, uso raro.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400"/>
        <w:gridCol w:w="5038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Hex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4c7d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sistema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#4C7DFF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Infraestrutura, dado, o que sustenta.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7ca0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sistema-viva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#7CA0FF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Azul em texto sobre escuro.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10203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sistema-funda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#10203F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Fundo técnico, uso raro.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Cores para texto sobre fundo claro (#F2F3F5)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38"/>
        <w:gridCol w:w="2000"/>
        <w:gridCol w:w="25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Cor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Uso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Hex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Contraste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07080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 sobre claro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#07080B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18,04:1, AA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60667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secundário sobre claro (contorno)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#606671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5,20:1, AA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df021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vermelho sobre claro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#DF021D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4,54:1, AA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shd w:fill="3865e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azul sobre claro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#3865E5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4,55:1, AA</w:t>
            </w:r>
          </w:p>
        </w:tc>
      </w:tr>
    </w:tbl>
    <w:p>
      <w:pPr>
        <w:pStyle w:val="Heading1"/>
        <w:pageBreakBefore/>
      </w:pPr>
      <w:r>
        <w:t xml:space="preserve">Contraste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Todo par de texto e fundo foi medido pela fórmula do WCAG 2.2. AA pede 4,5:1 para texto normal, 3:1 para texto grande (a partir de 24 px, ou 18,66 px em negrito) e 3:1 para a borda de componentes interativos.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133"/>
        <w:gridCol w:w="2133"/>
        <w:gridCol w:w="2134"/>
      </w:tblGrid>
      <w:tr>
        <w:trPr>
          <w:tblHeader/>
        </w:trP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Texto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vazio #07080b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camada #0e1015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camada-alta #161920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 #f2f3f5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18,04:1,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17,14:1,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15,84:1,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texto-suave #9ba1ac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7,71:1,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7,33:1,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6,77:1,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texto-fraco #7c828e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5,19:1,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4,93:1,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4,56:1,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determinação #ff3b3b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5,67:1,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5,38:1,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4,98:1,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determinação-viva #ff6b6b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7,22:1,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6,86:1,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6,34:1,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sistema #4c7dff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5,42:1,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5,15:1,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4,76:1,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sistema-viva #7ca0ff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7,94:1,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7,55:1,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6,98:1, AA</w:t>
            </w:r>
          </w:p>
        </w:tc>
      </w:tr>
      <w:tr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contorno #606671 (borda)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3,47:1, AA</w:t>
            </w:r>
          </w:p>
        </w:tc>
        <w:tc>
          <w:tcPr>
            <w:tcW w:type="dxa" w:w="2133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3,29:1, AA</w:t>
            </w:r>
          </w:p>
        </w:tc>
        <w:tc>
          <w:tcPr>
            <w:tcW w:type="dxa" w:w="2134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3,05:1, AA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Correções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texto-fraco era #767c88 e dava 4,19 sobre camada-alta. Passou a #7c828e, o tom mais próximo que passa nos três fundos, mexendo só na luminosidade (OKLCH), com o mesmo matiz.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contorno era #5c626d e dava 2,87 sobre camada-alta, o fundo dos campos. Passou a #606671 pelo mesmo método.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Texto claro sobre vermelho dá 3,18: só em texto grande. O botão principal usa o vazio sobre o vermelho (5,67).</w:t>
      </w:r>
    </w:p>
    <w:p>
      <w:pPr>
        <w:pStyle w:val="Heading1"/>
        <w:pageBreakBefore/>
      </w:pPr>
      <w:r>
        <w:t xml:space="preserve">Tipografia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Oxanium, uma família só, variável do peso 200 ao 800. Cantos chanfrados a 45° e proporção larga, a mesma personalidade do nome desenhado. Licença SIL Open Font License, servida pelo próprio site.</w:t>
      </w:r>
    </w:p>
    <w:p>
      <w:pPr>
        <w:spacing w:after="200"/>
      </w:pPr>
      <w:r>
        <w:rPr>
          <w:rFonts w:ascii="Oxanium" w:cs="Oxanium" w:eastAsia="Oxanium" w:hAnsi="Oxanium"/>
          <w:b/>
          <w:bCs/>
          <w:color w:val="07080B"/>
          <w:sz w:val="96"/>
          <w:szCs w:val="96"/>
        </w:rPr>
        <w:t xml:space="preserve">Aa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5338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Tamanho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Peso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Display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34 a 60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que a empresa é e vende. Duas seções por página.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Subdisplay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29 a 48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argumento: prova, problema, tese.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24 a 36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Utilidade: processo e dúvidas.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Heading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18 a 22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700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Títulos de item.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Lead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17 a 20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Frase de abertura de seção.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Corpo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16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400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Texto corrido, altura de linha 1,65.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Micro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12,5 px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500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Estados reais: placar, "Em obra".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Caixa de frase em tudo. Sem rótulo em caixa alta espaçada.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Linhas de texto com até 62 caracteres.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Algarismos tabulares em número que muda (placar, notas medidas).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O nome DETERA nunca é digitado na fonte em peças de marca: usa-se o letreiro desenhado.</w:t>
      </w:r>
    </w:p>
    <w:p>
      <w:pPr>
        <w:spacing w:after="140" w:line="300"/>
      </w:pPr>
      <w:r>
        <w:rPr>
          <w:color w:val="606671"/>
          <w:sz w:val="17"/>
          <w:szCs w:val="17"/>
        </w:rPr>
        <w:t xml:space="preserve">A Oxanium é gratuita (Google Fonts). Se ela não estiver instalada no computador, o Word mostra este documento com uma fonte substituta; instale a Oxanium para ver a tipografia da marca.</w:t>
      </w:r>
    </w:p>
    <w:p>
      <w:pPr>
        <w:pStyle w:val="Heading1"/>
        <w:pageBreakBefore/>
      </w:pPr>
      <w:r>
        <w:t xml:space="preserve">Elementos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O céu. </w:t>
      </w:r>
      <w:r>
        <w:rPr>
          <w:color w:val="07080B"/>
          <w:sz w:val="21"/>
          <w:szCs w:val="21"/>
        </w:rPr>
        <w:t xml:space="preserve">Estrelas quadradas de 1 ou 2 px em três profundidades, que andam com a rolagem em velocidades diferentes e esticam num rastro curto quando a rolagem é rápida. Cintilam em cinco degraus de brilho. A densidade acompanha o conteúdo: cheio onde a marca fala, quase apagado onde se lê.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O losango. </w:t>
      </w:r>
      <w:r>
        <w:rPr>
          <w:color w:val="07080B"/>
          <w:sz w:val="21"/>
          <w:szCs w:val="21"/>
        </w:rPr>
        <w:t xml:space="preserve">Ponto de continuação, como num mapa de jogo. Cinza quando é marco; vermelho quando está salvo ou ativo; azul quando marca infraestrutura.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A trilha. </w:t>
      </w:r>
      <w:r>
        <w:rPr>
          <w:color w:val="07080B"/>
          <w:sz w:val="21"/>
          <w:szCs w:val="21"/>
        </w:rPr>
        <w:t xml:space="preserve">Filete cinza de 1 px que atravessa a página, com um losango por seção. Nunca colorido.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A alma. </w:t>
      </w:r>
      <w:r>
        <w:rPr>
          <w:color w:val="07080B"/>
          <w:sz w:val="21"/>
          <w:szCs w:val="21"/>
        </w:rPr>
        <w:t xml:space="preserve">O coração vermelho sólido. É o cursor: marca a opção escolhida em menus, listas, perguntas e campos, e salta de uma opção para outra sem viajar.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A grade de blocos. </w:t>
      </w:r>
      <w:r>
        <w:rPr>
          <w:color w:val="07080B"/>
          <w:sz w:val="21"/>
          <w:szCs w:val="21"/>
        </w:rPr>
        <w:t xml:space="preserve">Quadrados que acendem ou apagam um a um, em ordem sorteada, para abrir e fechar coisas: prints que se montam, o menu que preenche a tela, a travessia do núcleo.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Ícones em pixel. </w:t>
      </w:r>
      <w:r>
        <w:rPr>
          <w:color w:val="07080B"/>
          <w:sz w:val="21"/>
          <w:szCs w:val="21"/>
        </w:rPr>
        <w:t xml:space="preserve">Grade de 10 por 10, desenhados com quadrados, usados a 20 px (2 px de tela por quadrado) ou a 10 px.</w:t>
      </w:r>
    </w:p>
    <w:p>
      <w:pPr>
        <w:spacing w:after="60"/>
      </w:pPr>
      <w:r>
        <w:drawing>
          <wp:inline distT="0" distB="0" distL="0" distR="0">
            <wp:extent cx="419100" cy="381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A alma, o coração vermelho sólido do cursor.</w:t>
      </w:r>
    </w:p>
    <w:p>
      <w:pPr>
        <w:pStyle w:val="Heading1"/>
        <w:pageBreakBefore/>
      </w:pPr>
      <w:r>
        <w:t xml:space="preserve">Movimento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O site funciona como um jogo que responde à pessoa: a rolagem controla o tempo, e tudo que é pixel anda em degraus.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Gesto-assinatura</w:t>
      </w:r>
    </w:p>
    <w:p>
      <w:pPr>
        <w:spacing w:after="140" w:line="300"/>
      </w:pPr>
      <w:r>
        <w:rPr>
          <w:b/>
          <w:bCs/>
          <w:color w:val="07080B"/>
          <w:sz w:val="26"/>
          <w:szCs w:val="26"/>
        </w:rPr>
        <w:t xml:space="preserve">O coração se monta bloco a bloco, a linha de energia carrega de cima a baixo e o núcleo acende.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Verbos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Verbo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Como se move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Encaixar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bloco entra na grade de uma vez, sem deslizar.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Carregar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 linha de energia enche em degraus.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Falar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texto sai letra a letra e pausa na pontuação.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Saltar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cursor pula de opção em opção, sem viagem.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Apagar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A fala volta letra a letra, da última para a primeira.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Salvar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losango acende e fica aceso.</w:t>
            </w:r>
          </w:p>
        </w:tc>
      </w:tr>
    </w:tbl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Momento marcante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A travessia do núcleo: no fim do hero, o coração cresce até a cruz vermelha tomar a tela, e a tela vermelha se parte em blocos que se apagam, abrindo o céu.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A travessia do núcleo no site.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Sistemas do site todo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Céu vivo. </w:t>
      </w:r>
      <w:r>
        <w:rPr>
          <w:color w:val="07080B"/>
          <w:sz w:val="21"/>
          <w:szCs w:val="21"/>
        </w:rPr>
        <w:t xml:space="preserve">Um canvas só, atrás da página inteira, com profundidade e rastro pela velocidade da rolagem.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Cursor-coração. </w:t>
      </w:r>
      <w:r>
        <w:rPr>
          <w:color w:val="07080B"/>
          <w:sz w:val="21"/>
          <w:szCs w:val="21"/>
        </w:rPr>
        <w:t xml:space="preserve">Em toda lista de escolhas, o coração salta para a opção sob o ponteiro ou o foco do teclado.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07080B"/>
          <w:sz w:val="21"/>
          <w:szCs w:val="21"/>
        </w:rPr>
        <w:t xml:space="preserve">Fala. </w:t>
      </w:r>
      <w:r>
        <w:rPr>
          <w:color w:val="07080B"/>
          <w:sz w:val="21"/>
          <w:szCs w:val="21"/>
        </w:rPr>
        <w:t xml:space="preserve">Onde o site fala com a pessoa, o texto sai letra a letra: slogan, manifesto, chamada.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Materiais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Blocos de pixel, a linha de energia, a grade, o cursor de seleção, a caixa de diálogo, o ponto de salvar, o céu.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Curvas e tempo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steps(n) para tudo que é pixel; power3 só para deslocamentos grandes; o cursor salta sem curva nenhuma. Ritmo curto e seco.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O que a marca não faz em movimento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Blur ou desfoque de qualquer tipo, brilho neon, cortina que abre do centro, surgir-e-subir genérico, mola, gradiente, vidro.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Regras técnicas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Animar só transform, opacity e clip-path. No máximo dois trechos fixados por página. Movimento reduzido tem caminho próprio: a página inteira parada e legível.</w:t>
      </w:r>
    </w:p>
    <w:p>
      <w:pPr>
        <w:pStyle w:val="Heading1"/>
        <w:pageBreakBefore/>
      </w:pPr>
      <w:r>
        <w:t xml:space="preserve">Voz e escrita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Direta e concreta. Verbos simples, frases curtas, caixa de frase. Explica o que a pessoa ganha em vez de vender.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Sem travessões em excesso. Vírgula, ponto e parênteses resolvem quase tudo.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Sem a construção "não é X, é Y". Diga o que a coisa 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Número só se for medido e verificável, com fonte e data junto.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Nenhum cliente, depoimento ou certificação inventados.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Botão diz o que acontece: "Vamos construir" abre a conversa no WhatsApp.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DETERA sempre em caixa alta e com A latino.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Reescrita, antes e depois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Antes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06671"/>
                <w:sz w:val="18"/>
                <w:szCs w:val="18"/>
              </w:rPr>
              <w:t xml:space="preserve">Depois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06671"/>
                <w:sz w:val="18"/>
                <w:szCs w:val="18"/>
              </w:rPr>
              <w:t xml:space="preserve">Velocidade não é vaidade técnica: é a diferença entre a pessoa esperar e a pessoa voltar para a busca.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É a velocidade que decide se a pessoa espera ou volta para a busca.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06671"/>
                <w:sz w:val="18"/>
                <w:szCs w:val="18"/>
              </w:rPr>
              <w:t xml:space="preserve">Tecnologia tira trabalho da frente. Não acrescenta.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Tecnologia serve para tirar trabalho da frente.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06671"/>
                <w:sz w:val="18"/>
                <w:szCs w:val="18"/>
              </w:rPr>
              <w:t xml:space="preserve">O que mais atrasa projeto não é desenvolvimento: é conteúdo — texto, foto e informação que só o cliente tem.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C9CCD2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7080B"/>
                <w:sz w:val="18"/>
                <w:szCs w:val="18"/>
              </w:rPr>
              <w:t xml:space="preserve">O que mais atrasa um projeto costuma ser o conteúdo: texto, foto e informação que só o cliente tem.</w:t>
            </w:r>
          </w:p>
        </w:tc>
      </w:tr>
    </w:tbl>
    <w:p>
      <w:pPr>
        <w:pStyle w:val="Heading1"/>
        <w:pageBreakBefore/>
      </w:pPr>
      <w:r>
        <w:t xml:space="preserve">Aplicações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Hero do site. O letreiro de apresentação sobre o céu. O coração se monta ao carregar.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O coração no centro. Na rolagem, o nome desce em degraus e o coração volta ao centro.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A travessia do núcleo. A tela vermelha se parte em blocos que se apagam.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O manifesto como fala. A ideia genérica em cinza e a resposta falada, com a alma na frente.</w:t>
      </w:r>
    </w:p>
    <w:p>
      <w:pPr>
        <w:spacing w:after="80"/>
      </w:pPr>
      <w:r>
        <w:drawing>
          <wp:inline distT="0" distB="0" distL="0" distR="0">
            <wp:extent cx="4953000" cy="30956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A caixa de diálogo. Moldura reta e grossa, duas escolhas, a alma na primeira.</w:t>
      </w:r>
    </w:p>
    <w:p>
      <w:pPr>
        <w:spacing w:after="80"/>
      </w:pPr>
      <w:r>
        <w:drawing>
          <wp:inline distT="0" distB="0" distL="0" distR="0">
            <wp:extent cx="1714500" cy="37147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714500" cy="3714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color w:val="606671"/>
          <w:sz w:val="17"/>
          <w:szCs w:val="17"/>
        </w:rPr>
        <w:t xml:space="preserve">Celular. O mesmo gesto em 390 px, e as entregas em carrossel com a alma no card escolhido.</w:t>
      </w:r>
    </w:p>
    <w:p>
      <w:pPr>
        <w:spacing w:after="80" w:before="240"/>
      </w:pPr>
      <w:r>
        <w:rPr>
          <w:b/>
          <w:bCs/>
          <w:color w:val="606671"/>
          <w:sz w:val="17"/>
          <w:szCs w:val="17"/>
        </w:rPr>
        <w:t xml:space="preserve">Outras peças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Favicon: o símbolo sem traços, a 32 px.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Imagem de compartilhamento: 1200 por 630, com o símbolo, o nome, o slogan e as quatro frentes.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Botão principal: texto vazio sobre vermelho (5,67:1). Botão de contorno: borda contorno e texto claro.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Campo: fundo camada-alta, borda contorno (3,05:1) e borda vermelha no foco, com a alma ao lado do rótulo.</w:t>
      </w:r>
    </w:p>
    <w:p>
      <w:pPr>
        <w:pStyle w:val="Heading1"/>
        <w:pageBreakBefore/>
      </w:pPr>
      <w:r>
        <w:t xml:space="preserve">O que a marca não faz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Estes recursos ficam fora da DETERA. Se algum for realmente necessário num projeto, a exceção é discutida e justificada antes.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Gradiente agressivo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Roxo com preto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Neon ou brilho em volta das coisas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Pastéis genéricos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Fundo branco puro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Ícones de pacote pronto (Lucide e parecidos)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Emoji como ícone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Ícone de brilho ou estrelinha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Três cards de funcionalidade em fileira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Bento grid genérico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Cantos muito arredondados (o raio máximo é 4 px)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Faixa colorida na lateral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Grade de pontinhos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Orbs e brilhos radiais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Vidro (liquid glass, vidro fosco)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Sombras em tudo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Skeleton loader decorativo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Setas animadas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Hover genérico em tudo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Janela de terminal decorativa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Lista de checkmarks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Três planos de preço por padrão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Depoimentos inventados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Travessões em excesso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07080B"/>
          <w:sz w:val="21"/>
          <w:szCs w:val="21"/>
        </w:rPr>
        <w:t xml:space="preserve">Frases do tipo "não é X, é Y"</w:t>
      </w:r>
    </w:p>
    <w:p>
      <w:pPr>
        <w:pageBreakBefore/>
        <w:spacing w:after="400" w:before="3000"/>
      </w:pPr>
      <w:r>
        <w:drawing>
          <wp:inline distT="0" distB="0" distL="0" distR="0">
            <wp:extent cx="3619500" cy="9620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rPr>
          <w:b/>
          <w:bCs/>
          <w:color w:val="07080B"/>
          <w:sz w:val="26"/>
          <w:szCs w:val="26"/>
        </w:rPr>
        <w:t xml:space="preserve">Transformando ideias em personalidade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www.detera.com.br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deteraoficial@gmail.com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(62) 9 8475-0989</w:t>
      </w:r>
    </w:p>
    <w:p>
      <w:pPr>
        <w:spacing w:after="140" w:line="300"/>
      </w:pPr>
      <w:r>
        <w:rPr>
          <w:color w:val="07080B"/>
          <w:sz w:val="21"/>
          <w:szCs w:val="21"/>
        </w:rPr>
        <w:t xml:space="preserve">Goiânia, GO. Atendimento remoto para todo o Brasil.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06671"/>
        <w:sz w:val="16"/>
        <w:szCs w:val="16"/>
      </w:rPr>
      <w:t xml:space="preserve">DETERA, identidade visual   </w:t>
    </w:r>
    <w:r>
      <w:rPr>
        <w:color w:val="60667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◆"/>
      <w:lvlJc w:val="left"/>
      <w:pPr>
        <w:ind w:left="400" w:hanging="280"/>
      </w:pPr>
      <w:rPr>
        <w:color w:val="DF021D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xanium" w:cs="Oxanium" w:eastAsia="Oxanium" w:hAnsi="Oxanium"/>
        <w:color w:val="07080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Oxanium" w:cs="Oxanium" w:eastAsia="Oxanium" w:hAnsi="Oxanium"/>
      <w:b/>
      <w:bCs/>
      <w:color w:val="07080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Oxanium" w:cs="Oxanium" w:eastAsia="Oxanium" w:hAnsi="Oxanium"/>
      <w:b/>
      <w:bCs/>
      <w:color w:val="07080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83b71b24f6307aa543ff4f4f2abcf0b336be723.png"/><Relationship Id="rId9" Type="http://schemas.openxmlformats.org/officeDocument/2006/relationships/image" Target="media/9aad33c2b9101b70e6dd49866cd48931c636f7ad.png"/><Relationship Id="rId10" Type="http://schemas.openxmlformats.org/officeDocument/2006/relationships/image" Target="media/00a039d2474a94acf70254502c917bc1455e7865.png"/><Relationship Id="rId11" Type="http://schemas.openxmlformats.org/officeDocument/2006/relationships/image" Target="media/a1c1100a8f9e627328c8ff7b981456883e483a5a.png"/><Relationship Id="rId12" Type="http://schemas.openxmlformats.org/officeDocument/2006/relationships/image" Target="media/829943234dfe39f41560f748970ea94960a9d881.png"/><Relationship Id="rId13" Type="http://schemas.openxmlformats.org/officeDocument/2006/relationships/image" Target="media/7ca2b556219194b8f87c37398b4a4dabc6a8b5c5.png"/><Relationship Id="rId14" Type="http://schemas.openxmlformats.org/officeDocument/2006/relationships/image" Target="media/b6644a3de60f5f952f62d120db1e7880f0c471fd.png"/><Relationship Id="rId15" Type="http://schemas.openxmlformats.org/officeDocument/2006/relationships/image" Target="media/feeef46b0fee253d32bb67661d689ca5c441ccc9.png"/><Relationship Id="rId16" Type="http://schemas.openxmlformats.org/officeDocument/2006/relationships/image" Target="media/355f17d0368e2effc95df740b8b1c6211304c488.jpg"/><Relationship Id="rId17" Type="http://schemas.openxmlformats.org/officeDocument/2006/relationships/image" Target="media/0b978d27ad1beeb9ad2979c3c6cd3ecb5ed3c74b.jpg"/><Relationship Id="rId18" Type="http://schemas.openxmlformats.org/officeDocument/2006/relationships/image" Target="media/7207fcfb983fc2606f6d0324fcbfc63e512db697.jpg"/><Relationship Id="rId19" Type="http://schemas.openxmlformats.org/officeDocument/2006/relationships/image" Target="media/1747b00ff26b4a324968b2f2526f67f4e1ca8aa6.jpg"/><Relationship Id="rId20" Type="http://schemas.openxmlformats.org/officeDocument/2006/relationships/image" Target="media/c241b006c91e3e3436bc04691f56e2fcb87df77f.jpg"/><Relationship Id="rId21" Type="http://schemas.openxmlformats.org/officeDocument/2006/relationships/image" Target="media/a9de565fe0a4f7045adc56b1dbd196b4213625c3.jpg"/><Relationship Id="rId22" Type="http://schemas.openxmlformats.org/officeDocument/2006/relationships/image" Target="media/5eb286253f25b775c5cea0fb21631f4564f9042b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DETERA, identidade visual</dc:title>
  <dc:creator>DETERA</dc:creator>
  <dc:description>Manual de identidade visual da DETERA, versão 2.</dc:description>
  <cp:lastModifiedBy>Un-named</cp:lastModifiedBy>
  <cp:revision>1</cp:revision>
  <dcterms:created xsi:type="dcterms:W3CDTF">2026-09-28T01:36:19.941Z</dcterms:created>
  <dcterms:modified xsi:type="dcterms:W3CDTF">2026-09-28T01:36:19.945Z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