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Arial" w:cs="Arial" w:eastAsia="Arial" w:hAnsi="Arial"/>
          <w:b/>
          <w:bCs/>
          <w:color w:val="0A0B0D"/>
          <w:sz w:val="56"/>
          <w:szCs w:val="56"/>
        </w:rPr>
        <w:t xml:space="preserve">MOTORMINDHUB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6401A"/>
          <w:sz w:val="36"/>
          <w:szCs w:val="36"/>
        </w:rPr>
        <w:t xml:space="preserve">TEST EXECUTION REPORT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A9099"/>
          <w:sz w:val="22"/>
          <w:szCs w:val="22"/>
        </w:rPr>
        <w:t xml:space="preserve">Risultati dell'esecuzione dei casi di test definiti nella Test Case Specification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Progetto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MotorMindHub</w:t>
            </w:r>
          </w:p>
        </w:tc>
      </w:tr>
      <w:tr>
        <w:tc>
          <w:tcPr>
            <w:tcW w:type="dxa" w:w="30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Versione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Execution Report</w:t>
            </w:r>
          </w:p>
        </w:tc>
      </w:tr>
      <w:tr>
        <w:tc>
          <w:tcPr>
            <w:tcW w:type="dxa" w:w="30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21/08/2026</w:t>
            </w:r>
          </w:p>
        </w:tc>
      </w:tr>
      <w:tr>
        <w:tc>
          <w:tcPr>
            <w:tcW w:type="dxa" w:w="30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Case Specification v1.0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Scritto da: Samuele Valiante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1. Overview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Questo documento riporta l'esito dell'esecuzione dei 34 casi di test (TC1–TC34) definiti nella Test Case Specification v1.0, organizzati per sottosistema secondo la stessa struttura del Test Plan Document.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A differenza di un'esecuzione pianificata ed eseguita in un'unica sessione dedicata, la verifica di questi casi è avvenuta in modo continuativo durante lo sviluppo: ogni funzionalità è stata accompagnata da test automatici (unit e integration a livello backend, e2e a livello frontend con Playwright contro backend/database/provider email reali) scritti contestualmente al codice, integrati da verifiche manuali dal vivo in produzione per i flussi più critici (autenticazione, invio email, pubblicazione articoli).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La colonna "Evidenza" indica il tipo di verifica: "Automatica" per copertura tramite suite di test già esistente e verde; "Dal vivo" per verifica manuale diretta contro l'ambiente di produzione reale (non mock); "Automatica + dal vivo" quando entrambe le forme di evidenza sono disponibili per lo stesso caso.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Tutti i 34 casi risultano PASS. In 6 casi, l'esecuzione ha rilevato un fault reale nel sistema durante il ciclo di sviluppo/verifica — questi sono segnalati nella colonna Note con riferimento all'incidente corrispondente, dettagliato nel Test Incident Report v1.0. In tutti i casi il fault è stato corretto e il test rieseguito con esito positivo prima della chiusura.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6401A"/>
          <w:sz w:val="25"/>
          <w:szCs w:val="25"/>
        </w:rPr>
        <w:t xml:space="preserve">2. GestioneUtenti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6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13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  <w:tc>
          <w:tcPr>
            <w:tcW w:type="dxa" w:w="19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Evidenza</w:t>
            </w:r>
          </w:p>
        </w:tc>
        <w:tc>
          <w:tcPr>
            <w:tcW w:type="dxa" w:w="32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Registrazione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Copertura su tutte le scelte formato email/password/univocità/consenso. Verificato in produzione con account reali creati durante i test di sessione.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Conferma Registrazione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Scadenza token 24h verificata; email di verifica ricevuta realmente via Postmark in produzione dopo la migrazione da SMTP ad API HTTPS (cfr. Incident #1).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Non-disclosure email/password verificata; rate limit per email testato; lockout e stati account testati con tutti e 4 i ruoli.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TC4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(e2e)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Revoca refresh token confermata.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Richiesta Recupero Password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Non-disclosure verificata a livello di messaggio E status code identici indipendentemente dall'esistenza dell'email. Email di recupero ricevuta realmente in inbox esterna.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TC6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Finalizzazione Recupero Password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(e2e)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 Dati Profilo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Verificato per tutti e 4 i ruoli dopo il fix del layout condiviso (cfr. Incident #7): ciascun ruolo mantiene la propria sidebar durante l'accesso alle proprie Impostazioni.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TC8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Esportazione Dati Personali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Esclusione Gestore Utenti dal self-service confermata (403).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Richiesta Cancellazione Account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TC10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Segnalazione di un Altro Utente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(e2e)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 incidente di ambiguità sul locator del dialog è stato rilevato e corretto durante l'estensione del focus-trap (cfr. Incident #9).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Rinnovo Sessione (Refresh Token)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Sessione scorrevole a 3 ore verificata con 5 cicli di refresh ravvicinati. Due incidenti maggiori rilevati e corretti in produzione durante la verifica dal vivo (cfr. Incident #2 e #3).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6401A"/>
          <w:sz w:val="25"/>
          <w:szCs w:val="25"/>
        </w:rPr>
        <w:t xml:space="preserve">3. GestioneArticoli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6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13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  <w:tc>
          <w:tcPr>
            <w:tcW w:type="dxa" w:w="19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Evidenza</w:t>
            </w:r>
          </w:p>
        </w:tc>
        <w:tc>
          <w:tcPr>
            <w:tcW w:type="dxa" w:w="32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Ricerca e Filtro Articoli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Espansione gerarchica alle sottocategorie confermata.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Salvataggio Articolo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(e2e)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TC14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Rimozione Articolo dai Salvati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(e2e)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Creazione e Modifica di una Bozza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Dal vivo (UI reale)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Verificato end-to-end con un articolo pubblicato realmente ("Pneumatici"), scritto tramite l'editor Markdown/TipTap dalla UI vera, non iniettato via API.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TC16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Invio in Approvazione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 di un Articolo Pubblicato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TC18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Eliminazione di Bozza/Pubblicato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Cascata su VisualizzazioneArticolo aggiunta durante lo sviluppo del monitoraggio letture, verificata con test dedicato che riproduce il fault già noto per articoli_salvati (cfr. Incident #11).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TC19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Riapertura Articolo Rifiutato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TC20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Upload Immagine di Copertina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Verificato con upload reali su Cloudinary durante la creazione dell'articolo di test.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6401A"/>
          <w:sz w:val="25"/>
          <w:szCs w:val="25"/>
        </w:rPr>
        <w:t xml:space="preserve">4. GestioneCategorie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6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13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  <w:tc>
          <w:tcPr>
            <w:tcW w:type="dxa" w:w="19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Evidenza</w:t>
            </w:r>
          </w:p>
        </w:tc>
        <w:tc>
          <w:tcPr>
            <w:tcW w:type="dxa" w:w="32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Creazione di una Categoria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Categoria "Freni" e sottocategoria create realmente durante il test dell'editor.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Modifica di una Categoria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Eliminazione con Riassegnazione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6401A"/>
          <w:sz w:val="25"/>
          <w:szCs w:val="25"/>
        </w:rPr>
        <w:t xml:space="preserve">5. GestioneAutori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6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13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  <w:tc>
          <w:tcPr>
            <w:tcW w:type="dxa" w:w="19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Evidenza</w:t>
            </w:r>
          </w:p>
        </w:tc>
        <w:tc>
          <w:tcPr>
            <w:tcW w:type="dxa" w:w="32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TC24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Invito di un Nuovo Autore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Accettazione/Rifiuto Invito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(e2e)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TC26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Rimozione di un Autore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Approvazione/Rifiuto Articolo in Coda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 incidente reale (rendering Markdown grezzo nella pagina di revisione) è stato rilevato durante la verifica manuale e corretto (cfr. Incident #10).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6401A"/>
          <w:sz w:val="25"/>
          <w:szCs w:val="25"/>
        </w:rPr>
        <w:t xml:space="preserve">6. GestioneAmministrazioneUtenti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6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13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  <w:tc>
          <w:tcPr>
            <w:tcW w:type="dxa" w:w="19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Evidenza</w:t>
            </w:r>
          </w:p>
        </w:tc>
        <w:tc>
          <w:tcPr>
            <w:tcW w:type="dxa" w:w="32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TC28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Ricerca/Elenco Utenti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+ 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Campo ruolo mancante dal DTO rilevato dall'utente durante l'uso reale e corretto (cfr. Incident #12).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TC29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Sospensione di un Account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Regola peer-guard (un Gestore non sospende un altro Gestore) e auto-sospensione verificate.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TC30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Riattivazione Account Sospeso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TC31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Coda di Segnalazioni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Fallimento parziale su "scala a sospensione" gestito esplicitamente.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TC32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Coda Richieste di Cancellazione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Anonimizzazione (non hard-delete) confermata.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TC33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Esportazione Assistita dei Dati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TC34a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Cronologia Azioni Amministrative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Automatica (integration)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D6401A"/>
          <w:sz w:val="25"/>
          <w:szCs w:val="25"/>
        </w:rPr>
        <w:t xml:space="preserve">7. GestioneNotifiche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  <w:tc>
          <w:tcPr>
            <w:tcW w:type="dxa" w:w="26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Funzionalità</w:t>
            </w:r>
          </w:p>
        </w:tc>
        <w:tc>
          <w:tcPr>
            <w:tcW w:type="dxa" w:w="13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  <w:tc>
          <w:tcPr>
            <w:tcW w:type="dxa" w:w="19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Evidenza</w:t>
            </w:r>
          </w:p>
        </w:tc>
        <w:tc>
          <w:tcPr>
            <w:tcW w:type="dxa" w:w="3200"/>
            <w:shd w:fill="16181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TC34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Invio Email Transazionale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8E5A"/>
                <w:sz w:val="18"/>
                <w:szCs w:val="18"/>
              </w:rPr>
              <w:t xml:space="preserve">PASS (dopo fix)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Dal vivo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Fault reale rilevato in produzione: Railway blocca le porte SMTP in uscita sui piani non-Pro. Refactor completo verso invio via API HTTPS Postmark (cfr. Incident #1). Email di verifica registrazione, recupero password e conferma pubblicazione ricevute realmente in inbox esterna dopo il fix.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8. Riepilogo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34/34 casi di test eseguiti con esito PASS. 6 fault reali rilevati e corretti nel corso della verifica (dettagliati nel Test Incident Report v1.0, Incidenti #1, #2, #3, #9, #10, #11, #12 — un incidente, il #3, è la causa radice condivisa con il #2). Nessun caso risulta non eseguito o con esito negativo residuo alla data di stesura di questo documento.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099"/>
        <w:sz w:val="16"/>
        <w:szCs w:val="16"/>
      </w:rPr>
      <w:t xml:space="preserve">MotorMindHub — Test Execution Report v1.0  |  PAG. </w:t>
    </w:r>
    <w:r>
      <w:rPr>
        <w:rFonts w:ascii="Calibri" w:cs="Calibri" w:eastAsia="Calibri" w:hAnsi="Calibri"/>
        <w:color w:val="8A90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A6069" w:sz="4" w:space="4"/>
      </w:pBdr>
    </w:pPr>
    <w:r>
      <w:rPr>
        <w:rFonts w:ascii="Calibri" w:cs="Calibri" w:eastAsia="Calibri" w:hAnsi="Calibri"/>
        <w:color w:val="8A9099"/>
        <w:sz w:val="16"/>
        <w:szCs w:val="16"/>
      </w:rPr>
      <w:t xml:space="preserve">MOTORMINDHUB — TEST EXECUTION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2026-08-21T09:02:07.639Z</dcterms:created>
  <dcterms:modified xsi:type="dcterms:W3CDTF">2026-08-21T09:02:07.651Z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