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rFonts w:ascii="Arial" w:cs="Arial" w:eastAsia="Arial" w:hAnsi="Arial"/>
          <w:b/>
          <w:bCs/>
          <w:color w:val="0A0B0D"/>
          <w:sz w:val="56"/>
          <w:szCs w:val="56"/>
        </w:rPr>
        <w:t xml:space="preserve">MOTORMINDHUB</w:t>
      </w:r>
    </w:p>
    <w:p>
      <w:pPr>
        <w:spacing w:after="100"/>
        <w:jc w:val="center"/>
      </w:pPr>
      <w:r>
        <w:rPr>
          <w:rFonts w:ascii="Arial" w:cs="Arial" w:eastAsia="Arial" w:hAnsi="Arial"/>
          <w:b/>
          <w:bCs/>
          <w:color w:val="D6401A"/>
          <w:sz w:val="36"/>
          <w:szCs w:val="36"/>
        </w:rPr>
        <w:t xml:space="preserve">TEST INCIDENT REPORT</w:t>
      </w:r>
    </w:p>
    <w:p>
      <w:pPr>
        <w:spacing w:after="800"/>
        <w:jc w:val="center"/>
      </w:pPr>
      <w:r>
        <w:rPr>
          <w:rFonts w:ascii="Calibri" w:cs="Calibri" w:eastAsia="Calibri" w:hAnsi="Calibri"/>
          <w:i/>
          <w:iCs/>
          <w:color w:val="8A9099"/>
          <w:sz w:val="22"/>
          <w:szCs w:val="22"/>
        </w:rPr>
        <w:t xml:space="preserve">Fault reali rilevati durante lo sviluppo e la verifica, causa radice, correzione e riverifica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Progetto</w:t>
            </w:r>
          </w:p>
        </w:tc>
        <w:tc>
          <w:tcPr>
            <w:tcW w:type="dxa" w:w="6000"/>
            <w:tcMar>
              <w:top w:type="dxa" w:w="70"/>
              <w:left w:type="dxa" w:w="90"/>
              <w:bottom w:type="dxa" w:w="70"/>
              <w:right w:type="dxa" w:w="90"/>
            </w:tcMar>
          </w:tcPr>
          <w:p>
            <w:r>
              <w:rPr>
                <w:rFonts w:ascii="Calibri" w:cs="Calibri" w:eastAsia="Calibri" w:hAnsi="Calibri"/>
                <w:b w:val="false"/>
                <w:bCs w:val="false"/>
                <w:color w:val="000000"/>
                <w:sz w:val="19"/>
                <w:szCs w:val="19"/>
              </w:rPr>
              <w:t xml:space="preserve">MotorMindHub</w:t>
            </w:r>
          </w:p>
        </w:tc>
      </w:tr>
      <w:tr>
        <w:tc>
          <w:tcPr>
            <w:tcW w:type="dxa" w:w="30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Versione</w:t>
            </w:r>
          </w:p>
        </w:tc>
        <w:tc>
          <w:tcPr>
            <w:tcW w:type="dxa" w:w="6000"/>
            <w:tcMar>
              <w:top w:type="dxa" w:w="70"/>
              <w:left w:type="dxa" w:w="90"/>
              <w:bottom w:type="dxa" w:w="70"/>
              <w:right w:type="dxa" w:w="90"/>
            </w:tcMar>
          </w:tcPr>
          <w:p>
            <w:r>
              <w:rPr>
                <w:rFonts w:ascii="Calibri" w:cs="Calibri" w:eastAsia="Calibri" w:hAnsi="Calibri"/>
                <w:b w:val="false"/>
                <w:bCs w:val="false"/>
                <w:color w:val="000000"/>
                <w:sz w:val="19"/>
                <w:szCs w:val="19"/>
              </w:rPr>
              <w:t xml:space="preserve">1.0</w:t>
            </w:r>
          </w:p>
        </w:tc>
      </w:tr>
      <w:tr>
        <w:tc>
          <w:tcPr>
            <w:tcW w:type="dxa" w:w="30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Documento</w:t>
            </w:r>
          </w:p>
        </w:tc>
        <w:tc>
          <w:tcPr>
            <w:tcW w:type="dxa" w:w="6000"/>
            <w:tcMar>
              <w:top w:type="dxa" w:w="70"/>
              <w:left w:type="dxa" w:w="90"/>
              <w:bottom w:type="dxa" w:w="70"/>
              <w:right w:type="dxa" w:w="90"/>
            </w:tcMar>
          </w:tcPr>
          <w:p>
            <w:r>
              <w:rPr>
                <w:rFonts w:ascii="Calibri" w:cs="Calibri" w:eastAsia="Calibri" w:hAnsi="Calibri"/>
                <w:b w:val="false"/>
                <w:bCs w:val="false"/>
                <w:color w:val="000000"/>
                <w:sz w:val="19"/>
                <w:szCs w:val="19"/>
              </w:rPr>
              <w:t xml:space="preserve">Test Incident Report</w:t>
            </w:r>
          </w:p>
        </w:tc>
      </w:tr>
      <w:tr>
        <w:tc>
          <w:tcPr>
            <w:tcW w:type="dxa" w:w="30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6000"/>
            <w:tcMar>
              <w:top w:type="dxa" w:w="70"/>
              <w:left w:type="dxa" w:w="90"/>
              <w:bottom w:type="dxa" w:w="70"/>
              <w:right w:type="dxa" w:w="90"/>
            </w:tcMar>
          </w:tcPr>
          <w:p>
            <w:r>
              <w:rPr>
                <w:rFonts w:ascii="Calibri" w:cs="Calibri" w:eastAsia="Calibri" w:hAnsi="Calibri"/>
                <w:b w:val="false"/>
                <w:bCs w:val="false"/>
                <w:color w:val="000000"/>
                <w:sz w:val="19"/>
                <w:szCs w:val="19"/>
              </w:rPr>
              <w:t xml:space="preserve">21/08/2026</w:t>
            </w:r>
          </w:p>
        </w:tc>
      </w:tr>
      <w:tr>
        <w:tc>
          <w:tcPr>
            <w:tcW w:type="dxa" w:w="30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Incidenti riportati</w:t>
            </w:r>
          </w:p>
        </w:tc>
        <w:tc>
          <w:tcPr>
            <w:tcW w:type="dxa" w:w="6000"/>
            <w:tcMar>
              <w:top w:type="dxa" w:w="70"/>
              <w:left w:type="dxa" w:w="90"/>
              <w:bottom w:type="dxa" w:w="70"/>
              <w:right w:type="dxa" w:w="90"/>
            </w:tcMar>
          </w:tcPr>
          <w:p>
            <w:r>
              <w:rPr>
                <w:rFonts w:ascii="Calibri" w:cs="Calibri" w:eastAsia="Calibri" w:hAnsi="Calibri"/>
                <w:b w:val="false"/>
                <w:bCs w:val="false"/>
                <w:color w:val="000000"/>
                <w:sz w:val="19"/>
                <w:szCs w:val="19"/>
              </w:rPr>
              <w:t xml:space="preserve">14</w:t>
            </w:r>
          </w:p>
        </w:tc>
      </w:tr>
    </w:tbl>
    <w:p>
      <w:pPr>
        <w:spacing w:before="300"/>
      </w:pPr>
      <w:r>
        <w:rPr>
          <w:rFonts w:ascii="Calibri" w:cs="Calibri" w:eastAsia="Calibri" w:hAnsi="Calibri"/>
          <w:i/>
          <w:iCs/>
          <w:sz w:val="20"/>
          <w:szCs w:val="20"/>
        </w:rPr>
        <w:t xml:space="preserve">Scritto da: Samuele Valiante</w:t>
      </w:r>
    </w:p>
    <w:p>
      <w:r>
        <w:br w:type="page"/>
      </w:r>
    </w:p>
    <w:p>
      <w:pPr>
        <w:sectPr>
          <w:pgSz w:w="12240" w:h="15840" w:orient="portrait"/>
          <w:pgMar w:top="1440" w:right="1440" w:bottom="1440" w:left="1440" w:header="708" w:footer="708" w:gutter="0"/>
          <w:pgNumType/>
          <w:docGrid w:linePitch="360"/>
        </w:sectPr>
      </w:pPr>
    </w:p>
    <w:p>
      <w:pPr>
        <w:pStyle w:val="Heading1"/>
        <w:pBdr>
          <w:bottom w:val="single" w:color="D6401A" w:sz="12" w:space="4"/>
        </w:pBdr>
        <w:spacing w:after="200" w:before="420"/>
      </w:pPr>
      <w:r>
        <w:rPr>
          <w:rFonts w:ascii="Arial" w:cs="Arial" w:eastAsia="Arial" w:hAnsi="Arial"/>
          <w:b/>
          <w:bCs/>
          <w:color w:val="0A0B0D"/>
          <w:sz w:val="30"/>
          <w:szCs w:val="30"/>
        </w:rPr>
        <w:t xml:space="preserve">1. Introduzione</w:t>
      </w:r>
    </w:p>
    <w:p>
      <w:pPr>
        <w:spacing w:after="140" w:line="300"/>
      </w:pPr>
      <w:r>
        <w:rPr>
          <w:rFonts w:ascii="Calibri" w:cs="Calibri" w:eastAsia="Calibri" w:hAnsi="Calibri"/>
          <w:sz w:val="21"/>
          <w:szCs w:val="21"/>
        </w:rPr>
        <w:t xml:space="preserve">Questo documento riporta i fault reali rilevati durante lo sviluppo e la verifica del sistema MotorMindHub, dal primo deploy in produzione alle sessioni di rifinitura successive. A differenza di un incident report prodotto da un'esecuzione di test pianificata e isolata, questi incidenti emergono da un ciclo di sviluppo continuo con verifica dal vivo sistematica: molti sono stati rilevati non da un test automatico che falliva, ma da un controllo manuale diretto contro l'ambiente di produzione reale, secondo la disciplina adottata per l'intero progetto di non dichiarare mai un lavoro concluso senza averlo visto funzionare davvero.</w:t>
      </w:r>
    </w:p>
    <w:p>
      <w:pPr>
        <w:spacing w:after="140" w:line="300"/>
      </w:pPr>
      <w:r>
        <w:rPr>
          <w:rFonts w:ascii="Calibri" w:cs="Calibri" w:eastAsia="Calibri" w:hAnsi="Calibri"/>
          <w:sz w:val="21"/>
          <w:szCs w:val="21"/>
        </w:rPr>
        <w:t xml:space="preserve">Ogni incidente è classificato per severità (Alta: blocca una funzionalità core o la sicurezza; Media: degrada un'esperienza o richiede un workaround; Bassa: cosmetico o limitato a un caso limite), e riporta causa radice, correzione applicata, e le modalità con cui la correzione è stata riverificata — non solo dichiarata.</w:t>
      </w:r>
    </w:p>
    <w:p>
      <w:pPr>
        <w:spacing w:after="140" w:line="300"/>
      </w:pPr>
      <w:r>
        <w:rPr>
          <w:rFonts w:ascii="Calibri" w:cs="Calibri" w:eastAsia="Calibri" w:hAnsi="Calibri"/>
          <w:sz w:val="21"/>
          <w:szCs w:val="21"/>
        </w:rPr>
        <w:t xml:space="preserve">Due incidenti (#2 e #3) sono collegati: il primo è il sintomo osservato, il secondo la causa radice effettiva isolata durante l'indagine sul primo.</w:t>
      </w:r>
    </w:p>
    <w:p>
      <w:pPr>
        <w:pStyle w:val="Heading2"/>
        <w:spacing w:after="60" w:before="340"/>
      </w:pPr>
      <w:r>
        <w:rPr>
          <w:rFonts w:ascii="Arial" w:cs="Arial" w:eastAsia="Arial" w:hAnsi="Arial"/>
          <w:b/>
          <w:bCs/>
          <w:color w:val="D6401A"/>
          <w:sz w:val="24"/>
          <w:szCs w:val="24"/>
        </w:rPr>
        <w:t xml:space="preserve">Incident #1 — Email transazionali mai recapitate in produzione — porte SMTP bloccate da Railway</w:t>
      </w:r>
    </w:p>
    <w:p>
      <w:pPr>
        <w:spacing w:after="140"/>
      </w:pPr>
      <w:r>
        <w:rPr>
          <w:rFonts w:ascii="Calibri" w:cs="Calibri" w:eastAsia="Calibri" w:hAnsi="Calibri"/>
          <w:b/>
          <w:bCs/>
          <w:color w:val="D6401A"/>
          <w:sz w:val="19"/>
          <w:szCs w:val="19"/>
        </w:rPr>
        <w:t xml:space="preserve">Severità: Alta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TC34 — verifica dal vivo post-deploy (registrazione utente reale)</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06/08/2026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GestioneNotifiche</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L'email di verifica registrazione non veniva recapitata in produzione, nonostante configurazione SMTP identica a quella funzionante in ambiente locale (Mailpit) e credenziali Postmark corrette.</w:t>
      </w:r>
    </w:p>
    <w:p>
      <w:pPr>
        <w:spacing w:after="40" w:before="100"/>
      </w:pPr>
      <w:r>
        <w:rPr>
          <w:rFonts w:ascii="Calibri" w:cs="Calibri" w:eastAsia="Calibri" w:hAnsi="Calibri"/>
          <w:b/>
          <w:bCs/>
          <w:sz w:val="21"/>
          <w:szCs w:val="21"/>
        </w:rPr>
        <w:t xml:space="preserve">Evidenza osservata</w:t>
      </w:r>
    </w:p>
    <w:p>
      <w:pPr>
        <w:spacing w:after="100"/>
        <w:ind w:left="200"/>
      </w:pPr>
      <w:r>
        <w:rPr>
          <w:rFonts w:ascii="Consolas" w:cs="Consolas" w:eastAsia="Consolas" w:hAnsi="Consolas"/>
          <w:color w:val="444444"/>
          <w:sz w:val="19"/>
          <w:szCs w:val="19"/>
        </w:rPr>
        <w:t xml:space="preserve">MailConnectException: Couldn't connect to host, port: smtp.postmarkapp.com, 587; timeout 5000
Caused by: SocketTimeoutException: Connect timed out</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Railway blocca le connessioni SMTP in uscita (porte 25, 465, 587, 2525) sui piani non-Pro, per policy anti-abuso documentata dalla piattaforma stessa. Nessuna configurazione applicativa può aggirare un blocco a livello di rete del provider di hosting.</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Introdotta un'interfaccia EmailSender (pattern Strategy, coerente con quello già in uso per CloudStorageService) con due implementazioni: SmtpEmailSender per l'ambiente locale (Mailpit, invariato) e PostmarkApiEmailSender per la produzione, che invia via API HTTPS (porta 443, mai bloccata) invece che via SMTP. Selezione tramite property app.mail.provider.</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44801b7</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Registrazione di prova ripetuta in produzione dopo il deploy: email di verifica ricevuta realmente in inbox esterna. Comportamento confermato anche per recupero password e notifica di pubblicazione articolo.</w:t>
      </w:r>
    </w:p>
    <w:p>
      <w:pPr>
        <w:spacing w:after="200"/>
      </w:pPr>
    </w:p>
    <w:p>
      <w:pPr>
        <w:pStyle w:val="Heading2"/>
        <w:spacing w:after="60" w:before="340"/>
      </w:pPr>
      <w:r>
        <w:rPr>
          <w:rFonts w:ascii="Arial" w:cs="Arial" w:eastAsia="Arial" w:hAnsi="Arial"/>
          <w:b/>
          <w:bCs/>
          <w:color w:val="D6401A"/>
          <w:sz w:val="24"/>
          <w:szCs w:val="24"/>
        </w:rPr>
        <w:t xml:space="preserve">Incident #2 — Cookie di sessione (tracciamento visite) mai recapitato al backend cross-site</w:t>
      </w:r>
    </w:p>
    <w:p>
      <w:pPr>
        <w:spacing w:after="140"/>
      </w:pPr>
      <w:r>
        <w:rPr>
          <w:rFonts w:ascii="Calibri" w:cs="Calibri" w:eastAsia="Calibri" w:hAnsi="Calibri"/>
          <w:b/>
          <w:bCs/>
          <w:color w:val="D6401A"/>
          <w:sz w:val="19"/>
          <w:szCs w:val="19"/>
        </w:rPr>
        <w:t xml:space="preserve">Severità: Alta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TC11 — verifica manuale ripetuta con incognito vs browser normale</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20/08/2026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GestioneUtenti / Tracciamento Visite</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Il cookie di sessione per il tracciamento visite (mmh_visit_session) veniva impostato dal backend ma non veniva mai rimandato indietro dal browser nelle richieste successive, causando una nuova riga di conteggio ad ogni singola richiesta invece di una deduplica corretta per sessione.</w:t>
      </w:r>
    </w:p>
    <w:p>
      <w:pPr>
        <w:spacing w:after="40" w:before="100"/>
      </w:pPr>
      <w:r>
        <w:rPr>
          <w:rFonts w:ascii="Calibri" w:cs="Calibri" w:eastAsia="Calibri" w:hAnsi="Calibri"/>
          <w:b/>
          <w:bCs/>
          <w:sz w:val="21"/>
          <w:szCs w:val="21"/>
        </w:rPr>
        <w:t xml:space="preserve">Evidenza osservata</w:t>
      </w:r>
    </w:p>
    <w:p>
      <w:pPr>
        <w:spacing w:after="100"/>
        <w:ind w:left="200"/>
      </w:pPr>
      <w:r>
        <w:rPr>
          <w:rFonts w:ascii="Consolas" w:cs="Consolas" w:eastAsia="Consolas" w:hAnsi="Consolas"/>
          <w:color w:val="444444"/>
          <w:sz w:val="19"/>
          <w:szCs w:val="19"/>
        </w:rPr>
        <w:t xml:space="preserve">Set-Cookie: mmh_visit_session=...; Path=/api/v1; HttpOnly; SameSite=Lax  (nessun attributo Secure, nessun Domain esplicito)</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L'attributo SameSite=Lax impedisce per specifica l'invio del cookie su richieste cross-site asincrone (fetch/XHR) come quelle di PageViewTracker verso api.motormindhub.com da un frontend ospitato su un dominio Vercel diverso — permette il cookie solo su navigazione diretta (click su link), mai su chiamate in background.</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Cambiato l'attributo del cookie a SameSite=None; Secure in produzione (mantenendo SameSite=Lax in sviluppo locale, dove frontend e backend non sono cross-site). La causa per cui il ramo di produzione non emetteva correttamente questo valore è documentata separatamente nell'Incident #3, di cui questo incidente è conseguenza diretta.</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condiviso con Incident #3</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Test di integrazione dedicato che asserisce esplicitamente la stringa dell'header Set-Cookie in un profilo che simula l'ambiente di produzione. Verifica manuale dal vivo: reload ripetuti sulla stessa finestra browser non generano nuove visite; chiusura e riapertura del browser genera correttamente una nuova visita.</w:t>
      </w:r>
    </w:p>
    <w:p>
      <w:pPr>
        <w:spacing w:after="200"/>
      </w:pPr>
    </w:p>
    <w:p>
      <w:pPr>
        <w:pStyle w:val="Heading2"/>
        <w:spacing w:after="60" w:before="340"/>
      </w:pPr>
      <w:r>
        <w:rPr>
          <w:rFonts w:ascii="Arial" w:cs="Arial" w:eastAsia="Arial" w:hAnsi="Arial"/>
          <w:b/>
          <w:bCs/>
          <w:color w:val="D6401A"/>
          <w:sz w:val="24"/>
          <w:szCs w:val="24"/>
        </w:rPr>
        <w:t xml:space="preserve">Incident #3 — request.isSecure() sempre falso dietro il proxy TLS di Railway</w:t>
      </w:r>
    </w:p>
    <w:p>
      <w:pPr>
        <w:spacing w:after="140"/>
      </w:pPr>
      <w:r>
        <w:rPr>
          <w:rFonts w:ascii="Calibri" w:cs="Calibri" w:eastAsia="Calibri" w:hAnsi="Calibri"/>
          <w:b/>
          <w:bCs/>
          <w:color w:val="D6401A"/>
          <w:sz w:val="19"/>
          <w:szCs w:val="19"/>
        </w:rPr>
        <w:t xml:space="preserve">Severità: Alta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Causa radice di Incident #2, isolata tramite verifica diretta dell'header HTTP in produzione</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20/08/2026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GestioneUtenti / Tracciamento Visite</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Il ramo condizionale che decide l'attributo SameSite/Secure del cookie in base a request.isSecure() sceglieva sempre il ramo di sviluppo (SameSite=Lax) anche quando l'applicazione girava in produzione dietro HTTPS.</w:t>
      </w:r>
    </w:p>
    <w:p>
      <w:pPr>
        <w:spacing w:after="40" w:before="100"/>
      </w:pPr>
      <w:r>
        <w:rPr>
          <w:rFonts w:ascii="Calibri" w:cs="Calibri" w:eastAsia="Calibri" w:hAnsi="Calibri"/>
          <w:b/>
          <w:bCs/>
          <w:sz w:val="21"/>
          <w:szCs w:val="21"/>
        </w:rPr>
        <w:t xml:space="preserve">Evidenza osservata</w:t>
      </w:r>
    </w:p>
    <w:p>
      <w:pPr>
        <w:spacing w:after="100"/>
        <w:ind w:left="200"/>
      </w:pPr>
      <w:r>
        <w:rPr>
          <w:rFonts w:ascii="Consolas" w:cs="Consolas" w:eastAsia="Consolas" w:hAnsi="Consolas"/>
          <w:color w:val="444444"/>
          <w:sz w:val="19"/>
          <w:szCs w:val="19"/>
        </w:rPr>
        <w:t xml:space="preserve">Header osservato in produzione: X-Forwarded-Proto: https, ma request.isSecure() restituiva false lato applicazione.</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Railway termina la connessione TLS al proprio edge e inoltra il traffico internamente in HTTP puro, comunicando lo schema originale tramite l'header X-Forwarded-Proto. Senza configurazione esplicita, Spring/Tomcat non si fidano di tale header per determinare se la richiesta originale fosse sicura, quindi isSecure() ignora l'informazione e restituisce sempre false.</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Aggiunta la property server.forward-headers-strategy=framework, che registra il ForwardedHeaderFilter di Spring per interpretare correttamente X-Forwarded-Proto prima che la richiesta raggiunga il controller.</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2715b43</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Due test di integrazione dedicati aggiunti: uno senza header di proxy (comportamento locale invariato, SameSite=Lax), uno che simula esplicitamente X-Forwarded-Proto: https (SameSite=None; Secure). Verifica dal vivo tramite richiesta diretta contro l'endpoint di produzione con conferma dell'header Set-Cookie corretto.</w:t>
      </w:r>
    </w:p>
    <w:p>
      <w:pPr>
        <w:spacing w:after="200"/>
      </w:pPr>
    </w:p>
    <w:p>
      <w:pPr>
        <w:pStyle w:val="Heading2"/>
        <w:spacing w:after="60" w:before="340"/>
      </w:pPr>
      <w:r>
        <w:rPr>
          <w:rFonts w:ascii="Arial" w:cs="Arial" w:eastAsia="Arial" w:hAnsi="Arial"/>
          <w:b/>
          <w:bCs/>
          <w:color w:val="D6401A"/>
          <w:sz w:val="24"/>
          <w:szCs w:val="24"/>
        </w:rPr>
        <w:t xml:space="preserve">Incident #4 — Chiave di firma JWT troppo corta per l'algoritmo HMAC-SHA in produzione</w:t>
      </w:r>
    </w:p>
    <w:p>
      <w:pPr>
        <w:spacing w:after="140"/>
      </w:pPr>
      <w:r>
        <w:rPr>
          <w:rFonts w:ascii="Calibri" w:cs="Calibri" w:eastAsia="Calibri" w:hAnsi="Calibri"/>
          <w:b/>
          <w:bCs/>
          <w:color w:val="D6401A"/>
          <w:sz w:val="19"/>
          <w:szCs w:val="19"/>
        </w:rPr>
        <w:t xml:space="preserve">Severità: Alta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Deploy iniziale in produzione (Railway) — l'applicazione non si avviava</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05/08/2026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GestioneUtenti (deploy)</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L'applicazione falliva l'avvio in produzione immediatamente dopo aver risolto la connessione al database, con un'eccezione relativa alla chiave di firma dei token JWT.</w:t>
      </w:r>
    </w:p>
    <w:p>
      <w:pPr>
        <w:spacing w:after="40" w:before="100"/>
      </w:pPr>
      <w:r>
        <w:rPr>
          <w:rFonts w:ascii="Calibri" w:cs="Calibri" w:eastAsia="Calibri" w:hAnsi="Calibri"/>
          <w:b/>
          <w:bCs/>
          <w:sz w:val="21"/>
          <w:szCs w:val="21"/>
        </w:rPr>
        <w:t xml:space="preserve">Evidenza osservata</w:t>
      </w:r>
    </w:p>
    <w:p>
      <w:pPr>
        <w:spacing w:after="100"/>
        <w:ind w:left="200"/>
      </w:pPr>
      <w:r>
        <w:rPr>
          <w:rFonts w:ascii="Consolas" w:cs="Consolas" w:eastAsia="Consolas" w:hAnsi="Consolas"/>
          <w:color w:val="444444"/>
          <w:sz w:val="19"/>
          <w:szCs w:val="19"/>
        </w:rPr>
        <w:t xml:space="preserve">WeakKeyException: The specified key byte array is 112 bits which is not secure enough for any JWT HMAC-SHA algorithm. Keys used with HMAC-SHA algorithms MUST have a size &gt;= 256 bits.</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Il valore configurato per JWT_SECRET sull'ambiente di produzione era significativamente più corto del minimo richiesto dalla libreria di firma — verosimilmente un valore inserito manualmente e troncato, non generato con lo strumento previsto.</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Rigenerato un valore casuale a 512 bit (openssl rand -base64 64) e reimpostato sulla variabile d'ambiente di produzione.</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n/d (configurazione ambiente, non codice)</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Riavvio dell'applicazione confermato senza eccezioni; login e refresh token verificati funzionanti in produzione.</w:t>
      </w:r>
    </w:p>
    <w:p>
      <w:pPr>
        <w:spacing w:after="200"/>
      </w:pPr>
    </w:p>
    <w:p>
      <w:pPr>
        <w:pStyle w:val="Heading2"/>
        <w:spacing w:after="60" w:before="340"/>
      </w:pPr>
      <w:r>
        <w:rPr>
          <w:rFonts w:ascii="Arial" w:cs="Arial" w:eastAsia="Arial" w:hAnsi="Arial"/>
          <w:b/>
          <w:bCs/>
          <w:color w:val="D6401A"/>
          <w:sz w:val="24"/>
          <w:szCs w:val="24"/>
        </w:rPr>
        <w:t xml:space="preserve">Incident #5 — File sorgente non tracciati da git nonostante commit dichiarati completi (3 occorrenze distinte)</w:t>
      </w:r>
    </w:p>
    <w:p>
      <w:pPr>
        <w:spacing w:after="140"/>
      </w:pPr>
      <w:r>
        <w:rPr>
          <w:rFonts w:ascii="Calibri" w:cs="Calibri" w:eastAsia="Calibri" w:hAnsi="Calibri"/>
          <w:b/>
          <w:bCs/>
          <w:color w:val="D6401A"/>
          <w:sz w:val="19"/>
          <w:szCs w:val="19"/>
        </w:rPr>
        <w:t xml:space="preserve">Severità: Alta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Build fallita su Vercel dopo push apparentemente completi</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05-06/08/2026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Processo di sviluppo (trasversale)</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In tre occasioni separate (useFocusTrap.ts, ConteggioArticoliPerAutore.java, ProfileSettingsForm.tsx), un file sorgente referenziato da altri file già committati risultava assente dal repository remoto, causando fallimento del build in ambiente pulito (Vercel/CI) pur avendo l'applicazione funzionato correttamente in sviluppo locale.</w:t>
      </w:r>
    </w:p>
    <w:p>
      <w:pPr>
        <w:spacing w:after="40" w:before="100"/>
      </w:pPr>
      <w:r>
        <w:rPr>
          <w:rFonts w:ascii="Calibri" w:cs="Calibri" w:eastAsia="Calibri" w:hAnsi="Calibri"/>
          <w:b/>
          <w:bCs/>
          <w:sz w:val="21"/>
          <w:szCs w:val="21"/>
        </w:rPr>
        <w:t xml:space="preserve">Evidenza osservata</w:t>
      </w:r>
    </w:p>
    <w:p>
      <w:pPr>
        <w:spacing w:after="100"/>
        <w:ind w:left="200"/>
      </w:pPr>
      <w:r>
        <w:rPr>
          <w:rFonts w:ascii="Consolas" w:cs="Consolas" w:eastAsia="Consolas" w:hAnsi="Consolas"/>
          <w:color w:val="444444"/>
          <w:sz w:val="19"/>
          <w:szCs w:val="19"/>
        </w:rPr>
        <w:t xml:space="preserve">Module not found: Can't resolve '@/lib/shared/useFocusTrap' (esempio rappresentativo delle tre occorrenze)</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In ciascun caso, il file esisteva fisicamente sul disco della sessione di sviluppo ma non era mai stato incluso in git add prima del commit — la working directory locale nasconde questo tipo di omissione perché il file è comunque presente e funzionante localmente; solo un checkout pulito (Vercel, Railway, CI) la rivela.</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File aggiunti esplicitamente e committati in ciascuna occorrenza. Dopo la terza occorrenza, aggiunta una regola esplicita a CLAUDE.md: verifica obbligatoria di git status --porcelain prima di ogni commit, con i file untracked mostrati per intero prima di procedere.</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vari (fix puntuali per ciascuna occorrenza)</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Build verificata pulita su ambiente isolato dopo ciascun fix. Nessuna quarta occorrenza rilevata dopo l'introduzione della regola in CLAUDE.md.</w:t>
      </w:r>
    </w:p>
    <w:p>
      <w:pPr>
        <w:spacing w:after="200"/>
      </w:pPr>
    </w:p>
    <w:p>
      <w:pPr>
        <w:pStyle w:val="Heading2"/>
        <w:spacing w:after="60" w:before="340"/>
      </w:pPr>
      <w:r>
        <w:rPr>
          <w:rFonts w:ascii="Arial" w:cs="Arial" w:eastAsia="Arial" w:hAnsi="Arial"/>
          <w:b/>
          <w:bCs/>
          <w:color w:val="B8860B"/>
          <w:sz w:val="24"/>
          <w:szCs w:val="24"/>
        </w:rPr>
        <w:t xml:space="preserve">Incident #6 — CORS mai reso configurabile — valore hardcoded sopravvissuto a due round di configurazione</w:t>
      </w:r>
    </w:p>
    <w:p>
      <w:pPr>
        <w:spacing w:after="140"/>
      </w:pPr>
      <w:r>
        <w:rPr>
          <w:rFonts w:ascii="Calibri" w:cs="Calibri" w:eastAsia="Calibri" w:hAnsi="Calibri"/>
          <w:b/>
          <w:bCs/>
          <w:color w:val="B8860B"/>
          <w:sz w:val="19"/>
          <w:szCs w:val="19"/>
        </w:rPr>
        <w:t xml:space="preserve">Severità: Media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Verifica dal vivo del frontend in produzione (console browser)</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05/08/2026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GestioneUtenti (deploy)</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Il frontend in produzione non riusciva a comunicare con il backend nonostante due tentativi di impostare la variabile d'ambiente CORS_ALLOWED_ORIGINS su Railway.</w:t>
      </w:r>
    </w:p>
    <w:p>
      <w:pPr>
        <w:spacing w:after="40" w:before="100"/>
      </w:pPr>
      <w:r>
        <w:rPr>
          <w:rFonts w:ascii="Calibri" w:cs="Calibri" w:eastAsia="Calibri" w:hAnsi="Calibri"/>
          <w:b/>
          <w:bCs/>
          <w:sz w:val="21"/>
          <w:szCs w:val="21"/>
        </w:rPr>
        <w:t xml:space="preserve">Evidenza osservata</w:t>
      </w:r>
    </w:p>
    <w:p>
      <w:pPr>
        <w:spacing w:after="100"/>
        <w:ind w:left="200"/>
      </w:pPr>
      <w:r>
        <w:rPr>
          <w:rFonts w:ascii="Consolas" w:cs="Consolas" w:eastAsia="Consolas" w:hAnsi="Consolas"/>
          <w:color w:val="444444"/>
          <w:sz w:val="19"/>
          <w:szCs w:val="19"/>
        </w:rPr>
        <w:t xml:space="preserve">Access to fetch at '...' has been blocked by CORS policy: No 'Access-Control-Allow-Origin' header is present</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SecurityConfig conteneva configuration.setAllowedOrigins(List.of("http://localhost:3000")) come valore Java letterale, mai collegato ad alcuna property o variabile d'ambiente — nessuna delle variabili impostate su Railway poteva quindi avere effetto, indipendentemente da quante volte veniva corretta.</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Introdotta la property app.cors.allowed-origins, risolta da ${CORS_ALLOWED_ORIGINS:http://localhost:3000}, con split su virgola per supportare origini multiple. SecurityConfig aggiornato per leggere il valore tramite @Value invece del letterale hardcoded.</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n/d (fix incluso nella sessione di configurazione deploy)</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Test di integrazione che verifica l'header Access-Control-Allow-Origin rispecchi il valore configurato. Verifica dal vivo: richiesta OPTIONS reale contro l'endpoint di produzione con esito 200 e header corretto.</w:t>
      </w:r>
    </w:p>
    <w:p>
      <w:pPr>
        <w:spacing w:after="200"/>
      </w:pPr>
    </w:p>
    <w:p>
      <w:pPr>
        <w:pStyle w:val="Heading2"/>
        <w:spacing w:after="60" w:before="340"/>
      </w:pPr>
      <w:r>
        <w:rPr>
          <w:rFonts w:ascii="Arial" w:cs="Arial" w:eastAsia="Arial" w:hAnsi="Arial"/>
          <w:b/>
          <w:bCs/>
          <w:color w:val="B8860B"/>
          <w:sz w:val="24"/>
          <w:szCs w:val="24"/>
        </w:rPr>
        <w:t xml:space="preserve">Incident #7 — Sidebar del ruolo sostituita dalla sidebar Iscritto tramite un percorso di navigazione condiviso</w:t>
      </w:r>
    </w:p>
    <w:p>
      <w:pPr>
        <w:spacing w:after="140"/>
      </w:pPr>
      <w:r>
        <w:rPr>
          <w:rFonts w:ascii="Calibri" w:cs="Calibri" w:eastAsia="Calibri" w:hAnsi="Calibri"/>
          <w:b/>
          <w:bCs/>
          <w:color w:val="B8860B"/>
          <w:sz w:val="19"/>
          <w:szCs w:val="19"/>
        </w:rPr>
        <w:t xml:space="preserve">Severità: Media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TC7 — verifica manuale su Autore/Manager Autori/Gestore Utenti</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10/08/2026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GestioneUtenti (frontend, trasversale ai 4 ruoli)</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Un Autore, Manager Autori o Gestore Utenti che accedeva alle proprie Impostazioni Profilo tramite un link condiviso con l'area Iscritto (/account/impostazioni) vedeva sostituita la propria sidebar di lavoro con quella dell'Iscritto per l'intera navigazione successiva.</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Il link "Impostazioni Profilo" nelle sidebar dei tre ruoli puntava alla stessa route /account/impostazioni riusata dall'Iscritto — route che vive dentro il layout /account, con la sua propria sidebar. Navigare lì cambiava l'intero layout attivo, non solo il contenuto della pagina.</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Creata una pagina Impostazioni Profilo dedicata per ciascun ruolo (/autore/impostazioni, /manager/impostazioni, già presente per /gestore/impostazioni), ciascuna dentro il proprio layout, riusando lo stesso componente di form condiviso (ProfileSettingsForm.tsx) estratto per l'occasione.</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n/d</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Test e2e per ciascuno dei 4 ruoli che verifica esplicitamente l'assenza di sostituzione della sidebar durante l'intera navigazione, incluso il salvataggio del form.</w:t>
      </w:r>
    </w:p>
    <w:p>
      <w:pPr>
        <w:spacing w:after="200"/>
      </w:pPr>
    </w:p>
    <w:p>
      <w:pPr>
        <w:pStyle w:val="Heading2"/>
        <w:spacing w:after="60" w:before="340"/>
      </w:pPr>
      <w:r>
        <w:rPr>
          <w:rFonts w:ascii="Arial" w:cs="Arial" w:eastAsia="Arial" w:hAnsi="Arial"/>
          <w:b/>
          <w:bCs/>
          <w:color w:val="B8860B"/>
          <w:sz w:val="24"/>
          <w:szCs w:val="24"/>
        </w:rPr>
        <w:t xml:space="preserve">Incident #8 — Header pubblico non consapevole del ruolo — seconda via di fuga verso l'area Iscritto</w:t>
      </w:r>
    </w:p>
    <w:p>
      <w:pPr>
        <w:spacing w:after="140"/>
      </w:pPr>
      <w:r>
        <w:rPr>
          <w:rFonts w:ascii="Calibri" w:cs="Calibri" w:eastAsia="Calibri" w:hAnsi="Calibri"/>
          <w:b/>
          <w:bCs/>
          <w:color w:val="B8860B"/>
          <w:sz w:val="19"/>
          <w:szCs w:val="19"/>
        </w:rPr>
        <w:t xml:space="preserve">Severità: Media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TC7 — segnalazione utente dopo il fix dell'Incident #7</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10/08/2026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GestioneArticoli (frontend, header condiviso)</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Dopo la correzione dell'Incident #7, un Autore che visitava una pagina pubblica (es. il proprio articolo pubblicato) e cliccava sul logo o sulla voce "Home" veniva comunque reindirizzato alla home pubblica anziché alla propria dashboard.</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PublicHeader, componente condiviso da tutti i ruoli sulle pagine pubbliche, non era mai stato reso consapevole del ruolo — logo e voce di navigazione "Home" puntavano staticamente a "/" per chiunque fosse autenticato, indipendentemente dal ruolo. Il fix precedente (Incident #7) aveva chiuso la via di fuga in UserMenu/Sidebar ma non questa seconda via, in un componente diverso.</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PublicHeader calcola ora la destinazione del logo in base al ruolo autenticato (dashboard propria per Autore/Manager Autori/Gestore Utenti, home pubblica solo per Iscritto/anonimo); la voce di navigazione "Home" è stata rimossa del tutto per i tre ruoli di lavoro, coerentemente con l'assenza dello stesso link già decisa per le sidebar.</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n/d</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Nuovo test e2e dedicato (autore-no-account-leak.spec.ts) che verifica esplicitamente, da una pagina pubblica come il Dettaglio Articolo, che nessun percorso porti un Autore verso /account o la home pubblica.</w:t>
      </w:r>
    </w:p>
    <w:p>
      <w:pPr>
        <w:spacing w:after="200"/>
      </w:pPr>
    </w:p>
    <w:p>
      <w:pPr>
        <w:pStyle w:val="Heading2"/>
        <w:spacing w:after="60" w:before="340"/>
      </w:pPr>
      <w:r>
        <w:rPr>
          <w:rFonts w:ascii="Arial" w:cs="Arial" w:eastAsia="Arial" w:hAnsi="Arial"/>
          <w:b/>
          <w:bCs/>
          <w:color w:val="5A6069"/>
          <w:sz w:val="24"/>
          <w:szCs w:val="24"/>
        </w:rPr>
        <w:t xml:space="preserve">Incident #9 — Locator del dialog ambiguo dopo l'introduzione del focus-trap condiviso</w:t>
      </w:r>
    </w:p>
    <w:p>
      <w:pPr>
        <w:spacing w:after="140"/>
      </w:pPr>
      <w:r>
        <w:rPr>
          <w:rFonts w:ascii="Calibri" w:cs="Calibri" w:eastAsia="Calibri" w:hAnsi="Calibri"/>
          <w:b/>
          <w:bCs/>
          <w:color w:val="5A6069"/>
          <w:sz w:val="19"/>
          <w:szCs w:val="19"/>
        </w:rPr>
        <w:t xml:space="preserve">Severità: Bassa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TC10 — suite e2e esistente, regressione rilevata durante l'estensione del focus-trap</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Sessione di lavoro sull'accessibilità</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GestioneUtenti (accessibilità, test)</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Un test e2e preesistente su ReportUserModal ha iniziato a fallire in modo intermittente dopo l'introduzione dell'hook di focus-trap condiviso.</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getByRole("dialog") non era scoped al modale di segnalazione — da quando CookieBanner ha ricevuto anch'esso role="dialog" come parte del lavoro sul focus-trap, nei test che non impostavano preventivamente il cookie di consenso i due dialog coesistevano nel DOM, rendendo il locator ambiguo.</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Locator scopato esplicitamente al modale di segnalazione invece che alla generica role="dialog" di pagina.</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incluso nel commit del lavoro sul focus-trap</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Test rieseguito in isolamento e nella suite completa, nessuna ulteriore intermittenza rilevata.</w:t>
      </w:r>
    </w:p>
    <w:p>
      <w:pPr>
        <w:spacing w:after="200"/>
      </w:pPr>
    </w:p>
    <w:p>
      <w:pPr>
        <w:pStyle w:val="Heading2"/>
        <w:spacing w:after="60" w:before="340"/>
      </w:pPr>
      <w:r>
        <w:rPr>
          <w:rFonts w:ascii="Arial" w:cs="Arial" w:eastAsia="Arial" w:hAnsi="Arial"/>
          <w:b/>
          <w:bCs/>
          <w:color w:val="B8860B"/>
          <w:sz w:val="24"/>
          <w:szCs w:val="24"/>
        </w:rPr>
        <w:t xml:space="preserve">Incident #10 — Contenuto Markdown mostrato grezzo nella pagina di revisione Manager</w:t>
      </w:r>
    </w:p>
    <w:p>
      <w:pPr>
        <w:spacing w:after="140"/>
      </w:pPr>
      <w:r>
        <w:rPr>
          <w:rFonts w:ascii="Calibri" w:cs="Calibri" w:eastAsia="Calibri" w:hAnsi="Calibri"/>
          <w:b/>
          <w:bCs/>
          <w:color w:val="B8860B"/>
          <w:sz w:val="19"/>
          <w:szCs w:val="19"/>
        </w:rPr>
        <w:t xml:space="preserve">Severità: Media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TC27 — segnalazione utente dopo il rilascio dell'editor Markdown</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11/08/2026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GestioneAutori</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Dopo l'introduzione dell'editor Markdown per gli articoli, il Manager Autori che revisionava un articolo in coda vedeva il testo con la sintassi Markdown grezza (##, **, ecc.) invece che renderizzata, mentre la pagina pubblica di lettura mostrava correttamente il contenuto formattato.</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La pagina di revisione Manager (/manager/articoli-in-attesa/[id]) non era mai stata aggiornata per usare lo stesso componente di rendering Markdown (react-markdown) introdotto in ArticleDetailContent.tsx — era rimasta sul rendering plain-text precedente al cambio di formato.</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Estratto un componente condiviso di rendering Markdown, riusato sia dalla pagina pubblica sia dalla pagina di revisione Manager, così il Manager vede esattamente come l'articolo apparirà una volta pubblicato.</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n/d</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Verifica dal vivo con un articolo contenente H2/H3/grassetto/immagini inline, sia lato revisione sia lato pubblicazione.</w:t>
      </w:r>
    </w:p>
    <w:p>
      <w:pPr>
        <w:spacing w:after="200"/>
      </w:pPr>
    </w:p>
    <w:p>
      <w:pPr>
        <w:pStyle w:val="Heading2"/>
        <w:spacing w:after="60" w:before="340"/>
      </w:pPr>
      <w:r>
        <w:rPr>
          <w:rFonts w:ascii="Arial" w:cs="Arial" w:eastAsia="Arial" w:hAnsi="Arial"/>
          <w:b/>
          <w:bCs/>
          <w:color w:val="B8860B"/>
          <w:sz w:val="24"/>
          <w:szCs w:val="24"/>
        </w:rPr>
        <w:t xml:space="preserve">Incident #11 — Vincolo di integrità referenziale su eliminazione articolo con letture registrate</w:t>
      </w:r>
    </w:p>
    <w:p>
      <w:pPr>
        <w:spacing w:after="140"/>
      </w:pPr>
      <w:r>
        <w:rPr>
          <w:rFonts w:ascii="Calibri" w:cs="Calibri" w:eastAsia="Calibri" w:hAnsi="Calibri"/>
          <w:b/>
          <w:bCs/>
          <w:color w:val="B8860B"/>
          <w:sz w:val="19"/>
          <w:szCs w:val="19"/>
        </w:rPr>
        <w:t xml:space="preserve">Severità: Media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TC18 — anticipato in fase di piano, verificato con test dedicato prima del rilascio</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21/08/2026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GestioneArticoli / Monitoraggio</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Durante la progettazione della nuova tabella di log per il monitoraggio letture (VisualizzazioneArticolo), è stato identificato che l'eliminazione di un articolo con letture registrate avrebbe fallito per violazione di integrità referenziale, riproducendo un fault già noto e corretto mesi prima per articoli_salvati.</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Nessuna cascata di eliminazione (deliberata, per coerenza con la convenzione già in uso nel progetto di pulizia esplicita lato applicativo) era stata prevista per la nuova tabella al momento della sua progettazione.</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Aggiunta la chiamata esplicita a visualizzazioneArticoloRepository.deleteByArticoloId in GestioneArticoli.deleteArticle, accanto alla riga già esistente per articoloSalvatoRepository.</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incluso nel commit del monitoraggio letture</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Test di integrazione dedicato che genera una lettura reale tramite l'endpoint pubblico, poi conferma che l'eliminazione dell'articolo non fallisca e che il log non sopravviva.</w:t>
      </w:r>
    </w:p>
    <w:p>
      <w:pPr>
        <w:spacing w:after="200"/>
      </w:pPr>
    </w:p>
    <w:p>
      <w:pPr>
        <w:pStyle w:val="Heading2"/>
        <w:spacing w:after="60" w:before="340"/>
      </w:pPr>
      <w:r>
        <w:rPr>
          <w:rFonts w:ascii="Arial" w:cs="Arial" w:eastAsia="Arial" w:hAnsi="Arial"/>
          <w:b/>
          <w:bCs/>
          <w:color w:val="5A6069"/>
          <w:sz w:val="24"/>
          <w:szCs w:val="24"/>
        </w:rPr>
        <w:t xml:space="preserve">Incident #12 — Campo ruolo assente dal DTO della lista utenti del Gestore</w:t>
      </w:r>
    </w:p>
    <w:p>
      <w:pPr>
        <w:spacing w:after="140"/>
      </w:pPr>
      <w:r>
        <w:rPr>
          <w:rFonts w:ascii="Calibri" w:cs="Calibri" w:eastAsia="Calibri" w:hAnsi="Calibri"/>
          <w:b/>
          <w:bCs/>
          <w:color w:val="5A6069"/>
          <w:sz w:val="19"/>
          <w:szCs w:val="19"/>
        </w:rPr>
        <w:t xml:space="preserve">Severità: Bassa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TC28 — segnalazione utente durante l'uso reale della dashboard</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14/08/2026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GestioneAmministrazioneUtenti</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Il Gestore Utenti non poteva vedere il ruolo di ciascun utente nella tabella "Gestione Account", nonostante l'informazione fosse ovviamente disponibile sull'entità.</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UserSummaryDTO, il record restituito da searchUsers, non includeva mai il campo ruolo — un'omissione nella definizione del DTO, non un problema di calcolo o autorizzazione.</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Aggiunto il campo ruolo a UserSummaryDTO, popolato da utente.getRuolo() nella mappatura esistente. Deliberatamente non aggiunto un filtro di ricerca per ruolo nella stessa occasione, non richiesto dal RAD né presente nel mockup di riferimento.</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175e162</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Test di integrazione che conferma il campo nella risposta HTTP reale. Colonna "Ruolo" verificata dal vivo con dati reali per almeno due ruoli diversi.</w:t>
      </w:r>
    </w:p>
    <w:p>
      <w:pPr>
        <w:spacing w:after="200"/>
      </w:pPr>
    </w:p>
    <w:p>
      <w:pPr>
        <w:pStyle w:val="Heading2"/>
        <w:spacing w:after="60" w:before="340"/>
      </w:pPr>
      <w:r>
        <w:rPr>
          <w:rFonts w:ascii="Arial" w:cs="Arial" w:eastAsia="Arial" w:hAnsi="Arial"/>
          <w:b/>
          <w:bCs/>
          <w:color w:val="B8860B"/>
          <w:sz w:val="24"/>
          <w:szCs w:val="24"/>
        </w:rPr>
        <w:t xml:space="preserve">Incident #13 — Sotto-conteggio delle letture/visite per ruoli di lavoro dovuto a race condition sul bootstrap dell'autenticazione</w:t>
      </w:r>
    </w:p>
    <w:p>
      <w:pPr>
        <w:spacing w:after="140"/>
      </w:pPr>
      <w:r>
        <w:rPr>
          <w:rFonts w:ascii="Calibri" w:cs="Calibri" w:eastAsia="Calibri" w:hAnsi="Calibri"/>
          <w:b/>
          <w:bCs/>
          <w:color w:val="B8860B"/>
          <w:sz w:val="19"/>
          <w:szCs w:val="19"/>
        </w:rPr>
        <w:t xml:space="preserve">Severità: Media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TC34 (adiacente) — segnalazione utente su conteggio letture articolo, poi replicata sul tracciamento visite</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Sessioni multiple</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GestioneArticoli / Tracciamento Visite (trasversale)</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Le visualizzazioni di Autore, Manager Autori e Gestore Utenti venivano occasionalmente conteggiate nelle statistiche pubbliche (letture articolo, poi separatamente visite al sito), nonostante la logica di esclusione per ruolo fosse verificata corretta a livello di singolo metodo di servizio.</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Su un caricamento a freddo della pagina, la chiamata che legge/incrementa il contatore partiva prima che il bootstrap silenzioso del token di accesso (asincrono, all'avvio dell'app) fosse completato — l'header Authorization risultava quindi assente anche per un utente realmente autenticato, e il backend classificava correttamente (dal suo punto di vista) la richiesta come anonima. Lo stesso pattern si è manifestato in due punti del codice indipendenti in momenti diversi.</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Le chiamate interessate sono state vincolate a partire solo dopo che lo stato di autenticazione risulta stabilizzato (useAuthStore().status !== "loading"), non solo al mount del componente.</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0151398 (prima occorrenza, conteggio letture); successiva per il tracciamento visite</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In entrambi i casi, riprodotto deterministicamente ripristinando temporaneamente il codice originale e confermando il fallimento dei test dedicati, poi ripristinato il fix confermando il successo. Dopo la seconda occorrenza, aggiunta una nota esplicita in CLAUDE.md che documenta la classe di bug per prevenire una terza occorrenza silenziosa.</w:t>
      </w:r>
    </w:p>
    <w:p>
      <w:pPr>
        <w:spacing w:after="200"/>
      </w:pPr>
    </w:p>
    <w:p>
      <w:pPr>
        <w:pStyle w:val="Heading2"/>
        <w:spacing w:after="60" w:before="340"/>
      </w:pPr>
      <w:r>
        <w:rPr>
          <w:rFonts w:ascii="Arial" w:cs="Arial" w:eastAsia="Arial" w:hAnsi="Arial"/>
          <w:b/>
          <w:bCs/>
          <w:color w:val="5A6069"/>
          <w:sz w:val="24"/>
          <w:szCs w:val="24"/>
        </w:rPr>
        <w:t xml:space="preserve">Incident #14 — Duplicazione delle etichette sull'asse Y dei grafici con range di valori ridotto</w:t>
      </w:r>
    </w:p>
    <w:p>
      <w:pPr>
        <w:spacing w:after="140"/>
      </w:pPr>
      <w:r>
        <w:rPr>
          <w:rFonts w:ascii="Calibri" w:cs="Calibri" w:eastAsia="Calibri" w:hAnsi="Calibri"/>
          <w:b/>
          <w:bCs/>
          <w:color w:val="5A6069"/>
          <w:sz w:val="19"/>
          <w:szCs w:val="19"/>
        </w:rPr>
        <w:t xml:space="preserve">Severità: Bassa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Rilevato in</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Segnalazione utente su un grafico con pochi dati reali</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Data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20/08/2026</w:t>
            </w:r>
          </w:p>
        </w:tc>
      </w:tr>
      <w:tr>
        <w:tc>
          <w:tcPr>
            <w:tcW w:type="dxa" w:w="2200"/>
            <w:shd w:fill="16181D" w:val="clear"/>
            <w:tcMar>
              <w:top w:type="dxa" w:w="70"/>
              <w:left w:type="dxa" w:w="90"/>
              <w:bottom w:type="dxa" w:w="70"/>
              <w:right w:type="dxa" w:w="90"/>
            </w:tcMar>
          </w:tcPr>
          <w:p>
            <w:r>
              <w:rPr>
                <w:rFonts w:ascii="Calibri" w:cs="Calibri" w:eastAsia="Calibri" w:hAnsi="Calibri"/>
                <w:b/>
                <w:bCs/>
                <w:color w:val="FFFFFF"/>
                <w:sz w:val="19"/>
                <w:szCs w:val="19"/>
              </w:rPr>
              <w:t xml:space="preserve">Sottosistema</w:t>
            </w:r>
          </w:p>
        </w:tc>
        <w:tc>
          <w:tcPr>
            <w:tcW w:type="dxa" w:w="7300"/>
            <w:tcMar>
              <w:top w:type="dxa" w:w="70"/>
              <w:left w:type="dxa" w:w="90"/>
              <w:bottom w:type="dxa" w:w="70"/>
              <w:right w:type="dxa" w:w="90"/>
            </w:tcMar>
          </w:tcPr>
          <w:p>
            <w:r>
              <w:rPr>
                <w:rFonts w:ascii="Calibri" w:cs="Calibri" w:eastAsia="Calibri" w:hAnsi="Calibri"/>
                <w:b w:val="false"/>
                <w:bCs w:val="false"/>
                <w:color w:val="000000"/>
                <w:sz w:val="19"/>
                <w:szCs w:val="19"/>
              </w:rPr>
              <w:t xml:space="preserve">GestioneAmministrazioneUtenti / GestioneAutori (componente grafico condiviso)</w:t>
            </w:r>
          </w:p>
        </w:tc>
      </w:tr>
    </w:tbl>
    <w:p>
      <w:pPr>
        <w:spacing w:after="40" w:before="100"/>
      </w:pPr>
      <w:r>
        <w:rPr>
          <w:rFonts w:ascii="Calibri" w:cs="Calibri" w:eastAsia="Calibri" w:hAnsi="Calibri"/>
          <w:b/>
          <w:bCs/>
          <w:sz w:val="21"/>
          <w:szCs w:val="21"/>
        </w:rPr>
        <w:t xml:space="preserve">Descrizione del fault</w:t>
      </w:r>
    </w:p>
    <w:p>
      <w:pPr>
        <w:spacing w:after="140" w:line="300"/>
      </w:pPr>
      <w:r>
        <w:rPr>
          <w:rFonts w:ascii="Calibri" w:cs="Calibri" w:eastAsia="Calibri" w:hAnsi="Calibri"/>
          <w:sz w:val="21"/>
          <w:szCs w:val="21"/>
        </w:rPr>
        <w:t xml:space="preserve">I grafici a linee costruiti per il monitoraggio (visite, registrazioni, pubblicazioni) mostravano un valore duplicato sull'asse Y quando il range di dati reali era piccolo (es. 0-3).</w:t>
      </w:r>
    </w:p>
    <w:p>
      <w:pPr>
        <w:spacing w:after="40" w:before="100"/>
      </w:pPr>
      <w:r>
        <w:rPr>
          <w:rFonts w:ascii="Calibri" w:cs="Calibri" w:eastAsia="Calibri" w:hAnsi="Calibri"/>
          <w:b/>
          <w:bCs/>
          <w:sz w:val="21"/>
          <w:szCs w:val="21"/>
        </w:rPr>
        <w:t xml:space="preserve">Causa radice</w:t>
      </w:r>
    </w:p>
    <w:p>
      <w:pPr>
        <w:spacing w:after="140" w:line="300"/>
      </w:pPr>
      <w:r>
        <w:rPr>
          <w:rFonts w:ascii="Calibri" w:cs="Calibri" w:eastAsia="Calibri" w:hAnsi="Calibri"/>
          <w:sz w:val="21"/>
          <w:szCs w:val="21"/>
        </w:rPr>
        <w:t xml:space="preserve">L'algoritmo di generazione dei tick calcolava un numero fisso di posizioni equidistanti tra il minimo e il massimo, arrotondando ciascuna indipendentemente all'intero più vicino — con un range stretto, due posizioni distinte potevano arrotondare allo stesso valore intero.</w:t>
      </w:r>
    </w:p>
    <w:p>
      <w:pPr>
        <w:spacing w:after="40" w:before="100"/>
      </w:pPr>
      <w:r>
        <w:rPr>
          <w:rFonts w:ascii="Calibri" w:cs="Calibri" w:eastAsia="Calibri" w:hAnsi="Calibri"/>
          <w:b/>
          <w:bCs/>
          <w:sz w:val="21"/>
          <w:szCs w:val="21"/>
        </w:rPr>
        <w:t xml:space="preserve">Correzione</w:t>
      </w:r>
    </w:p>
    <w:p>
      <w:pPr>
        <w:spacing w:after="140" w:line="300"/>
      </w:pPr>
      <w:r>
        <w:rPr>
          <w:rFonts w:ascii="Calibri" w:cs="Calibri" w:eastAsia="Calibri" w:hAnsi="Calibri"/>
          <w:sz w:val="21"/>
          <w:szCs w:val="21"/>
        </w:rPr>
        <w:t xml:space="preserve">Quando il range dei valori è intero e minore o uguale al numero di tick desiderato, il componente genera ora esattamente un tick per ogni valore intero del range, garantendo etichette sempre distinte.</w:t>
      </w:r>
    </w:p>
    <w:p>
      <w:pPr>
        <w:spacing w:after="40" w:before="100"/>
      </w:pPr>
      <w:r>
        <w:rPr>
          <w:rFonts w:ascii="Calibri" w:cs="Calibri" w:eastAsia="Calibri" w:hAnsi="Calibri"/>
          <w:b/>
          <w:bCs/>
          <w:sz w:val="21"/>
          <w:szCs w:val="21"/>
        </w:rPr>
        <w:t xml:space="preserve">Riferimento commit</w:t>
      </w:r>
    </w:p>
    <w:p>
      <w:pPr>
        <w:spacing w:after="100"/>
        <w:ind w:left="200"/>
      </w:pPr>
      <w:r>
        <w:rPr>
          <w:rFonts w:ascii="Consolas" w:cs="Consolas" w:eastAsia="Consolas" w:hAnsi="Consolas"/>
          <w:color w:val="444444"/>
          <w:sz w:val="19"/>
          <w:szCs w:val="19"/>
        </w:rPr>
        <w:t xml:space="preserve">n/d</w:t>
      </w:r>
    </w:p>
    <w:p>
      <w:pPr>
        <w:spacing w:after="40" w:before="100"/>
      </w:pPr>
      <w:r>
        <w:rPr>
          <w:rFonts w:ascii="Calibri" w:cs="Calibri" w:eastAsia="Calibri" w:hAnsi="Calibri"/>
          <w:b/>
          <w:bCs/>
          <w:sz w:val="21"/>
          <w:szCs w:val="21"/>
        </w:rPr>
        <w:t xml:space="preserve">Riverifica</w:t>
      </w:r>
    </w:p>
    <w:p>
      <w:pPr>
        <w:spacing w:after="140" w:line="300"/>
      </w:pPr>
      <w:r>
        <w:rPr>
          <w:rFonts w:ascii="Calibri" w:cs="Calibri" w:eastAsia="Calibri" w:hAnsi="Calibri"/>
          <w:sz w:val="21"/>
          <w:szCs w:val="21"/>
        </w:rPr>
        <w:t xml:space="preserve">Verifica dal vivo con screenshot prima/dopo su dati reali a basso volume; test dedicato che copre esplicitamente range piccoli e range ampi.</w:t>
      </w:r>
    </w:p>
    <w:p>
      <w:pPr>
        <w:spacing w:after="200"/>
      </w:pPr>
    </w:p>
    <w:p>
      <w:pPr>
        <w:pStyle w:val="Heading1"/>
        <w:pBdr>
          <w:bottom w:val="single" w:color="D6401A" w:sz="12" w:space="4"/>
        </w:pBdr>
        <w:spacing w:after="200" w:before="420"/>
      </w:pPr>
      <w:r>
        <w:rPr>
          <w:rFonts w:ascii="Arial" w:cs="Arial" w:eastAsia="Arial" w:hAnsi="Arial"/>
          <w:b/>
          <w:bCs/>
          <w:color w:val="0A0B0D"/>
          <w:sz w:val="30"/>
          <w:szCs w:val="30"/>
        </w:rPr>
        <w:t xml:space="preserve">2. Riepilogo per Severità</w:t>
      </w:r>
    </w:p>
    <w:p>
      <w:pPr>
        <w:spacing w:after="140" w:line="300"/>
      </w:pPr>
      <w:r>
        <w:rPr>
          <w:rFonts w:ascii="Calibri" w:cs="Calibri" w:eastAsia="Calibri" w:hAnsi="Calibri"/>
          <w:sz w:val="21"/>
          <w:szCs w:val="21"/>
        </w:rPr>
        <w:t xml:space="preserve">Alta: 5 incidenti (#1, #2, #3, #4, #5) — tutti relativi a infrastruttura di deploy/produzione o sicurezza, tutti corretti e riverificati prima del rilascio pubblico.</w:t>
      </w:r>
    </w:p>
    <w:p>
      <w:pPr>
        <w:spacing w:after="140" w:line="300"/>
      </w:pPr>
      <w:r>
        <w:rPr>
          <w:rFonts w:ascii="Calibri" w:cs="Calibri" w:eastAsia="Calibri" w:hAnsi="Calibri"/>
          <w:sz w:val="21"/>
          <w:szCs w:val="21"/>
        </w:rPr>
        <w:t xml:space="preserve">Media: 6 incidenti (#6, #7, #8, #10, #11, #13) — relativi a coerenza di navigazione tra ruoli, rendering, e integrità referenziale.</w:t>
      </w:r>
    </w:p>
    <w:p>
      <w:pPr>
        <w:spacing w:after="140" w:line="300"/>
      </w:pPr>
      <w:r>
        <w:rPr>
          <w:rFonts w:ascii="Calibri" w:cs="Calibri" w:eastAsia="Calibri" w:hAnsi="Calibri"/>
          <w:sz w:val="21"/>
          <w:szCs w:val="21"/>
        </w:rPr>
        <w:t xml:space="preserve">Bassa: 3 incidenti (#9, #12, #14) — relativi a test, esposizione dati mancante, e rendering grafico.</w:t>
      </w:r>
    </w:p>
    <w:p>
      <w:pPr>
        <w:spacing w:after="140" w:line="300"/>
      </w:pPr>
      <w:r>
        <w:rPr>
          <w:rFonts w:ascii="Calibri" w:cs="Calibri" w:eastAsia="Calibri" w:hAnsi="Calibri"/>
          <w:sz w:val="21"/>
          <w:szCs w:val="21"/>
        </w:rPr>
        <w:t xml:space="preserve">Nessun incidente risulta aperto o non corretto alla data di stesura di questo documento.</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099"/>
        <w:sz w:val="16"/>
        <w:szCs w:val="16"/>
      </w:rPr>
      <w:t xml:space="preserve">MotorMindHub — Test Incident Report v1.0  |  PAG. </w:t>
    </w:r>
    <w:r>
      <w:rPr>
        <w:rFonts w:ascii="Calibri" w:cs="Calibri" w:eastAsia="Calibri" w:hAnsi="Calibri"/>
        <w:color w:val="8A9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6069" w:sz="4" w:space="4"/>
      </w:pBdr>
    </w:pPr>
    <w:r>
      <w:rPr>
        <w:rFonts w:ascii="Calibri" w:cs="Calibri" w:eastAsia="Calibri" w:hAnsi="Calibri"/>
        <w:color w:val="8A9099"/>
        <w:sz w:val="16"/>
        <w:szCs w:val="16"/>
      </w:rPr>
      <w:t xml:space="preserve">MOTORMINDHUB — TEST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2026-08-21T09:04:16.688Z</dcterms:created>
  <dcterms:modified xsi:type="dcterms:W3CDTF">2026-08-21T09:04:16.688Z</dcterms:modified>
</cp:coreProperties>
</file>

<file path=docProps/custom.xml><?xml version="1.0" encoding="utf-8"?>
<Properties xmlns="http://schemas.openxmlformats.org/officeDocument/2006/custom-properties" xmlns:vt="http://schemas.openxmlformats.org/officeDocument/2006/docPropsVTypes"/>
</file>