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Arial" w:cs="Arial" w:eastAsia="Arial" w:hAnsi="Arial"/>
          <w:b/>
          <w:bCs/>
          <w:color w:val="0A0B0D"/>
          <w:sz w:val="56"/>
          <w:szCs w:val="56"/>
        </w:rPr>
        <w:t xml:space="preserve">MOTORMINDHUB</w:t>
      </w:r>
    </w:p>
    <w:p>
      <w:pPr>
        <w:spacing w:after="100"/>
        <w:jc w:val="center"/>
      </w:pPr>
      <w:r>
        <w:rPr>
          <w:rFonts w:ascii="Arial" w:cs="Arial" w:eastAsia="Arial" w:hAnsi="Arial"/>
          <w:b/>
          <w:bCs/>
          <w:color w:val="D6401A"/>
          <w:sz w:val="40"/>
          <w:szCs w:val="40"/>
        </w:rPr>
        <w:t xml:space="preserve">TEST PLAN DOCUMENT</w:t>
      </w:r>
    </w:p>
    <w:p>
      <w:pPr>
        <w:spacing w:after="800"/>
        <w:jc w:val="center"/>
      </w:pPr>
      <w:r>
        <w:rPr>
          <w:rFonts w:ascii="Calibri" w:cs="Calibri" w:eastAsia="Calibri" w:hAnsi="Calibri"/>
          <w:i/>
          <w:iCs/>
          <w:color w:val="8A9099"/>
          <w:sz w:val="24"/>
          <w:szCs w:val="24"/>
        </w:rPr>
        <w:t xml:space="preserve">Documento gestionale delle attività di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6181D" w:val="clear"/>
            <w:tcMar>
              <w:top w:type="dxa" w:w="80"/>
              <w:left w:type="dxa" w:w="100"/>
              <w:bottom w:type="dxa" w:w="80"/>
              <w:right w:type="dxa" w:w="100"/>
            </w:tcMar>
          </w:tcPr>
          <w:p>
            <w:r>
              <w:rPr>
                <w:rFonts w:ascii="Calibri" w:cs="Calibri" w:eastAsia="Calibri" w:hAnsi="Calibri"/>
                <w:b/>
                <w:bCs/>
                <w:color w:val="FFFFFF"/>
                <w:sz w:val="20"/>
                <w:szCs w:val="20"/>
              </w:rPr>
              <w:t xml:space="preserve">Progetto</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MotorMindHub</w:t>
            </w:r>
          </w:p>
        </w:tc>
      </w:tr>
      <w:tr>
        <w:tc>
          <w:tcPr>
            <w:tcW w:type="dxa" w:w="3000"/>
            <w:shd w:fill="16181D" w:val="clear"/>
            <w:tcMar>
              <w:top w:type="dxa" w:w="80"/>
              <w:left w:type="dxa" w:w="100"/>
              <w:bottom w:type="dxa" w:w="80"/>
              <w:right w:type="dxa" w:w="100"/>
            </w:tcMar>
          </w:tcPr>
          <w:p>
            <w:r>
              <w:rPr>
                <w:rFonts w:ascii="Calibri" w:cs="Calibri" w:eastAsia="Calibri" w:hAnsi="Calibri"/>
                <w:b/>
                <w:bCs/>
                <w:color w:val="FFFFFF"/>
                <w:sz w:val="20"/>
                <w:szCs w:val="20"/>
              </w:rPr>
              <w:t xml:space="preserve">Versione</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r>
      <w:tr>
        <w:tc>
          <w:tcPr>
            <w:tcW w:type="dxa" w:w="3000"/>
            <w:shd w:fill="16181D" w:val="clear"/>
            <w:tcMar>
              <w:top w:type="dxa" w:w="80"/>
              <w:left w:type="dxa" w:w="100"/>
              <w:bottom w:type="dxa" w:w="80"/>
              <w:right w:type="dxa" w:w="100"/>
            </w:tcMar>
          </w:tcPr>
          <w:p>
            <w:r>
              <w:rPr>
                <w:rFonts w:ascii="Calibri" w:cs="Calibri" w:eastAsia="Calibri" w:hAnsi="Calibri"/>
                <w:b/>
                <w:bCs/>
                <w:color w:val="FFFFFF"/>
                <w:sz w:val="20"/>
                <w:szCs w:val="20"/>
              </w:rPr>
              <w:t xml:space="preserve">Documento</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Test Plan Document</w:t>
            </w:r>
          </w:p>
        </w:tc>
      </w:tr>
      <w:tr>
        <w:tc>
          <w:tcPr>
            <w:tcW w:type="dxa" w:w="3000"/>
            <w:shd w:fill="16181D" w:val="clear"/>
            <w:tcMar>
              <w:top w:type="dxa" w:w="80"/>
              <w:left w:type="dxa" w:w="100"/>
              <w:bottom w:type="dxa" w:w="80"/>
              <w:right w:type="dxa" w:w="100"/>
            </w:tcMar>
          </w:tcPr>
          <w:p>
            <w:r>
              <w:rPr>
                <w:rFonts w:ascii="Calibri" w:cs="Calibri" w:eastAsia="Calibri" w:hAnsi="Calibri"/>
                <w:b/>
                <w:bCs/>
                <w:color w:val="FFFFFF"/>
                <w:sz w:val="20"/>
                <w:szCs w:val="20"/>
              </w:rPr>
              <w:t xml:space="preserve">Data</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10/08/2026</w:t>
            </w:r>
          </w:p>
        </w:tc>
      </w:tr>
    </w:tbl>
    <w:p>
      <w:pPr>
        <w:spacing w:before="5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9000"/>
            <w:shd w:fill="16181D" w:val="clear"/>
            <w:tcMar>
              <w:top w:type="dxa" w:w="80"/>
              <w:left w:type="dxa" w:w="100"/>
              <w:bottom w:type="dxa" w:w="80"/>
              <w:right w:type="dxa" w:w="100"/>
            </w:tcMar>
          </w:tcPr>
          <w:p>
            <w:r>
              <w:rPr>
                <w:rFonts w:ascii="Calibri" w:cs="Calibri" w:eastAsia="Calibri" w:hAnsi="Calibri"/>
                <w:b/>
                <w:bCs/>
                <w:color w:val="FFFFFF"/>
                <w:sz w:val="20"/>
                <w:szCs w:val="20"/>
              </w:rPr>
              <w:t xml:space="preserve">Coordinatore del progetto</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6181D" w:val="clear"/>
            <w:tcMar>
              <w:top w:type="dxa" w:w="80"/>
              <w:left w:type="dxa" w:w="100"/>
              <w:bottom w:type="dxa" w:w="80"/>
              <w:right w:type="dxa" w:w="100"/>
            </w:tcMar>
          </w:tcPr>
          <w:p>
            <w:r>
              <w:rPr>
                <w:rFonts w:ascii="Calibri" w:cs="Calibri" w:eastAsia="Calibri" w:hAnsi="Calibri"/>
                <w:b/>
                <w:bCs/>
                <w:color w:val="FFFFFF"/>
                <w:sz w:val="20"/>
                <w:szCs w:val="20"/>
              </w:rPr>
              <w:t xml:space="preserve">Nome</w:t>
            </w:r>
          </w:p>
        </w:tc>
        <w:tc>
          <w:tcPr>
            <w:tcW w:type="dxa" w:w="4500"/>
            <w:shd w:fill="16181D" w:val="clear"/>
            <w:tcMar>
              <w:top w:type="dxa" w:w="80"/>
              <w:left w:type="dxa" w:w="100"/>
              <w:bottom w:type="dxa" w:w="80"/>
              <w:right w:type="dxa" w:w="100"/>
            </w:tcMar>
          </w:tcPr>
          <w:p>
            <w:r>
              <w:rPr>
                <w:rFonts w:ascii="Calibri" w:cs="Calibri" w:eastAsia="Calibri" w:hAnsi="Calibri"/>
                <w:b/>
                <w:bCs/>
                <w:color w:val="FFFFFF"/>
                <w:sz w:val="20"/>
                <w:szCs w:val="20"/>
              </w:rPr>
              <w:t xml:space="preserve">Email</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Samuele Valiante</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s.valiante4@studenti.unisa.it</w:t>
            </w:r>
          </w:p>
        </w:tc>
      </w:tr>
    </w:tbl>
    <w:p>
      <w:pPr>
        <w:spacing w:before="200"/>
      </w:pPr>
      <w:r>
        <w:rPr>
          <w:rFonts w:ascii="Calibri" w:cs="Calibri" w:eastAsia="Calibri" w:hAnsi="Calibri"/>
          <w:i/>
          <w:iCs/>
          <w:sz w:val="20"/>
          <w:szCs w:val="20"/>
        </w:rPr>
        <w:t xml:space="preserve">Scritto da: Samuele Valiante</w:t>
      </w:r>
    </w:p>
    <w:p>
      <w:pPr>
        <w:spacing w:before="500"/>
      </w:pPr>
    </w:p>
    <w:p>
      <w:pPr>
        <w:pStyle w:val="Heading3"/>
        <w:spacing w:after="100" w:before="200"/>
      </w:pPr>
      <w:r>
        <w:rPr>
          <w:rFonts w:ascii="Arial" w:cs="Arial" w:eastAsia="Arial" w:hAnsi="Arial"/>
          <w:b/>
          <w:bCs/>
          <w:color w:val="16181D"/>
          <w:sz w:val="21"/>
          <w:szCs w:val="21"/>
        </w:rP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800"/>
        <w:gridCol w:w="1400"/>
      </w:tblGrid>
      <w:tr>
        <w:tc>
          <w:tcPr>
            <w:tcW w:type="dxa" w:w="1600"/>
            <w:shd w:fill="16181D" w:val="clear"/>
            <w:tcMar>
              <w:top w:type="dxa" w:w="80"/>
              <w:left w:type="dxa" w:w="100"/>
              <w:bottom w:type="dxa" w:w="80"/>
              <w:right w:type="dxa" w:w="100"/>
            </w:tcMar>
          </w:tcPr>
          <w:p>
            <w:r>
              <w:rPr>
                <w:rFonts w:ascii="Calibri" w:cs="Calibri" w:eastAsia="Calibri" w:hAnsi="Calibri"/>
                <w:b/>
                <w:bCs/>
                <w:color w:val="FFFFFF"/>
                <w:sz w:val="20"/>
                <w:szCs w:val="20"/>
              </w:rPr>
              <w:t xml:space="preserve">Data</w:t>
            </w:r>
          </w:p>
        </w:tc>
        <w:tc>
          <w:tcPr>
            <w:tcW w:type="dxa" w:w="1200"/>
            <w:shd w:fill="16181D" w:val="clear"/>
            <w:tcMar>
              <w:top w:type="dxa" w:w="80"/>
              <w:left w:type="dxa" w:w="100"/>
              <w:bottom w:type="dxa" w:w="80"/>
              <w:right w:type="dxa" w:w="100"/>
            </w:tcMar>
          </w:tcPr>
          <w:p>
            <w:r>
              <w:rPr>
                <w:rFonts w:ascii="Calibri" w:cs="Calibri" w:eastAsia="Calibri" w:hAnsi="Calibri"/>
                <w:b/>
                <w:bCs/>
                <w:color w:val="FFFFFF"/>
                <w:sz w:val="20"/>
                <w:szCs w:val="20"/>
              </w:rPr>
              <w:t xml:space="preserve">Versione</w:t>
            </w:r>
          </w:p>
        </w:tc>
        <w:tc>
          <w:tcPr>
            <w:tcW w:type="dxa" w:w="4800"/>
            <w:shd w:fill="16181D" w:val="clear"/>
            <w:tcMar>
              <w:top w:type="dxa" w:w="80"/>
              <w:left w:type="dxa" w:w="100"/>
              <w:bottom w:type="dxa" w:w="80"/>
              <w:right w:type="dxa" w:w="100"/>
            </w:tcMar>
          </w:tcPr>
          <w:p>
            <w:r>
              <w:rPr>
                <w:rFonts w:ascii="Calibri" w:cs="Calibri" w:eastAsia="Calibri" w:hAnsi="Calibri"/>
                <w:b/>
                <w:bCs/>
                <w:color w:val="FFFFFF"/>
                <w:sz w:val="20"/>
                <w:szCs w:val="20"/>
              </w:rPr>
              <w:t xml:space="preserve">Descrizione</w:t>
            </w:r>
          </w:p>
        </w:tc>
        <w:tc>
          <w:tcPr>
            <w:tcW w:type="dxa" w:w="1400"/>
            <w:shd w:fill="16181D" w:val="clear"/>
            <w:tcMar>
              <w:top w:type="dxa" w:w="80"/>
              <w:left w:type="dxa" w:w="100"/>
              <w:bottom w:type="dxa" w:w="80"/>
              <w:right w:type="dxa" w:w="100"/>
            </w:tcMar>
          </w:tcPr>
          <w:p>
            <w:r>
              <w:rPr>
                <w:rFonts w:ascii="Calibri" w:cs="Calibri" w:eastAsia="Calibri" w:hAnsi="Calibri"/>
                <w:b/>
                <w:bCs/>
                <w:color w:val="FFFFFF"/>
                <w:sz w:val="20"/>
                <w:szCs w:val="20"/>
              </w:rPr>
              <w:t xml:space="preserve">Autore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10/08/2026</w:t>
            </w:r>
          </w:p>
        </w:tc>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c>
          <w:tcPr>
            <w:tcW w:type="dxa" w:w="4800"/>
            <w:tcMar>
              <w:top w:type="dxa" w:w="80"/>
              <w:left w:type="dxa" w:w="100"/>
              <w:bottom w:type="dxa" w:w="80"/>
              <w:right w:type="dxa" w:w="100"/>
            </w:tcMar>
          </w:tcPr>
          <w:p>
            <w:r>
              <w:rPr>
                <w:rFonts w:ascii="Calibri" w:cs="Calibri" w:eastAsia="Calibri" w:hAnsi="Calibri"/>
                <w:b w:val="false"/>
                <w:bCs w:val="false"/>
                <w:color w:val="000000"/>
                <w:sz w:val="20"/>
                <w:szCs w:val="20"/>
              </w:rPr>
              <w:t xml:space="preserve">Stesura iniziale del Test Plan Document, allineato allo stato implementativo reale del sistema (post rilascio in produzione)</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S. Valiante</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D6401A" w:sz="12" w:space="4"/>
        </w:pBdr>
        <w:spacing w:after="200" w:before="360"/>
      </w:pPr>
      <w:r>
        <w:rPr>
          <w:rFonts w:ascii="Arial" w:cs="Arial" w:eastAsia="Arial" w:hAnsi="Arial"/>
          <w:b/>
          <w:bCs/>
          <w:color w:val="0A0B0D"/>
          <w:sz w:val="30"/>
          <w:szCs w:val="30"/>
        </w:rPr>
        <w:t xml:space="preserve">1. Introduzione</w:t>
      </w:r>
    </w:p>
    <w:p>
      <w:pPr>
        <w:spacing w:after="160" w:line="300"/>
      </w:pPr>
      <w:r>
        <w:rPr>
          <w:rFonts w:ascii="Calibri" w:cs="Calibri" w:eastAsia="Calibri" w:hAnsi="Calibri"/>
          <w:sz w:val="22"/>
          <w:szCs w:val="22"/>
        </w:rPr>
        <w:t xml:space="preserve">Il presente documento definisce l'ambito, l'approccio, le risorse e la pianificazione delle attività di testing per il sistema MotorMindHub. A differenza di un piano di test redatto prima dell'implementazione, questo documento riflette una metodologia di verifica già applicata in modo continuativo durante lo sviluppo: ogni sottosistema è stato accompagnato da test automatici scritti contestualmente al codice, con verifica dal vivo su ambiente reale (database Postgres, provider email Postmark, storage immagini Cloudinary) prima di considerare chiuso ciascun incremento.</w:t>
      </w:r>
    </w:p>
    <w:p>
      <w:pPr>
        <w:spacing w:after="160" w:line="300"/>
      </w:pPr>
      <w:r>
        <w:rPr>
          <w:rFonts w:ascii="Calibri" w:cs="Calibri" w:eastAsia="Calibri" w:hAnsi="Calibri"/>
          <w:sz w:val="22"/>
          <w:szCs w:val="22"/>
        </w:rPr>
        <w:t xml:space="preserve">Il documento formalizza tale approccio a fini di tracciabilità e ripetibilità, e costituisce la base per la Test Case Specification (TCS), il Test Execution Report e il Test Incident Report.</w:t>
      </w:r>
    </w:p>
    <w:p>
      <w:pPr>
        <w:pStyle w:val="Heading1"/>
        <w:pBdr>
          <w:bottom w:val="single" w:color="D6401A" w:sz="12" w:space="4"/>
        </w:pBdr>
        <w:spacing w:after="200" w:before="360"/>
      </w:pPr>
      <w:r>
        <w:rPr>
          <w:rFonts w:ascii="Arial" w:cs="Arial" w:eastAsia="Arial" w:hAnsi="Arial"/>
          <w:b/>
          <w:bCs/>
          <w:color w:val="0A0B0D"/>
          <w:sz w:val="30"/>
          <w:szCs w:val="30"/>
        </w:rPr>
        <w:t xml:space="preserve">2. Riferimenti</w:t>
      </w:r>
    </w:p>
    <w:p>
      <w:pPr>
        <w:spacing w:after="160" w:line="300"/>
      </w:pPr>
      <w:r>
        <w:rPr>
          <w:rFonts w:ascii="Calibri" w:cs="Calibri" w:eastAsia="Calibri" w:hAnsi="Calibri"/>
          <w:sz w:val="22"/>
          <w:szCs w:val="22"/>
        </w:rPr>
        <w:t xml:space="preserve">Per la stesura di questo documento si fa riferimento ai termini e alle strutture descritte nei documenti Problem Statement (v1.5), Requirement Analysis Document (v1.4), System Design Document e Object Design Document di MotorMindHub. I casi di test derivano dai Requisiti Funzionali (RF1.x–RF4.x) e dai relativi Use Case (UC_1–UC_27) definiti nel RAD; la suddivisione in sottosistemi ricalca quella del System Design Document.</w:t>
      </w:r>
    </w:p>
    <w:p>
      <w:pPr>
        <w:pStyle w:val="Heading1"/>
        <w:pBdr>
          <w:bottom w:val="single" w:color="D6401A" w:sz="12" w:space="4"/>
        </w:pBdr>
        <w:spacing w:after="200" w:before="360"/>
      </w:pPr>
      <w:r>
        <w:rPr>
          <w:rFonts w:ascii="Arial" w:cs="Arial" w:eastAsia="Arial" w:hAnsi="Arial"/>
          <w:b/>
          <w:bCs/>
          <w:color w:val="0A0B0D"/>
          <w:sz w:val="30"/>
          <w:szCs w:val="30"/>
        </w:rPr>
        <w:t xml:space="preserve">3. Funzionalità da Testare</w:t>
      </w:r>
    </w:p>
    <w:p>
      <w:pPr>
        <w:spacing w:after="160" w:line="300"/>
      </w:pPr>
      <w:r>
        <w:rPr>
          <w:rFonts w:ascii="Calibri" w:cs="Calibri" w:eastAsia="Calibri" w:hAnsi="Calibri"/>
          <w:sz w:val="22"/>
          <w:szCs w:val="22"/>
        </w:rPr>
        <w:t xml:space="preserve">Le funzionalità sono organizzate per sottosistema, coerentemente con la scomposizione architetturale del System Design Document.</w:t>
      </w:r>
    </w:p>
    <w:p>
      <w:pPr>
        <w:pStyle w:val="Heading2"/>
        <w:spacing w:after="140" w:before="280"/>
      </w:pPr>
      <w:r>
        <w:rPr>
          <w:rFonts w:ascii="Arial" w:cs="Arial" w:eastAsia="Arial" w:hAnsi="Arial"/>
          <w:b/>
          <w:bCs/>
          <w:color w:val="D6401A"/>
          <w:sz w:val="24"/>
          <w:szCs w:val="24"/>
        </w:rPr>
        <w:t xml:space="preserve">3.1 GestioneUtenti</w:t>
      </w:r>
    </w:p>
    <w:p>
      <w:pPr>
        <w:pStyle w:val="ListParagraph"/>
        <w:numPr>
          <w:ilvl w:val="0"/>
          <w:numId w:val="2"/>
        </w:numPr>
        <w:spacing w:after="90"/>
      </w:pPr>
      <w:r>
        <w:rPr>
          <w:rFonts w:ascii="Calibri" w:cs="Calibri" w:eastAsia="Calibri" w:hAnsi="Calibri"/>
          <w:sz w:val="22"/>
          <w:szCs w:val="22"/>
        </w:rPr>
        <w:t xml:space="preserve">Registrazione e verifica email (RF1.3, UC_1)</w:t>
      </w:r>
    </w:p>
    <w:p>
      <w:pPr>
        <w:pStyle w:val="ListParagraph"/>
        <w:numPr>
          <w:ilvl w:val="0"/>
          <w:numId w:val="2"/>
        </w:numPr>
        <w:spacing w:after="90"/>
      </w:pPr>
      <w:r>
        <w:rPr>
          <w:rFonts w:ascii="Calibri" w:cs="Calibri" w:eastAsia="Calibri" w:hAnsi="Calibri"/>
          <w:sz w:val="22"/>
          <w:szCs w:val="22"/>
        </w:rPr>
        <w:t xml:space="preserve">Login (RF1.4, UC_2)</w:t>
      </w:r>
    </w:p>
    <w:p>
      <w:pPr>
        <w:pStyle w:val="ListParagraph"/>
        <w:numPr>
          <w:ilvl w:val="0"/>
          <w:numId w:val="2"/>
        </w:numPr>
        <w:spacing w:after="90"/>
      </w:pPr>
      <w:r>
        <w:rPr>
          <w:rFonts w:ascii="Calibri" w:cs="Calibri" w:eastAsia="Calibri" w:hAnsi="Calibri"/>
          <w:sz w:val="22"/>
          <w:szCs w:val="22"/>
        </w:rPr>
        <w:t xml:space="preserve">Logout</w:t>
      </w:r>
    </w:p>
    <w:p>
      <w:pPr>
        <w:pStyle w:val="ListParagraph"/>
        <w:numPr>
          <w:ilvl w:val="0"/>
          <w:numId w:val="2"/>
        </w:numPr>
        <w:spacing w:after="90"/>
      </w:pPr>
      <w:r>
        <w:rPr>
          <w:rFonts w:ascii="Calibri" w:cs="Calibri" w:eastAsia="Calibri" w:hAnsi="Calibri"/>
          <w:sz w:val="22"/>
          <w:szCs w:val="22"/>
        </w:rPr>
        <w:t xml:space="preserve">Richiesta e finalizzazione recupero password (RF1.5, UC_3)</w:t>
      </w:r>
    </w:p>
    <w:p>
      <w:pPr>
        <w:pStyle w:val="ListParagraph"/>
        <w:numPr>
          <w:ilvl w:val="0"/>
          <w:numId w:val="2"/>
        </w:numPr>
        <w:spacing w:after="90"/>
      </w:pPr>
      <w:r>
        <w:rPr>
          <w:rFonts w:ascii="Calibri" w:cs="Calibri" w:eastAsia="Calibri" w:hAnsi="Calibri"/>
          <w:sz w:val="22"/>
          <w:szCs w:val="22"/>
        </w:rPr>
        <w:t xml:space="preserve">Modifica dati profilo personale (RF1.6, UC_4)</w:t>
      </w:r>
    </w:p>
    <w:p>
      <w:pPr>
        <w:pStyle w:val="ListParagraph"/>
        <w:numPr>
          <w:ilvl w:val="0"/>
          <w:numId w:val="2"/>
        </w:numPr>
        <w:spacing w:after="90"/>
      </w:pPr>
      <w:r>
        <w:rPr>
          <w:rFonts w:ascii="Calibri" w:cs="Calibri" w:eastAsia="Calibri" w:hAnsi="Calibri"/>
          <w:sz w:val="22"/>
          <w:szCs w:val="22"/>
        </w:rPr>
        <w:t xml:space="preserve">Esportazione dei propri dati personali (RF1.10, UC_25)</w:t>
      </w:r>
    </w:p>
    <w:p>
      <w:pPr>
        <w:pStyle w:val="ListParagraph"/>
        <w:numPr>
          <w:ilvl w:val="0"/>
          <w:numId w:val="2"/>
        </w:numPr>
        <w:spacing w:after="90"/>
      </w:pPr>
      <w:r>
        <w:rPr>
          <w:rFonts w:ascii="Calibri" w:cs="Calibri" w:eastAsia="Calibri" w:hAnsi="Calibri"/>
          <w:sz w:val="22"/>
          <w:szCs w:val="22"/>
        </w:rPr>
        <w:t xml:space="preserve">Richiesta di cancellazione del proprio account (RF1.10, UC_25)</w:t>
      </w:r>
    </w:p>
    <w:p>
      <w:pPr>
        <w:pStyle w:val="ListParagraph"/>
        <w:numPr>
          <w:ilvl w:val="0"/>
          <w:numId w:val="2"/>
        </w:numPr>
        <w:spacing w:after="90"/>
      </w:pPr>
      <w:r>
        <w:rPr>
          <w:rFonts w:ascii="Calibri" w:cs="Calibri" w:eastAsia="Calibri" w:hAnsi="Calibri"/>
          <w:sz w:val="22"/>
          <w:szCs w:val="22"/>
        </w:rPr>
        <w:t xml:space="preserve">Segnalazione di un altro utente (RF1.9, UC_26 — avvio)</w:t>
      </w:r>
    </w:p>
    <w:p>
      <w:pPr>
        <w:pStyle w:val="ListParagraph"/>
        <w:numPr>
          <w:ilvl w:val="0"/>
          <w:numId w:val="2"/>
        </w:numPr>
        <w:spacing w:after="90"/>
      </w:pPr>
      <w:r>
        <w:rPr>
          <w:rFonts w:ascii="Calibri" w:cs="Calibri" w:eastAsia="Calibri" w:hAnsi="Calibri"/>
          <w:sz w:val="22"/>
          <w:szCs w:val="22"/>
        </w:rPr>
        <w:t xml:space="preserve">Rinnovo sessione tramite refresh token, incluso rilevamento di riuso e revoca della famiglia di token</w:t>
      </w:r>
    </w:p>
    <w:p>
      <w:pPr>
        <w:pStyle w:val="Heading2"/>
        <w:spacing w:after="140" w:before="280"/>
      </w:pPr>
      <w:r>
        <w:rPr>
          <w:rFonts w:ascii="Arial" w:cs="Arial" w:eastAsia="Arial" w:hAnsi="Arial"/>
          <w:b/>
          <w:bCs/>
          <w:color w:val="D6401A"/>
          <w:sz w:val="24"/>
          <w:szCs w:val="24"/>
        </w:rPr>
        <w:t xml:space="preserve">3.2 GestioneArticoli</w:t>
      </w:r>
    </w:p>
    <w:p>
      <w:pPr>
        <w:pStyle w:val="ListParagraph"/>
        <w:numPr>
          <w:ilvl w:val="0"/>
          <w:numId w:val="2"/>
        </w:numPr>
        <w:spacing w:after="90"/>
      </w:pPr>
      <w:r>
        <w:rPr>
          <w:rFonts w:ascii="Calibri" w:cs="Calibri" w:eastAsia="Calibri" w:hAnsi="Calibri"/>
          <w:sz w:val="22"/>
          <w:szCs w:val="22"/>
        </w:rPr>
        <w:t xml:space="preserve">Ricerca e filtro articoli, inclusa espansione gerarchica delle sottocategorie (RF1.2, UC_5)</w:t>
      </w:r>
    </w:p>
    <w:p>
      <w:pPr>
        <w:pStyle w:val="ListParagraph"/>
        <w:numPr>
          <w:ilvl w:val="0"/>
          <w:numId w:val="2"/>
        </w:numPr>
        <w:spacing w:after="90"/>
      </w:pPr>
      <w:r>
        <w:rPr>
          <w:rFonts w:ascii="Calibri" w:cs="Calibri" w:eastAsia="Calibri" w:hAnsi="Calibri"/>
          <w:sz w:val="22"/>
          <w:szCs w:val="22"/>
        </w:rPr>
        <w:t xml:space="preserve">Salvataggio articolo in lista Preferiti / Leggi più tardi (RF1.7, UC_6)</w:t>
      </w:r>
    </w:p>
    <w:p>
      <w:pPr>
        <w:pStyle w:val="ListParagraph"/>
        <w:numPr>
          <w:ilvl w:val="0"/>
          <w:numId w:val="2"/>
        </w:numPr>
        <w:spacing w:after="90"/>
      </w:pPr>
      <w:r>
        <w:rPr>
          <w:rFonts w:ascii="Calibri" w:cs="Calibri" w:eastAsia="Calibri" w:hAnsi="Calibri"/>
          <w:sz w:val="22"/>
          <w:szCs w:val="22"/>
        </w:rPr>
        <w:t xml:space="preserve">Rimozione articolo dai salvati (RF1.8, UC_7)</w:t>
      </w:r>
    </w:p>
    <w:p>
      <w:pPr>
        <w:pStyle w:val="ListParagraph"/>
        <w:numPr>
          <w:ilvl w:val="0"/>
          <w:numId w:val="2"/>
        </w:numPr>
        <w:spacing w:after="90"/>
      </w:pPr>
      <w:r>
        <w:rPr>
          <w:rFonts w:ascii="Calibri" w:cs="Calibri" w:eastAsia="Calibri" w:hAnsi="Calibri"/>
          <w:sz w:val="22"/>
          <w:szCs w:val="22"/>
        </w:rPr>
        <w:t xml:space="preserve">Creazione e modifica di una bozza articolo</w:t>
      </w:r>
    </w:p>
    <w:p>
      <w:pPr>
        <w:pStyle w:val="ListParagraph"/>
        <w:numPr>
          <w:ilvl w:val="0"/>
          <w:numId w:val="2"/>
        </w:numPr>
        <w:spacing w:after="90"/>
      </w:pPr>
      <w:r>
        <w:rPr>
          <w:rFonts w:ascii="Calibri" w:cs="Calibri" w:eastAsia="Calibri" w:hAnsi="Calibri"/>
          <w:sz w:val="22"/>
          <w:szCs w:val="22"/>
        </w:rPr>
        <w:t xml:space="preserve">Invio di un articolo in approvazione</w:t>
      </w:r>
    </w:p>
    <w:p>
      <w:pPr>
        <w:pStyle w:val="ListParagraph"/>
        <w:numPr>
          <w:ilvl w:val="0"/>
          <w:numId w:val="2"/>
        </w:numPr>
        <w:spacing w:after="90"/>
      </w:pPr>
      <w:r>
        <w:rPr>
          <w:rFonts w:ascii="Calibri" w:cs="Calibri" w:eastAsia="Calibri" w:hAnsi="Calibri"/>
          <w:sz w:val="22"/>
          <w:szCs w:val="22"/>
        </w:rPr>
        <w:t xml:space="preserve">Modifica di un articolo già pubblicato</w:t>
      </w:r>
    </w:p>
    <w:p>
      <w:pPr>
        <w:pStyle w:val="ListParagraph"/>
        <w:numPr>
          <w:ilvl w:val="0"/>
          <w:numId w:val="2"/>
        </w:numPr>
        <w:spacing w:after="90"/>
      </w:pPr>
      <w:r>
        <w:rPr>
          <w:rFonts w:ascii="Calibri" w:cs="Calibri" w:eastAsia="Calibri" w:hAnsi="Calibri"/>
          <w:sz w:val="22"/>
          <w:szCs w:val="22"/>
        </w:rPr>
        <w:t xml:space="preserve">Eliminazione di una bozza o di un articolo pubblicato</w:t>
      </w:r>
    </w:p>
    <w:p>
      <w:pPr>
        <w:pStyle w:val="ListParagraph"/>
        <w:numPr>
          <w:ilvl w:val="0"/>
          <w:numId w:val="2"/>
        </w:numPr>
        <w:spacing w:after="90"/>
      </w:pPr>
      <w:r>
        <w:rPr>
          <w:rFonts w:ascii="Calibri" w:cs="Calibri" w:eastAsia="Calibri" w:hAnsi="Calibri"/>
          <w:sz w:val="22"/>
          <w:szCs w:val="22"/>
        </w:rPr>
        <w:t xml:space="preserve">Riapertura di un articolo rifiutato (ritorno a bozza) e successiva ripubblicazione</w:t>
      </w:r>
    </w:p>
    <w:p>
      <w:pPr>
        <w:pStyle w:val="ListParagraph"/>
        <w:numPr>
          <w:ilvl w:val="0"/>
          <w:numId w:val="2"/>
        </w:numPr>
        <w:spacing w:after="90"/>
      </w:pPr>
      <w:r>
        <w:rPr>
          <w:rFonts w:ascii="Calibri" w:cs="Calibri" w:eastAsia="Calibri" w:hAnsi="Calibri"/>
          <w:sz w:val="22"/>
          <w:szCs w:val="22"/>
        </w:rPr>
        <w:t xml:space="preserve">Upload dell'immagine di copertina</w:t>
      </w:r>
    </w:p>
    <w:p>
      <w:pPr>
        <w:pStyle w:val="Heading2"/>
        <w:spacing w:after="140" w:before="280"/>
      </w:pPr>
      <w:r>
        <w:rPr>
          <w:rFonts w:ascii="Arial" w:cs="Arial" w:eastAsia="Arial" w:hAnsi="Arial"/>
          <w:b/>
          <w:bCs/>
          <w:color w:val="D6401A"/>
          <w:sz w:val="24"/>
          <w:szCs w:val="24"/>
        </w:rPr>
        <w:t xml:space="preserve">3.3 GestioneCategorie</w:t>
      </w:r>
    </w:p>
    <w:p>
      <w:pPr>
        <w:pStyle w:val="ListParagraph"/>
        <w:numPr>
          <w:ilvl w:val="0"/>
          <w:numId w:val="2"/>
        </w:numPr>
        <w:spacing w:after="90"/>
      </w:pPr>
      <w:r>
        <w:rPr>
          <w:rFonts w:ascii="Calibri" w:cs="Calibri" w:eastAsia="Calibri" w:hAnsi="Calibri"/>
          <w:sz w:val="22"/>
          <w:szCs w:val="22"/>
        </w:rPr>
        <w:t xml:space="preserve">Creazione di una categoria radice</w:t>
      </w:r>
    </w:p>
    <w:p>
      <w:pPr>
        <w:pStyle w:val="ListParagraph"/>
        <w:numPr>
          <w:ilvl w:val="0"/>
          <w:numId w:val="2"/>
        </w:numPr>
        <w:spacing w:after="90"/>
      </w:pPr>
      <w:r>
        <w:rPr>
          <w:rFonts w:ascii="Calibri" w:cs="Calibri" w:eastAsia="Calibri" w:hAnsi="Calibri"/>
          <w:sz w:val="22"/>
          <w:szCs w:val="22"/>
        </w:rPr>
        <w:t xml:space="preserve">Creazione di una sottocategoria (categoria con padre)</w:t>
      </w:r>
    </w:p>
    <w:p>
      <w:pPr>
        <w:pStyle w:val="ListParagraph"/>
        <w:numPr>
          <w:ilvl w:val="0"/>
          <w:numId w:val="2"/>
        </w:numPr>
        <w:spacing w:after="90"/>
      </w:pPr>
      <w:r>
        <w:rPr>
          <w:rFonts w:ascii="Calibri" w:cs="Calibri" w:eastAsia="Calibri" w:hAnsi="Calibri"/>
          <w:sz w:val="22"/>
          <w:szCs w:val="22"/>
        </w:rPr>
        <w:t xml:space="preserve">Modifica di una categoria esistente</w:t>
      </w:r>
    </w:p>
    <w:p>
      <w:pPr>
        <w:pStyle w:val="ListParagraph"/>
        <w:numPr>
          <w:ilvl w:val="0"/>
          <w:numId w:val="2"/>
        </w:numPr>
        <w:spacing w:after="90"/>
      </w:pPr>
      <w:r>
        <w:rPr>
          <w:rFonts w:ascii="Calibri" w:cs="Calibri" w:eastAsia="Calibri" w:hAnsi="Calibri"/>
          <w:sz w:val="22"/>
          <w:szCs w:val="22"/>
        </w:rPr>
        <w:t xml:space="preserve">Eliminazione di una categoria con riassegnazione degli articoli orfani</w:t>
      </w:r>
    </w:p>
    <w:p>
      <w:pPr>
        <w:pStyle w:val="ListParagraph"/>
        <w:numPr>
          <w:ilvl w:val="0"/>
          <w:numId w:val="2"/>
        </w:numPr>
        <w:spacing w:after="90"/>
      </w:pPr>
      <w:r>
        <w:rPr>
          <w:rFonts w:ascii="Calibri" w:cs="Calibri" w:eastAsia="Calibri" w:hAnsi="Calibri"/>
          <w:sz w:val="22"/>
          <w:szCs w:val="22"/>
        </w:rPr>
        <w:t xml:space="preserve">Blocco dell'eliminazione di una categoria con sottocategorie figlie</w:t>
      </w:r>
    </w:p>
    <w:p>
      <w:pPr>
        <w:pStyle w:val="Heading2"/>
        <w:spacing w:after="140" w:before="280"/>
      </w:pPr>
      <w:r>
        <w:rPr>
          <w:rFonts w:ascii="Arial" w:cs="Arial" w:eastAsia="Arial" w:hAnsi="Arial"/>
          <w:b/>
          <w:bCs/>
          <w:color w:val="D6401A"/>
          <w:sz w:val="24"/>
          <w:szCs w:val="24"/>
        </w:rPr>
        <w:t xml:space="preserve">3.4 GestioneAutori</w:t>
      </w:r>
    </w:p>
    <w:p>
      <w:pPr>
        <w:pStyle w:val="ListParagraph"/>
        <w:numPr>
          <w:ilvl w:val="0"/>
          <w:numId w:val="2"/>
        </w:numPr>
        <w:spacing w:after="90"/>
      </w:pPr>
      <w:r>
        <w:rPr>
          <w:rFonts w:ascii="Calibri" w:cs="Calibri" w:eastAsia="Calibri" w:hAnsi="Calibri"/>
          <w:sz w:val="22"/>
          <w:szCs w:val="22"/>
        </w:rPr>
        <w:t xml:space="preserve">Invito di un nuovo Autore (RF2.x, UC_9)</w:t>
      </w:r>
    </w:p>
    <w:p>
      <w:pPr>
        <w:pStyle w:val="ListParagraph"/>
        <w:numPr>
          <w:ilvl w:val="0"/>
          <w:numId w:val="2"/>
        </w:numPr>
        <w:spacing w:after="90"/>
      </w:pPr>
      <w:r>
        <w:rPr>
          <w:rFonts w:ascii="Calibri" w:cs="Calibri" w:eastAsia="Calibri" w:hAnsi="Calibri"/>
          <w:sz w:val="22"/>
          <w:szCs w:val="22"/>
        </w:rPr>
        <w:t xml:space="preserve">Accettazione e rifiuto di un invito (UC_10)</w:t>
      </w:r>
    </w:p>
    <w:p>
      <w:pPr>
        <w:pStyle w:val="ListParagraph"/>
        <w:numPr>
          <w:ilvl w:val="0"/>
          <w:numId w:val="2"/>
        </w:numPr>
        <w:spacing w:after="90"/>
      </w:pPr>
      <w:r>
        <w:rPr>
          <w:rFonts w:ascii="Calibri" w:cs="Calibri" w:eastAsia="Calibri" w:hAnsi="Calibri"/>
          <w:sz w:val="22"/>
          <w:szCs w:val="22"/>
        </w:rPr>
        <w:t xml:space="preserve">Rimozione di un Autore, con scelta su mantenimento o eliminazione dei suoi articoli (UC_11)</w:t>
      </w:r>
    </w:p>
    <w:p>
      <w:pPr>
        <w:pStyle w:val="ListParagraph"/>
        <w:numPr>
          <w:ilvl w:val="0"/>
          <w:numId w:val="2"/>
        </w:numPr>
        <w:spacing w:after="90"/>
      </w:pPr>
      <w:r>
        <w:rPr>
          <w:rFonts w:ascii="Calibri" w:cs="Calibri" w:eastAsia="Calibri" w:hAnsi="Calibri"/>
          <w:sz w:val="22"/>
          <w:szCs w:val="22"/>
        </w:rPr>
        <w:t xml:space="preserve">Approvazione e rifiuto di un articolo in coda di moderazione</w:t>
      </w:r>
    </w:p>
    <w:p>
      <w:pPr>
        <w:pStyle w:val="ListParagraph"/>
        <w:numPr>
          <w:ilvl w:val="0"/>
          <w:numId w:val="2"/>
        </w:numPr>
        <w:spacing w:after="90"/>
      </w:pPr>
      <w:r>
        <w:rPr>
          <w:rFonts w:ascii="Calibri" w:cs="Calibri" w:eastAsia="Calibri" w:hAnsi="Calibri"/>
          <w:sz w:val="22"/>
          <w:szCs w:val="22"/>
        </w:rPr>
        <w:t xml:space="preserve">Consultazione della Dashboard Manageriale</w:t>
      </w:r>
    </w:p>
    <w:p>
      <w:pPr>
        <w:pStyle w:val="Heading2"/>
        <w:spacing w:after="140" w:before="280"/>
      </w:pPr>
      <w:r>
        <w:rPr>
          <w:rFonts w:ascii="Arial" w:cs="Arial" w:eastAsia="Arial" w:hAnsi="Arial"/>
          <w:b/>
          <w:bCs/>
          <w:color w:val="D6401A"/>
          <w:sz w:val="24"/>
          <w:szCs w:val="24"/>
        </w:rPr>
        <w:t xml:space="preserve">3.5 GestioneAmministrazioneUtenti</w:t>
      </w:r>
    </w:p>
    <w:p>
      <w:pPr>
        <w:pStyle w:val="ListParagraph"/>
        <w:numPr>
          <w:ilvl w:val="0"/>
          <w:numId w:val="2"/>
        </w:numPr>
        <w:spacing w:after="90"/>
      </w:pPr>
      <w:r>
        <w:rPr>
          <w:rFonts w:ascii="Calibri" w:cs="Calibri" w:eastAsia="Calibri" w:hAnsi="Calibri"/>
          <w:sz w:val="22"/>
          <w:szCs w:val="22"/>
        </w:rPr>
        <w:t xml:space="preserve">Consultazione della Dashboard di Gestione Utenti (RF4.x)</w:t>
      </w:r>
    </w:p>
    <w:p>
      <w:pPr>
        <w:pStyle w:val="ListParagraph"/>
        <w:numPr>
          <w:ilvl w:val="0"/>
          <w:numId w:val="2"/>
        </w:numPr>
        <w:spacing w:after="90"/>
      </w:pPr>
      <w:r>
        <w:rPr>
          <w:rFonts w:ascii="Calibri" w:cs="Calibri" w:eastAsia="Calibri" w:hAnsi="Calibri"/>
          <w:sz w:val="22"/>
          <w:szCs w:val="22"/>
        </w:rPr>
        <w:t xml:space="preserve">Ricerca e consultazione dell'elenco utenti, incluso il ruolo</w:t>
      </w:r>
    </w:p>
    <w:p>
      <w:pPr>
        <w:pStyle w:val="ListParagraph"/>
        <w:numPr>
          <w:ilvl w:val="0"/>
          <w:numId w:val="2"/>
        </w:numPr>
        <w:spacing w:after="90"/>
      </w:pPr>
      <w:r>
        <w:rPr>
          <w:rFonts w:ascii="Calibri" w:cs="Calibri" w:eastAsia="Calibri" w:hAnsi="Calibri"/>
          <w:sz w:val="22"/>
          <w:szCs w:val="22"/>
        </w:rPr>
        <w:t xml:space="preserve">Sospensione di un account, inclusa la regola che impedisce a un Gestore Utenti di sospendere un altro Gestore Utenti (RF4.x, UC_23)</w:t>
      </w:r>
    </w:p>
    <w:p>
      <w:pPr>
        <w:pStyle w:val="ListParagraph"/>
        <w:numPr>
          <w:ilvl w:val="0"/>
          <w:numId w:val="2"/>
        </w:numPr>
        <w:spacing w:after="90"/>
      </w:pPr>
      <w:r>
        <w:rPr>
          <w:rFonts w:ascii="Calibri" w:cs="Calibri" w:eastAsia="Calibri" w:hAnsi="Calibri"/>
          <w:sz w:val="22"/>
          <w:szCs w:val="22"/>
        </w:rPr>
        <w:t xml:space="preserve">Riattivazione di un account sospeso</w:t>
      </w:r>
    </w:p>
    <w:p>
      <w:pPr>
        <w:pStyle w:val="ListParagraph"/>
        <w:numPr>
          <w:ilvl w:val="0"/>
          <w:numId w:val="2"/>
        </w:numPr>
        <w:spacing w:after="90"/>
      </w:pPr>
      <w:r>
        <w:rPr>
          <w:rFonts w:ascii="Calibri" w:cs="Calibri" w:eastAsia="Calibri" w:hAnsi="Calibri"/>
          <w:sz w:val="22"/>
          <w:szCs w:val="22"/>
        </w:rPr>
        <w:t xml:space="preserve">Gestione della coda di segnalazioni, incluso lo scalare una segnalazione a sospensione (UC_26)</w:t>
      </w:r>
    </w:p>
    <w:p>
      <w:pPr>
        <w:pStyle w:val="ListParagraph"/>
        <w:numPr>
          <w:ilvl w:val="0"/>
          <w:numId w:val="2"/>
        </w:numPr>
        <w:spacing w:after="90"/>
      </w:pPr>
      <w:r>
        <w:rPr>
          <w:rFonts w:ascii="Calibri" w:cs="Calibri" w:eastAsia="Calibri" w:hAnsi="Calibri"/>
          <w:sz w:val="22"/>
          <w:szCs w:val="22"/>
        </w:rPr>
        <w:t xml:space="preserve">Gestione della coda di richieste di cancellazione account (UC_25)</w:t>
      </w:r>
    </w:p>
    <w:p>
      <w:pPr>
        <w:pStyle w:val="ListParagraph"/>
        <w:numPr>
          <w:ilvl w:val="0"/>
          <w:numId w:val="2"/>
        </w:numPr>
        <w:spacing w:after="90"/>
      </w:pPr>
      <w:r>
        <w:rPr>
          <w:rFonts w:ascii="Calibri" w:cs="Calibri" w:eastAsia="Calibri" w:hAnsi="Calibri"/>
          <w:sz w:val="22"/>
          <w:szCs w:val="22"/>
        </w:rPr>
        <w:t xml:space="preserve">Esportazione assistita dei dati personali di un utente (RF4.8, UC_27)</w:t>
      </w:r>
    </w:p>
    <w:p>
      <w:pPr>
        <w:pStyle w:val="ListParagraph"/>
        <w:numPr>
          <w:ilvl w:val="0"/>
          <w:numId w:val="2"/>
        </w:numPr>
        <w:spacing w:after="90"/>
      </w:pPr>
      <w:r>
        <w:rPr>
          <w:rFonts w:ascii="Calibri" w:cs="Calibri" w:eastAsia="Calibri" w:hAnsi="Calibri"/>
          <w:sz w:val="22"/>
          <w:szCs w:val="22"/>
        </w:rPr>
        <w:t xml:space="preserve">Consultazione della cronologia delle azioni amministrative</w:t>
      </w:r>
    </w:p>
    <w:p>
      <w:pPr>
        <w:pStyle w:val="Heading2"/>
        <w:spacing w:after="140" w:before="280"/>
      </w:pPr>
      <w:r>
        <w:rPr>
          <w:rFonts w:ascii="Arial" w:cs="Arial" w:eastAsia="Arial" w:hAnsi="Arial"/>
          <w:b/>
          <w:bCs/>
          <w:color w:val="D6401A"/>
          <w:sz w:val="24"/>
          <w:szCs w:val="24"/>
        </w:rPr>
        <w:t xml:space="preserve">3.6 GestioneNotifiche</w:t>
      </w:r>
    </w:p>
    <w:p>
      <w:pPr>
        <w:pStyle w:val="ListParagraph"/>
        <w:numPr>
          <w:ilvl w:val="0"/>
          <w:numId w:val="2"/>
        </w:numPr>
        <w:spacing w:after="90"/>
      </w:pPr>
      <w:r>
        <w:rPr>
          <w:rFonts w:ascii="Calibri" w:cs="Calibri" w:eastAsia="Calibri" w:hAnsi="Calibri"/>
          <w:sz w:val="22"/>
          <w:szCs w:val="22"/>
        </w:rPr>
        <w:t xml:space="preserve">Invio email di verifica registrazione, con scadenza del token</w:t>
      </w:r>
    </w:p>
    <w:p>
      <w:pPr>
        <w:pStyle w:val="ListParagraph"/>
        <w:numPr>
          <w:ilvl w:val="0"/>
          <w:numId w:val="2"/>
        </w:numPr>
        <w:spacing w:after="90"/>
      </w:pPr>
      <w:r>
        <w:rPr>
          <w:rFonts w:ascii="Calibri" w:cs="Calibri" w:eastAsia="Calibri" w:hAnsi="Calibri"/>
          <w:sz w:val="22"/>
          <w:szCs w:val="22"/>
        </w:rPr>
        <w:t xml:space="preserve">Invio email di recupero password</w:t>
      </w:r>
    </w:p>
    <w:p>
      <w:pPr>
        <w:pStyle w:val="ListParagraph"/>
        <w:numPr>
          <w:ilvl w:val="0"/>
          <w:numId w:val="2"/>
        </w:numPr>
        <w:spacing w:after="90"/>
      </w:pPr>
      <w:r>
        <w:rPr>
          <w:rFonts w:ascii="Calibri" w:cs="Calibri" w:eastAsia="Calibri" w:hAnsi="Calibri"/>
          <w:sz w:val="22"/>
          <w:szCs w:val="22"/>
        </w:rPr>
        <w:t xml:space="preserve">Invio email di invito Autore</w:t>
      </w:r>
    </w:p>
    <w:p>
      <w:pPr>
        <w:pStyle w:val="ListParagraph"/>
        <w:numPr>
          <w:ilvl w:val="0"/>
          <w:numId w:val="2"/>
        </w:numPr>
        <w:spacing w:after="90"/>
      </w:pPr>
      <w:r>
        <w:rPr>
          <w:rFonts w:ascii="Calibri" w:cs="Calibri" w:eastAsia="Calibri" w:hAnsi="Calibri"/>
          <w:sz w:val="22"/>
          <w:szCs w:val="22"/>
        </w:rPr>
        <w:t xml:space="preserve">Invio email di sospensione e riattivazione account</w:t>
      </w:r>
    </w:p>
    <w:p>
      <w:pPr>
        <w:pStyle w:val="ListParagraph"/>
        <w:numPr>
          <w:ilvl w:val="0"/>
          <w:numId w:val="2"/>
        </w:numPr>
        <w:spacing w:after="90"/>
      </w:pPr>
      <w:r>
        <w:rPr>
          <w:rFonts w:ascii="Calibri" w:cs="Calibri" w:eastAsia="Calibri" w:hAnsi="Calibri"/>
          <w:sz w:val="22"/>
          <w:szCs w:val="22"/>
        </w:rPr>
        <w:t xml:space="preserve">Invio email di esito segnalazione ed esportazione dati</w:t>
      </w:r>
    </w:p>
    <w:p>
      <w:pPr>
        <w:pStyle w:val="ListParagraph"/>
        <w:numPr>
          <w:ilvl w:val="0"/>
          <w:numId w:val="2"/>
        </w:numPr>
        <w:spacing w:after="90"/>
      </w:pPr>
      <w:r>
        <w:rPr>
          <w:rFonts w:ascii="Calibri" w:cs="Calibri" w:eastAsia="Calibri" w:hAnsi="Calibri"/>
          <w:sz w:val="22"/>
          <w:szCs w:val="22"/>
        </w:rPr>
        <w:t xml:space="preserve">Comportamento in caso di fallimento del provider email (non deve bloccare l'operazione principale)</w:t>
      </w:r>
    </w:p>
    <w:p>
      <w:pPr>
        <w:pStyle w:val="Heading1"/>
        <w:pBdr>
          <w:bottom w:val="single" w:color="D6401A" w:sz="12" w:space="4"/>
        </w:pBdr>
        <w:spacing w:after="200" w:before="360"/>
      </w:pPr>
      <w:r>
        <w:rPr>
          <w:rFonts w:ascii="Arial" w:cs="Arial" w:eastAsia="Arial" w:hAnsi="Arial"/>
          <w:b/>
          <w:bCs/>
          <w:color w:val="0A0B0D"/>
          <w:sz w:val="30"/>
          <w:szCs w:val="30"/>
        </w:rPr>
        <w:t xml:space="preserve">4. Pass/Fail Criteria</w:t>
      </w:r>
    </w:p>
    <w:p>
      <w:pPr>
        <w:spacing w:after="160" w:line="300"/>
      </w:pPr>
      <w:r>
        <w:rPr>
          <w:rFonts w:ascii="Calibri" w:cs="Calibri" w:eastAsia="Calibri" w:hAnsi="Calibri"/>
          <w:sz w:val="22"/>
          <w:szCs w:val="22"/>
        </w:rPr>
        <w:t xml:space="preserve">Un test ha esito positivo (Pass) quando il comportamento osservato del sistema coincide con l'oracolo atteso, definito nella Test Case Specification. Un test ha esito negativo (Fail) quando l'output osservato diverge da quello atteso: in tal caso viene aperta una voce nel Test Incident Report, il fault viene analizzato e corretto, e il test viene rieseguito per verificare sia la risoluzione sia l'assenza di regressioni collaterali — pratica applicata sistematicamente durante lo sviluppo, spesso disabilitando temporaneamente la correzione per confermare che il test la intercetti davvero prima di ripristinarla.</w:t>
      </w:r>
    </w:p>
    <w:p>
      <w:pPr>
        <w:pStyle w:val="Heading1"/>
        <w:pBdr>
          <w:bottom w:val="single" w:color="D6401A" w:sz="12" w:space="4"/>
        </w:pBdr>
        <w:spacing w:after="200" w:before="360"/>
      </w:pPr>
      <w:r>
        <w:rPr>
          <w:rFonts w:ascii="Arial" w:cs="Arial" w:eastAsia="Arial" w:hAnsi="Arial"/>
          <w:b/>
          <w:bCs/>
          <w:color w:val="0A0B0D"/>
          <w:sz w:val="30"/>
          <w:szCs w:val="30"/>
        </w:rPr>
        <w:t xml:space="preserve">5. Approccio</w:t>
      </w:r>
    </w:p>
    <w:p>
      <w:pPr>
        <w:spacing w:after="160" w:line="300"/>
      </w:pPr>
      <w:r>
        <w:rPr>
          <w:rFonts w:ascii="Calibri" w:cs="Calibri" w:eastAsia="Calibri" w:hAnsi="Calibri"/>
          <w:sz w:val="22"/>
          <w:szCs w:val="22"/>
        </w:rPr>
        <w:t xml:space="preserve">L'approccio al testing è articolato su tre livelli, coerenti con la piramide di test applicata durante l'intero sviluppo del sistema.</w:t>
      </w:r>
    </w:p>
    <w:p>
      <w:pPr>
        <w:pStyle w:val="Heading3"/>
        <w:spacing w:after="100" w:before="200"/>
      </w:pPr>
      <w:r>
        <w:rPr>
          <w:rFonts w:ascii="Arial" w:cs="Arial" w:eastAsia="Arial" w:hAnsi="Arial"/>
          <w:b/>
          <w:bCs/>
          <w:color w:val="16181D"/>
          <w:sz w:val="21"/>
          <w:szCs w:val="21"/>
        </w:rPr>
        <w:t xml:space="preserve">5.1 Test di unità</w:t>
      </w:r>
    </w:p>
    <w:p>
      <w:pPr>
        <w:spacing w:after="160" w:line="300"/>
      </w:pPr>
      <w:r>
        <w:rPr>
          <w:rFonts w:ascii="Calibri" w:cs="Calibri" w:eastAsia="Calibri" w:hAnsi="Calibri"/>
          <w:sz w:val="22"/>
          <w:szCs w:val="22"/>
        </w:rPr>
        <w:t xml:space="preserve">Verificano il comportamento dei singoli metodi di servizio (livello Service, es. GestioneUtenti, GestioneArticoli) in isolamento, con le dipendenze (repository, servizi esterni) sostituite da mock. La tecnica di selezione dei casi adottata è il Category Partition: gli input vengono suddivisi in categorie e scelte significative per coprire sistematicamente i comportamenti rilevanti riducendo il numero di casi necessari — dettagliata caso per caso nella Test Case Specification.</w:t>
      </w:r>
    </w:p>
    <w:p>
      <w:pPr>
        <w:pStyle w:val="Heading3"/>
        <w:spacing w:after="100" w:before="200"/>
      </w:pPr>
      <w:r>
        <w:rPr>
          <w:rFonts w:ascii="Arial" w:cs="Arial" w:eastAsia="Arial" w:hAnsi="Arial"/>
          <w:b/>
          <w:bCs/>
          <w:color w:val="16181D"/>
          <w:sz w:val="21"/>
          <w:szCs w:val="21"/>
        </w:rPr>
        <w:t xml:space="preserve">5.2 Test di integrazione</w:t>
      </w:r>
    </w:p>
    <w:p>
      <w:pPr>
        <w:spacing w:after="160" w:line="300"/>
      </w:pPr>
      <w:r>
        <w:rPr>
          <w:rFonts w:ascii="Calibri" w:cs="Calibri" w:eastAsia="Calibri" w:hAnsi="Calibri"/>
          <w:sz w:val="22"/>
          <w:szCs w:val="22"/>
        </w:rPr>
        <w:t xml:space="preserve">Verificano il comportamento dei componenti applicativi (controller, service, repository, filtri di sicurezza) integrati tra loro e con un database Postgres reale, tramite un contesto Spring applicativo effettivo (non mockato). Questo livello ha permesso di rilevare difetti non visibili ai soli test di unità — ad esempio problemi di binding dei tipi in query native, race condition su connessioni al pool, comportamento reale dei vincoli di integrità referenziale in cascata.</w:t>
      </w:r>
    </w:p>
    <w:p>
      <w:pPr>
        <w:pStyle w:val="Heading3"/>
        <w:spacing w:after="100" w:before="200"/>
      </w:pPr>
      <w:r>
        <w:rPr>
          <w:rFonts w:ascii="Arial" w:cs="Arial" w:eastAsia="Arial" w:hAnsi="Arial"/>
          <w:b/>
          <w:bCs/>
          <w:color w:val="16181D"/>
          <w:sz w:val="21"/>
          <w:szCs w:val="21"/>
        </w:rPr>
        <w:t xml:space="preserve">5.3 Test di sistema / end-to-end</w:t>
      </w:r>
    </w:p>
    <w:p>
      <w:pPr>
        <w:spacing w:after="160" w:line="300"/>
      </w:pPr>
      <w:r>
        <w:rPr>
          <w:rFonts w:ascii="Calibri" w:cs="Calibri" w:eastAsia="Calibri" w:hAnsi="Calibri"/>
          <w:sz w:val="22"/>
          <w:szCs w:val="22"/>
        </w:rPr>
        <w:t xml:space="preserve">Verificano il comportamento del sistema completo dal punto di vista dell'utente finale, tramite automazione del browser contro il frontend Next.js in esecuzione, a sua volta connesso al backend Spring Boot e a un database Postgres reali (non mockati), con provider email reale (Mailpit in ambiente locale, Postmark in produzione) e storage immagini reale (Cloudinary). Questo livello include anche verifiche trasversali di accessibilità (conformità WCAG 2.1 AA tramite axe-core, cfr. RNF8.1) e di corretto isolamento dei permessi tra ruoli.</w:t>
      </w:r>
    </w:p>
    <w:p>
      <w:pPr>
        <w:pStyle w:val="Heading1"/>
        <w:pBdr>
          <w:bottom w:val="single" w:color="D6401A" w:sz="12" w:space="4"/>
        </w:pBdr>
        <w:spacing w:after="200" w:before="360"/>
      </w:pPr>
      <w:r>
        <w:rPr>
          <w:rFonts w:ascii="Arial" w:cs="Arial" w:eastAsia="Arial" w:hAnsi="Arial"/>
          <w:b/>
          <w:bCs/>
          <w:color w:val="0A0B0D"/>
          <w:sz w:val="30"/>
          <w:szCs w:val="30"/>
        </w:rPr>
        <w:t xml:space="preserve">6. Sospensione e Ripresa</w:t>
      </w:r>
    </w:p>
    <w:p>
      <w:pPr>
        <w:spacing w:after="160" w:line="300"/>
      </w:pPr>
      <w:r>
        <w:rPr>
          <w:rFonts w:ascii="Calibri" w:cs="Calibri" w:eastAsia="Calibri" w:hAnsi="Calibri"/>
          <w:sz w:val="22"/>
          <w:szCs w:val="22"/>
        </w:rPr>
        <w:t xml:space="preserve">Quando un test evidenzia un fault, il testing sul componente interessato viene sospeso fino all'identificazione della causa radice. La ripresa avviene solo dopo la correzione, con il test originale rieseguito e, dove opportuno, esteso con un caso di regressione dedicato che verifichi esplicitamente la persistenza della correzione nel tempo.</w:t>
      </w:r>
    </w:p>
    <w:p>
      <w:pPr>
        <w:pStyle w:val="Heading1"/>
        <w:pBdr>
          <w:bottom w:val="single" w:color="D6401A" w:sz="12" w:space="4"/>
        </w:pBdr>
        <w:spacing w:after="200" w:before="360"/>
      </w:pPr>
      <w:r>
        <w:rPr>
          <w:rFonts w:ascii="Arial" w:cs="Arial" w:eastAsia="Arial" w:hAnsi="Arial"/>
          <w:b/>
          <w:bCs/>
          <w:color w:val="0A0B0D"/>
          <w:sz w:val="30"/>
          <w:szCs w:val="30"/>
        </w:rPr>
        <w:t xml:space="preserve">7. Testing Materials</w:t>
      </w:r>
    </w:p>
    <w:p>
      <w:pPr>
        <w:spacing w:after="160" w:line="300"/>
      </w:pPr>
      <w:r>
        <w:rPr>
          <w:rFonts w:ascii="Calibri" w:cs="Calibri" w:eastAsia="Calibri" w:hAnsi="Calibri"/>
          <w:sz w:val="22"/>
          <w:szCs w:val="22"/>
        </w:rPr>
        <w:t xml:space="preserve">Gli strumenti impiegati, per livello:</w:t>
      </w:r>
    </w:p>
    <w:p>
      <w:pPr>
        <w:pStyle w:val="ListParagraph"/>
        <w:numPr>
          <w:ilvl w:val="0"/>
          <w:numId w:val="2"/>
        </w:numPr>
        <w:spacing w:after="90"/>
      </w:pPr>
      <w:r>
        <w:rPr>
          <w:rFonts w:ascii="Calibri" w:cs="Calibri" w:eastAsia="Calibri" w:hAnsi="Calibri"/>
          <w:sz w:val="22"/>
          <w:szCs w:val="22"/>
        </w:rPr>
        <w:t xml:space="preserve">Test di unità (backend): JUnit 5, Mockito</w:t>
      </w:r>
    </w:p>
    <w:p>
      <w:pPr>
        <w:pStyle w:val="ListParagraph"/>
        <w:numPr>
          <w:ilvl w:val="0"/>
          <w:numId w:val="2"/>
        </w:numPr>
        <w:spacing w:after="90"/>
      </w:pPr>
      <w:r>
        <w:rPr>
          <w:rFonts w:ascii="Calibri" w:cs="Calibri" w:eastAsia="Calibri" w:hAnsi="Calibri"/>
          <w:sz w:val="22"/>
          <w:szCs w:val="22"/>
        </w:rPr>
        <w:t xml:space="preserve">Test di integrazione (backend): Spring Boot Test, database Postgres reale (non H2/in-memory), Flyway per l'allineamento dello schema</w:t>
      </w:r>
    </w:p>
    <w:p>
      <w:pPr>
        <w:pStyle w:val="ListParagraph"/>
        <w:numPr>
          <w:ilvl w:val="0"/>
          <w:numId w:val="2"/>
        </w:numPr>
        <w:spacing w:after="90"/>
      </w:pPr>
      <w:r>
        <w:rPr>
          <w:rFonts w:ascii="Calibri" w:cs="Calibri" w:eastAsia="Calibri" w:hAnsi="Calibri"/>
          <w:sz w:val="22"/>
          <w:szCs w:val="22"/>
        </w:rPr>
        <w:t xml:space="preserve">Test di unità (frontend): Vitest</w:t>
      </w:r>
    </w:p>
    <w:p>
      <w:pPr>
        <w:pStyle w:val="ListParagraph"/>
        <w:numPr>
          <w:ilvl w:val="0"/>
          <w:numId w:val="2"/>
        </w:numPr>
        <w:spacing w:after="90"/>
      </w:pPr>
      <w:r>
        <w:rPr>
          <w:rFonts w:ascii="Calibri" w:cs="Calibri" w:eastAsia="Calibri" w:hAnsi="Calibri"/>
          <w:sz w:val="22"/>
          <w:szCs w:val="22"/>
        </w:rPr>
        <w:t xml:space="preserve">Test end-to-end (frontend): Playwright, contro backend, database, Mailpit e Cloudinary reali</w:t>
      </w:r>
    </w:p>
    <w:p>
      <w:pPr>
        <w:pStyle w:val="ListParagraph"/>
        <w:numPr>
          <w:ilvl w:val="0"/>
          <w:numId w:val="2"/>
        </w:numPr>
        <w:spacing w:after="90"/>
      </w:pPr>
      <w:r>
        <w:rPr>
          <w:rFonts w:ascii="Calibri" w:cs="Calibri" w:eastAsia="Calibri" w:hAnsi="Calibri"/>
          <w:sz w:val="22"/>
          <w:szCs w:val="22"/>
        </w:rPr>
        <w:t xml:space="preserve">Accessibilità: axe-core (integrato nei test Playwright), verifica manuale di navigazione da tastiera</w:t>
      </w:r>
    </w:p>
    <w:p>
      <w:pPr>
        <w:pStyle w:val="ListParagraph"/>
        <w:numPr>
          <w:ilvl w:val="0"/>
          <w:numId w:val="2"/>
        </w:numPr>
        <w:spacing w:after="90"/>
      </w:pPr>
      <w:r>
        <w:rPr>
          <w:rFonts w:ascii="Calibri" w:cs="Calibri" w:eastAsia="Calibri" w:hAnsi="Calibri"/>
          <w:sz w:val="22"/>
          <w:szCs w:val="22"/>
        </w:rPr>
        <w:t xml:space="preserve">Verifica manuale puntuale: richieste dirette (curl) contro gli endpoint REST, ispezione dei log applicativi in ambiente di produzione (Railway)</w:t>
      </w:r>
    </w:p>
    <w:p>
      <w:pPr>
        <w:pStyle w:val="Heading1"/>
        <w:pBdr>
          <w:bottom w:val="single" w:color="D6401A" w:sz="12" w:space="4"/>
        </w:pBdr>
        <w:spacing w:after="200" w:before="360"/>
      </w:pPr>
      <w:r>
        <w:rPr>
          <w:rFonts w:ascii="Arial" w:cs="Arial" w:eastAsia="Arial" w:hAnsi="Arial"/>
          <w:b/>
          <w:bCs/>
          <w:color w:val="0A0B0D"/>
          <w:sz w:val="30"/>
          <w:szCs w:val="30"/>
        </w:rPr>
        <w:t xml:space="preserve">8. Elenco delle Funzionalità Oggetto di Test Case</w:t>
      </w:r>
    </w:p>
    <w:p>
      <w:pPr>
        <w:spacing w:after="160" w:line="300"/>
      </w:pPr>
      <w:r>
        <w:rPr>
          <w:rFonts w:ascii="Calibri" w:cs="Calibri" w:eastAsia="Calibri" w:hAnsi="Calibri"/>
          <w:sz w:val="22"/>
          <w:szCs w:val="22"/>
        </w:rPr>
        <w:t xml:space="preserve">Il dettaglio dei casi di test — categorie, scelte, test frame e oracoli — per ciascuna delle funzionalità elencate nella Sezione 3 è riportato nella Test Case Specification (TCS), documento separato che estende questo piano.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099"/>
        <w:sz w:val="16"/>
        <w:szCs w:val="16"/>
      </w:rPr>
      <w:t xml:space="preserve">MotorMindHub — Test Plan v1.0  |  PAG. </w:t>
    </w:r>
    <w:r>
      <w:rPr>
        <w:rFonts w:ascii="Calibri" w:cs="Calibri" w:eastAsia="Calibri" w:hAnsi="Calibri"/>
        <w:color w:val="8A9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A6069" w:sz="4" w:space="4"/>
      </w:pBdr>
    </w:pPr>
    <w:r>
      <w:rPr>
        <w:rFonts w:ascii="Calibri" w:cs="Calibri" w:eastAsia="Calibri" w:hAnsi="Calibri"/>
        <w:color w:val="8A9099"/>
        <w:sz w:val="16"/>
        <w:szCs w:val="16"/>
      </w:rPr>
      <w:t xml:space="preserve">MOTORMINDHUB — TEST PLAN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2026-08-10T13:23:56.053Z</dcterms:created>
  <dcterms:modified xsi:type="dcterms:W3CDTF">2026-08-10T13:23:56.075Z</dcterms:modified>
</cp:coreProperties>
</file>

<file path=docProps/custom.xml><?xml version="1.0" encoding="utf-8"?>
<Properties xmlns="http://schemas.openxmlformats.org/officeDocument/2006/custom-properties" xmlns:vt="http://schemas.openxmlformats.org/officeDocument/2006/docPropsVTypes"/>
</file>