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2E7BB5"/>
          <w:sz w:val="24"/>
          <w:szCs w:val="24"/>
        </w:rPr>
        <w:t xml:space="preserve">Section 0</w:t>
      </w:r>
    </w:p>
    <w:p>
      <w:pPr>
        <w:spacing w:after="200" w:before="0"/>
      </w:pPr>
      <w:r>
        <w:rPr>
          <w:rFonts w:ascii="Arial" w:cs="Arial" w:eastAsia="Arial" w:hAnsi="Arial"/>
          <w:b/>
          <w:bCs/>
          <w:color w:val="1A3C5E"/>
          <w:sz w:val="44"/>
          <w:szCs w:val="44"/>
        </w:rPr>
        <w:t xml:space="preserve">État de l'existant Toké</w:t>
      </w:r>
    </w:p>
    <w:p>
      <w:pPr>
        <w:spacing w:after="80" w:before="0"/>
      </w:pPr>
      <w:r>
        <w:rPr>
          <w:rFonts w:ascii="Arial" w:cs="Arial" w:eastAsia="Arial" w:hAnsi="Arial"/>
          <w:i/>
          <w:iCs/>
          <w:color w:val="666666"/>
          <w:sz w:val="22"/>
          <w:szCs w:val="22"/>
        </w:rPr>
        <w:t xml:space="preserve">Inventaire des fonctionnalités déjà livrées, à consolider, ou réellement à construire — à lire avant les sections P0, P1 et P2 de la spécification LMT.</w:t>
      </w:r>
    </w:p>
    <w:p>
      <w:pPr>
        <w:pBdr>
          <w:bottom w:val="single" w:color="2E7BB5" w:sz="6" w:space="1"/>
        </w:pBdr>
        <w:spacing w:after="240" w:before="120"/>
      </w:pPr>
      <w:r>
        <w:t xml:space="preserve"/>
      </w:r>
    </w:p>
    <w:p>
      <w:pPr>
        <w:pStyle w:val="Heading2"/>
        <w:spacing w:after="140" w:before="280"/>
      </w:pPr>
      <w:r>
        <w:rPr>
          <w:rFonts w:ascii="Arial" w:cs="Arial" w:eastAsia="Arial" w:hAnsi="Arial"/>
          <w:b/>
          <w:bCs/>
          <w:color w:val="2E7BB5"/>
          <w:sz w:val="28"/>
          <w:szCs w:val="28"/>
        </w:rPr>
        <w:t xml:space="preserve">0.1  Pourquoi cette section existe</w:t>
      </w:r>
    </w:p>
    <w:p>
      <w:pPr>
        <w:spacing w:after="80" w:before="80"/>
      </w:pPr>
      <w:r>
        <w:rPr>
          <w:rFonts w:ascii="Arial" w:cs="Arial" w:eastAsia="Arial" w:hAnsi="Arial"/>
          <w:sz w:val="22"/>
          <w:szCs w:val="22"/>
        </w:rPr>
        <w:t xml:space="preserve">La version v1 de la spécification LMT décrit Toké Core comme une plateforme de pointage, mémos et hiérarchie organisationnelle — et traite les modules Planning et CC comme entièrement nouveaux.</w:t>
      </w:r>
    </w:p>
    <w:p>
      <w:pPr>
        <w:spacing w:after="0" w:before="40"/>
      </w:pPr>
      <w:r>
        <w:t xml:space="preserve"/>
      </w:r>
    </w:p>
    <w:p>
      <w:pPr>
        <w:spacing w:after="80" w:before="80"/>
      </w:pPr>
      <w:r>
        <w:rPr>
          <w:rFonts w:ascii="Arial" w:cs="Arial" w:eastAsia="Arial" w:hAnsi="Arial"/>
          <w:sz w:val="22"/>
          <w:szCs w:val="22"/>
        </w:rPr>
        <w:t xml:space="preserve">L'analyse des trois collections Postman (Toké Core API, Toké Manager API, Toké Check-in API) révèle que Toké dispose déjà de fonctionnalités avancées qui recoupent directement le périmètre des modules P0 et P1 :</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Session Templates et Session Models (gabarits d'horaires assignables à une équipe)</w:t>
      </w:r>
    </w:p>
    <w:p>
      <w:pPr>
        <w:pStyle w:val="ListParagraph"/>
        <w:numPr>
          <w:ilvl w:val="0"/>
          <w:numId w:val="2"/>
        </w:numPr>
        <w:spacing w:after="40" w:before="40"/>
      </w:pPr>
      <w:r>
        <w:rPr>
          <w:rFonts w:ascii="Arial" w:cs="Arial" w:eastAsia="Arial" w:hAnsi="Arial"/>
          <w:sz w:val="22"/>
          <w:szCs w:val="22"/>
        </w:rPr>
        <w:t xml:space="preserve">Rotation Groups et Rotation Assignments (rotations d'employés sur des groupes)</w:t>
      </w:r>
    </w:p>
    <w:p>
      <w:pPr>
        <w:pStyle w:val="ListParagraph"/>
        <w:numPr>
          <w:ilvl w:val="0"/>
          <w:numId w:val="2"/>
        </w:numPr>
        <w:spacing w:after="40" w:before="40"/>
      </w:pPr>
      <w:r>
        <w:rPr>
          <w:rFonts w:ascii="Arial" w:cs="Arial" w:eastAsia="Arial" w:hAnsi="Arial"/>
          <w:sz w:val="22"/>
          <w:szCs w:val="22"/>
        </w:rPr>
        <w:t xml:space="preserve">Schedule Assignments (exceptions et overrides d'horaire individuel)</w:t>
      </w:r>
    </w:p>
    <w:p>
      <w:pPr>
        <w:pStyle w:val="ListParagraph"/>
        <w:numPr>
          <w:ilvl w:val="0"/>
          <w:numId w:val="2"/>
        </w:numPr>
        <w:spacing w:after="40" w:before="40"/>
      </w:pPr>
      <w:r>
        <w:rPr>
          <w:rFonts w:ascii="Arial" w:cs="Arial" w:eastAsia="Arial" w:hAnsi="Arial"/>
          <w:sz w:val="22"/>
          <w:szCs w:val="22"/>
        </w:rPr>
        <w:t xml:space="preserve">Attendance temps réel multi-axes (sessions actives, présence par site, statistiques journalières avec calcul des retards)</w:t>
      </w:r>
    </w:p>
    <w:p>
      <w:pPr>
        <w:pStyle w:val="ListParagraph"/>
        <w:numPr>
          <w:ilvl w:val="0"/>
          <w:numId w:val="2"/>
        </w:numPr>
        <w:spacing w:after="40" w:before="40"/>
      </w:pPr>
      <w:r>
        <w:rPr>
          <w:rFonts w:ascii="Arial" w:cs="Arial" w:eastAsia="Arial" w:hAnsi="Arial"/>
          <w:sz w:val="22"/>
          <w:szCs w:val="22"/>
        </w:rPr>
        <w:t xml:space="preserve">Teams / Groups avec hiérarchie récursive et assignation de session template</w:t>
      </w:r>
    </w:p>
    <w:p>
      <w:pPr>
        <w:pStyle w:val="ListParagraph"/>
        <w:numPr>
          <w:ilvl w:val="0"/>
          <w:numId w:val="2"/>
        </w:numPr>
        <w:spacing w:after="40" w:before="40"/>
      </w:pPr>
      <w:r>
        <w:rPr>
          <w:rFonts w:ascii="Arial" w:cs="Arial" w:eastAsia="Arial" w:hAnsi="Arial"/>
          <w:sz w:val="22"/>
          <w:szCs w:val="22"/>
        </w:rPr>
        <w:t xml:space="preserve">Fraud Detection intégrée (alertes, patterns, investigation)</w:t>
      </w:r>
    </w:p>
    <w:p>
      <w:pPr>
        <w:spacing w:after="0" w:before="40"/>
      </w:pPr>
      <w:r>
        <w:t xml:space="preserve"/>
      </w:r>
    </w:p>
    <w:p>
      <w:pPr>
        <w:spacing w:after="80" w:before="80"/>
      </w:pPr>
      <w:r>
        <w:rPr>
          <w:rFonts w:ascii="Arial" w:cs="Arial" w:eastAsia="Arial" w:hAnsi="Arial"/>
          <w:sz w:val="22"/>
          <w:szCs w:val="22"/>
        </w:rPr>
        <w:t xml:space="preserve">Ignorer cet existant dans la roadmap crée deux risques :</w:t>
      </w:r>
    </w:p>
    <w:p>
      <w:pPr>
        <w:pStyle w:val="ListParagraph"/>
        <w:numPr>
          <w:ilvl w:val="0"/>
          <w:numId w:val="2"/>
        </w:numPr>
        <w:spacing w:after="40" w:before="40"/>
      </w:pPr>
      <w:r>
        <w:rPr>
          <w:rFonts w:ascii="Arial" w:cs="Arial" w:eastAsia="Arial" w:hAnsi="Arial"/>
          <w:sz w:val="22"/>
          <w:szCs w:val="22"/>
        </w:rPr>
        <w:t xml:space="preserve">Réinventer des briques qui existent, allongeant P1 inutilement.</w:t>
      </w:r>
    </w:p>
    <w:p>
      <w:pPr>
        <w:pStyle w:val="ListParagraph"/>
        <w:numPr>
          <w:ilvl w:val="0"/>
          <w:numId w:val="2"/>
        </w:numPr>
        <w:spacing w:after="40" w:before="40"/>
      </w:pPr>
      <w:r>
        <w:rPr>
          <w:rFonts w:ascii="Arial" w:cs="Arial" w:eastAsia="Arial" w:hAnsi="Arial"/>
          <w:sz w:val="22"/>
          <w:szCs w:val="22"/>
        </w:rPr>
        <w:t xml:space="preserve">Créer des entités (ShiftTemplate, PlannedShift…) sémantiquement redondantes avec l'existant, introduisant de la confusion dans la base de données et l'API.</w:t>
      </w:r>
    </w:p>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D8EAF7" w:val="clear"/>
            <w:tcMar>
              <w:top w:type="dxa" w:w="160"/>
              <w:left w:type="dxa" w:w="200"/>
              <w:bottom w:type="dxa" w:w="160"/>
              <w:right w:type="dxa" w:w="200"/>
            </w:tcMar>
          </w:tcPr>
          <w:p>
            <w:r>
              <w:rPr>
                <w:rFonts w:ascii="Arial" w:cs="Arial" w:eastAsia="Arial" w:hAnsi="Arial"/>
                <w:i/>
                <w:iCs/>
                <w:color w:val="1A3C5E"/>
                <w:sz w:val="22"/>
                <w:szCs w:val="22"/>
              </w:rPr>
              <w:t xml:space="preserve">⚡  Principe de cette section : pour chaque fonctionnalité identifiée dans les collections Postman, on documente si elle est livrée, partielle, ou absente — et on en tire une recommandation concrète pour le chiffrage P0/P1.</w:t>
            </w:r>
          </w:p>
        </w:tc>
      </w:tr>
    </w:tbl>
    <w:p>
      <w:pPr>
        <w:spacing w:after="0" w:before="80"/>
      </w:pPr>
      <w:r>
        <w:t xml:space="preserve"/>
      </w:r>
    </w:p>
    <w:p>
      <w:pPr>
        <w:pStyle w:val="Heading2"/>
        <w:spacing w:after="140" w:before="280"/>
      </w:pPr>
      <w:r>
        <w:rPr>
          <w:rFonts w:ascii="Arial" w:cs="Arial" w:eastAsia="Arial" w:hAnsi="Arial"/>
          <w:b/>
          <w:bCs/>
          <w:color w:val="2E7BB5"/>
          <w:sz w:val="28"/>
          <w:szCs w:val="28"/>
        </w:rPr>
        <w:t xml:space="preserve">0.2  Inventaire détaillé de l'existant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200"/>
        <w:gridCol w:w="24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Module / Entité</w:t>
            </w:r>
          </w:p>
        </w:tc>
        <w:tc>
          <w:tcPr>
            <w:tcW w:type="dxa" w:w="35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Endpoints &amp; fonctions existants</w:t>
            </w:r>
          </w:p>
        </w:tc>
        <w:tc>
          <w:tcPr>
            <w:tcW w:type="dxa" w:w="1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Statut</w:t>
            </w:r>
          </w:p>
        </w:tc>
        <w:tc>
          <w:tcPr>
            <w:tcW w:type="dxa" w:w="24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Impact sur la spec LMT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Templates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/session-templates
GET /session-templates/list
PATCH /session-templates/make-default
POST /session-model
GET /session-model/list
PUT /session-model/:guid</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Équivalent direct du ShiftTemplate P1. À mapper avant de créer une nouvelle entité.</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Rotation Groups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/rotation-groups
GET /rotation-groups/list</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Couvre les rotations 3×8 / 2×12 et les shifts CC par groupe.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Rotation Assignments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/rotation-assignments
GET /rotation-assignments/list
GET /rotation-assignments/:manager/list
GET /rotation-assignments/:guid</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Affectation d'un employé à un groupe de rotation. Peut servir de base à PlannedShift.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Schedule Assignments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/schedule-assignments
GET /schedule-assignments/:guid/list
PUT /schedule-assignments/:guid
PATCH /schedule-assignments/template/:guid</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Exceptions et overrides individuels. Couvre ShiftSwapReq et absences ponctuelles.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Attendance temps réel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/user/attendance/active-sessions
GET /user/attendance/today
GET /user/attendance/daily (avec calcul retards)
GET /user/attendance/employee/:guid/current
GET /user/attendance/site/:guid/current
GET /time-entries/attendance/statistics</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Base du RTA Dashboard P2. Certains endpoints calculent déjà les retards — à exploiter avant de reconstruire.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Teams / Groups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/teams
GET /teams/manager/:manager/team-hierarchy
GET /teams/manager/:manager/all-members-flat
GET /teams/manager/:manager/direct-members
GET /teams/manager/:manager/active-session
PATCH /teams/:guid/sessions (assignation session template)
PATCH /teams/:guid/members</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Hiérarchie récursive et assignation de session template à une équipe déjà opérationnelles.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QR Code / Devices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/qr-code
POST /devices
GET /devices/list
PATCH /site/generate-qr-code</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Gestion multi-device déjà en place. Utile pour les badges CC fixes.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Fraud Detection</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 /fraud/active-alerts
GET /fraud/patterns/
PUT /fraud/alerts/:guid/investigate
PUT /fraud/alerts/:guid/resolve</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Non mentionné dans la spec LMT. Argument commercial fort (faux pointages, GPS falsifiés).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Memo 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/memo, GET /memo/pending-validation
PATCH /memo/:guid/validate|reject|escalate
GET /memo/statistics/overview
GET /memo/auto-generated
GET /memo/urgent</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Complet. La boucle mémo → planning (Flux 3) peut s'appuyer directement sur ces endpoints.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Billing / Licences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 /billing/current-license
GET /billing/billable-employees
GET /billing/period-preview
POST /billing/payment/initiate
GET /billing/payment/:id/status</w:t>
            </w:r>
          </w:p>
        </w:tc>
        <w:tc>
          <w:tcPr>
            <w:tcW w:type="dxa" w:w="12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Modèle commercial modulaire déjà supporté (Core / Planning / CC comme options additionnelles).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Webhooks sortants signés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visible dans les collections</w:t>
            </w:r>
          </w:p>
        </w:tc>
        <w:tc>
          <w:tcPr>
            <w:tcW w:type="dxa" w:w="12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color w:val="B81C1C"/>
                <w:sz w:val="18"/>
                <w:szCs w:val="18"/>
              </w:rPr>
              <w:t xml:space="preserve">🔨 À construire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Story P0-1 : à construire. Requis pour les Flux 2 et 3 de la spec.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OpenAPI 3.0 publique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 documenté dans les collections</w:t>
            </w:r>
          </w:p>
        </w:tc>
        <w:tc>
          <w:tcPr>
            <w:tcW w:type="dxa" w:w="12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color w:val="B81C1C"/>
                <w:sz w:val="18"/>
                <w:szCs w:val="18"/>
              </w:rPr>
              <w:t xml:space="preserve">🔨 À construire</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Story P0-2 : à produire. Bloquant pour l'intégration Extension Web.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Pagination cursor-based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Paramètres non standardisés observés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B85C00"/>
                <w:sz w:val="18"/>
                <w:szCs w:val="18"/>
              </w:rPr>
              <w:t xml:space="preserve">⚠️ Partiel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Story P0-4 : à standardiser sur tous les endpoints de listing.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Documentation x-api-signature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Headers présents (x-api-key, x-api-signature, x-api-timestamp) mais algorithme non documenté</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B85C00"/>
                <w:sz w:val="18"/>
                <w:szCs w:val="18"/>
              </w:rPr>
              <w:t xml:space="preserve">⚠️ Partiel</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Story P0-3 : documenter canonical request + HMAC. Bloquant pour l'Extension Web.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Push notifications (FCM)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visible dans les collections</w:t>
            </w:r>
          </w:p>
        </w:tc>
        <w:tc>
          <w:tcPr>
            <w:tcW w:type="dxa" w:w="12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color w:val="B81C1C"/>
                <w:sz w:val="18"/>
                <w:szCs w:val="18"/>
              </w:rPr>
              <w:t xml:space="preserve">🔨 À construire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Story P0-5 (implicite) : requis pour CU-AGT-2 (notif shift 1h avant).</w:t>
            </w:r>
          </w:p>
        </w:tc>
      </w:tr>
    </w:tbl>
    <w:p>
      <w:pPr>
        <w:spacing w:after="0" w:before="80"/>
      </w:pPr>
      <w:r>
        <w:t xml:space="preserve"/>
      </w:r>
    </w:p>
    <w:p>
      <w:pPr>
        <w:pStyle w:val="Heading2"/>
        <w:spacing w:after="140" w:before="280"/>
      </w:pPr>
      <w:r>
        <w:rPr>
          <w:rFonts w:ascii="Arial" w:cs="Arial" w:eastAsia="Arial" w:hAnsi="Arial"/>
          <w:b/>
          <w:bCs/>
          <w:color w:val="2E7BB5"/>
          <w:sz w:val="28"/>
          <w:szCs w:val="28"/>
        </w:rPr>
        <w:t xml:space="preserve">0.3  Impact sur la roadmap P0 / P1</w:t>
      </w:r>
    </w:p>
    <w:p>
      <w:pPr>
        <w:spacing w:after="0" w:before="40"/>
      </w:pPr>
      <w:r>
        <w:t xml:space="preserve"/>
      </w:r>
    </w:p>
    <w:p>
      <w:pPr>
        <w:spacing w:after="80" w:before="80"/>
      </w:pPr>
      <w:r>
        <w:rPr>
          <w:rFonts w:ascii="Arial" w:cs="Arial" w:eastAsia="Arial" w:hAnsi="Arial"/>
          <w:sz w:val="22"/>
          <w:szCs w:val="22"/>
        </w:rPr>
        <w:t xml:space="preserve">Le tableau suivant réévalue les stories P0 de la spec LMT à la lumière de l'existant :</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300"/>
        <w:gridCol w:w="22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Story P0 (spec LMT)</w:t>
            </w:r>
          </w:p>
        </w:tc>
        <w:tc>
          <w:tcPr>
            <w:tcW w:type="dxa" w:w="3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Réalité dans les collections</w:t>
            </w:r>
          </w:p>
        </w:tc>
        <w:tc>
          <w:tcPr>
            <w:tcW w:type="dxa" w:w="13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Delta réel</w:t>
            </w:r>
          </w:p>
        </w:tc>
        <w:tc>
          <w:tcPr>
            <w:tcW w:type="dxa" w:w="22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Recommandation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P0-1 — Webhooks sortants signés HMAC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 des collections. Aucun endpoint webhook observable.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1C1C"/>
                <w:sz w:val="20"/>
                <w:szCs w:val="20"/>
              </w:rPr>
              <w:t xml:space="preserve">Plein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À construire intégralement. Maintenir en P0 priorité ⭐⭐⭐.</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P0-2 — OpenAPI 3.0 publique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Absent. Collections Postman disponibles mais non converties.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1C1C"/>
                <w:sz w:val="20"/>
                <w:szCs w:val="20"/>
              </w:rPr>
              <w:t xml:space="preserve">Plein</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Générer depuis les collections Postman (postman2openapi). Gain de temps significatif.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P0-3 — Doc algorithme x-api-signature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présents et utilisés, algorithme non documenté publiquement.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Partiel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Rédiger la documentation. Travail de quelques jours, non de semaines.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P0-4 — Pagination cursor-based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Listing endpoints existent. Pagination non standardisée.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Partiel</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Standardiser le pattern (cursor, limit, total). Ne pas recréer des endpoints.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ShiftTemplate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/session-templates et /session-model existent avec CRUD complet.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D47"/>
                <w:sz w:val="20"/>
                <w:szCs w:val="20"/>
              </w:rPr>
              <w:t xml:space="preserve">Nul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Mapper ShiftTemplate → session-template. Éviter la duplication d'entité.</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P1 — PlannedShift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/rotation-assignments + /schedule-assignments couvrent partiellement le concept.</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Partiel</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Évaluer si PlannedShift est une vue composite ou une nouvelle table. Décision d'architecture requise.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ShiftSwapReq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/schedule-assignments gère les exceptions individuelles.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20"/>
                <w:szCs w:val="20"/>
              </w:rPr>
              <w:t xml:space="preserve">Partiel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Étendre schedule-assignments avec un workflow swap (demande → validation → confirmation).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P2 — RTA Dashboard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/user/attendance/* fournit sessions actives, présence site, retards calculés.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85C00"/>
                <w:sz w:val="20"/>
                <w:szCs w:val="20"/>
              </w:rPr>
              <w:t xml:space="preserve">Partiel</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sz w:val="20"/>
                <w:szCs w:val="20"/>
              </w:rPr>
              <w:t xml:space="preserve">Construire le dashboard en agrégeant ces endpoints. Ne pas réécrire la logique de calcul.</w:t>
            </w:r>
          </w:p>
        </w:tc>
      </w:tr>
    </w:tbl>
    <w:p>
      <w:pPr>
        <w:spacing w:after="0" w:before="80"/>
      </w:pPr>
      <w:r>
        <w:t xml:space="preserve"/>
      </w:r>
    </w:p>
    <w:p>
      <w:pPr>
        <w:pStyle w:val="Heading2"/>
        <w:spacing w:after="140" w:before="280"/>
      </w:pPr>
      <w:r>
        <w:rPr>
          <w:rFonts w:ascii="Arial" w:cs="Arial" w:eastAsia="Arial" w:hAnsi="Arial"/>
          <w:b/>
          <w:bCs/>
          <w:color w:val="2E7BB5"/>
          <w:sz w:val="28"/>
          <w:szCs w:val="28"/>
        </w:rPr>
        <w:t xml:space="preserve">0.4  Recommandations pour l'équipe produit Toké</w:t>
      </w:r>
    </w:p>
    <w:p>
      <w:pPr>
        <w:spacing w:after="0" w:before="40"/>
      </w:pPr>
      <w:r>
        <w:t xml:space="preserve"/>
      </w:r>
    </w:p>
    <w:p>
      <w:pPr>
        <w:pStyle w:val="Heading3"/>
        <w:spacing w:after="100" w:before="200"/>
      </w:pPr>
      <w:r>
        <w:rPr>
          <w:rFonts w:ascii="Arial" w:cs="Arial" w:eastAsia="Arial" w:hAnsi="Arial"/>
          <w:b/>
          <w:bCs/>
          <w:color w:val="1A3C5E"/>
          <w:sz w:val="24"/>
          <w:szCs w:val="24"/>
        </w:rPr>
        <w:t xml:space="preserve">0.4.1  Aligner le vocabulaire avant de coder</w:t>
      </w:r>
    </w:p>
    <w:p>
      <w:pPr>
        <w:spacing w:after="80" w:before="80"/>
      </w:pPr>
      <w:r>
        <w:rPr>
          <w:rFonts w:ascii="Arial" w:cs="Arial" w:eastAsia="Arial" w:hAnsi="Arial"/>
          <w:sz w:val="22"/>
          <w:szCs w:val="22"/>
        </w:rPr>
        <w:t xml:space="preserve">La spec LMT introduit des entités (ShiftTemplate, PlannedShift, ShiftSwapReq) dont les équivalents fonctionnels existent déjà dans Toké sous d'autres noms. Avant de créer de nouvelles tables en base, il faut tenir un atelier de mapping :</w:t>
      </w:r>
    </w:p>
    <w:p>
      <w:pPr>
        <w:spacing w:after="0" w:before="40"/>
      </w:pPr>
      <w:r>
        <w:t xml:space="preserve"/>
      </w:r>
    </w:p>
    <w:p>
      <w:pPr>
        <w:pStyle w:val="ListParagraph"/>
        <w:numPr>
          <w:ilvl w:val="0"/>
          <w:numId w:val="2"/>
        </w:numPr>
        <w:spacing w:after="40" w:before="40"/>
      </w:pPr>
      <w:r>
        <w:rPr>
          <w:rFonts w:ascii="Arial" w:cs="Arial" w:eastAsia="Arial" w:hAnsi="Arial"/>
          <w:b/>
          <w:bCs/>
          <w:sz w:val="22"/>
          <w:szCs w:val="22"/>
        </w:rPr>
        <w:t xml:space="preserve">Spec LMT : </w:t>
      </w:r>
      <w:r>
        <w:rPr>
          <w:rFonts w:ascii="Arial" w:cs="Arial" w:eastAsia="Arial" w:hAnsi="Arial"/>
          <w:sz w:val="22"/>
          <w:szCs w:val="22"/>
        </w:rPr>
        <w:t xml:space="preserve">ShiftTemplate</w:t>
      </w:r>
      <w:r>
        <w:rPr>
          <w:rFonts w:ascii="Arial" w:cs="Arial" w:eastAsia="Arial" w:hAnsi="Arial"/>
          <w:b/>
          <w:bCs/>
          <w:sz w:val="22"/>
          <w:szCs w:val="22"/>
        </w:rPr>
        <w:t xml:space="preserve">  →  </w:t>
      </w:r>
      <w:r>
        <w:rPr>
          <w:rFonts w:ascii="Arial" w:cs="Arial" w:eastAsia="Arial" w:hAnsi="Arial"/>
          <w:i/>
          <w:iCs/>
          <w:sz w:val="22"/>
          <w:szCs w:val="22"/>
        </w:rPr>
        <w:t xml:space="preserve">Toké existant : </w:t>
      </w:r>
      <w:r>
        <w:rPr>
          <w:rFonts w:ascii="Arial" w:cs="Arial" w:eastAsia="Arial" w:hAnsi="Arial"/>
          <w:sz w:val="22"/>
          <w:szCs w:val="22"/>
        </w:rPr>
        <w:t xml:space="preserve">session-template / session-model</w:t>
      </w:r>
    </w:p>
    <w:p>
      <w:pPr>
        <w:pStyle w:val="ListParagraph"/>
        <w:numPr>
          <w:ilvl w:val="0"/>
          <w:numId w:val="2"/>
        </w:numPr>
        <w:spacing w:after="40" w:before="40"/>
      </w:pPr>
      <w:r>
        <w:rPr>
          <w:rFonts w:ascii="Arial" w:cs="Arial" w:eastAsia="Arial" w:hAnsi="Arial"/>
          <w:b/>
          <w:bCs/>
          <w:sz w:val="22"/>
          <w:szCs w:val="22"/>
        </w:rPr>
        <w:t xml:space="preserve">Spec LMT : </w:t>
      </w:r>
      <w:r>
        <w:rPr>
          <w:rFonts w:ascii="Arial" w:cs="Arial" w:eastAsia="Arial" w:hAnsi="Arial"/>
          <w:sz w:val="22"/>
          <w:szCs w:val="22"/>
        </w:rPr>
        <w:t xml:space="preserve">PlannedShift</w:t>
      </w:r>
      <w:r>
        <w:rPr>
          <w:rFonts w:ascii="Arial" w:cs="Arial" w:eastAsia="Arial" w:hAnsi="Arial"/>
          <w:b/>
          <w:bCs/>
          <w:sz w:val="22"/>
          <w:szCs w:val="22"/>
        </w:rPr>
        <w:t xml:space="preserve">  →  </w:t>
      </w:r>
      <w:r>
        <w:rPr>
          <w:rFonts w:ascii="Arial" w:cs="Arial" w:eastAsia="Arial" w:hAnsi="Arial"/>
          <w:i/>
          <w:iCs/>
          <w:sz w:val="22"/>
          <w:szCs w:val="22"/>
        </w:rPr>
        <w:t xml:space="preserve">Toké existant : </w:t>
      </w:r>
      <w:r>
        <w:rPr>
          <w:rFonts w:ascii="Arial" w:cs="Arial" w:eastAsia="Arial" w:hAnsi="Arial"/>
          <w:sz w:val="22"/>
          <w:szCs w:val="22"/>
        </w:rPr>
        <w:t xml:space="preserve">rotation-assignment + schedule-assignment (à confirmer)</w:t>
      </w:r>
    </w:p>
    <w:p>
      <w:pPr>
        <w:pStyle w:val="ListParagraph"/>
        <w:numPr>
          <w:ilvl w:val="0"/>
          <w:numId w:val="2"/>
        </w:numPr>
        <w:spacing w:after="40" w:before="40"/>
      </w:pPr>
      <w:r>
        <w:rPr>
          <w:rFonts w:ascii="Arial" w:cs="Arial" w:eastAsia="Arial" w:hAnsi="Arial"/>
          <w:b/>
          <w:bCs/>
          <w:sz w:val="22"/>
          <w:szCs w:val="22"/>
        </w:rPr>
        <w:t xml:space="preserve">Spec LMT : </w:t>
      </w:r>
      <w:r>
        <w:rPr>
          <w:rFonts w:ascii="Arial" w:cs="Arial" w:eastAsia="Arial" w:hAnsi="Arial"/>
          <w:sz w:val="22"/>
          <w:szCs w:val="22"/>
        </w:rPr>
        <w:t xml:space="preserve">ShiftSwapReq</w:t>
      </w:r>
      <w:r>
        <w:rPr>
          <w:rFonts w:ascii="Arial" w:cs="Arial" w:eastAsia="Arial" w:hAnsi="Arial"/>
          <w:b/>
          <w:bCs/>
          <w:sz w:val="22"/>
          <w:szCs w:val="22"/>
        </w:rPr>
        <w:t xml:space="preserve">  →  </w:t>
      </w:r>
      <w:r>
        <w:rPr>
          <w:rFonts w:ascii="Arial" w:cs="Arial" w:eastAsia="Arial" w:hAnsi="Arial"/>
          <w:i/>
          <w:iCs/>
          <w:sz w:val="22"/>
          <w:szCs w:val="22"/>
        </w:rPr>
        <w:t xml:space="preserve">Toké existant : </w:t>
      </w:r>
      <w:r>
        <w:rPr>
          <w:rFonts w:ascii="Arial" w:cs="Arial" w:eastAsia="Arial" w:hAnsi="Arial"/>
          <w:sz w:val="22"/>
          <w:szCs w:val="22"/>
        </w:rPr>
        <w:t xml:space="preserve">schedule-assignment avec statut swap (à étendre)</w:t>
      </w:r>
    </w:p>
    <w:p>
      <w:pPr>
        <w:pStyle w:val="ListParagraph"/>
        <w:numPr>
          <w:ilvl w:val="0"/>
          <w:numId w:val="2"/>
        </w:numPr>
        <w:spacing w:after="40" w:before="40"/>
      </w:pPr>
      <w:r>
        <w:rPr>
          <w:rFonts w:ascii="Arial" w:cs="Arial" w:eastAsia="Arial" w:hAnsi="Arial"/>
          <w:b/>
          <w:bCs/>
          <w:sz w:val="22"/>
          <w:szCs w:val="22"/>
        </w:rPr>
        <w:t xml:space="preserve">Spec LMT : </w:t>
      </w:r>
      <w:r>
        <w:rPr>
          <w:rFonts w:ascii="Arial" w:cs="Arial" w:eastAsia="Arial" w:hAnsi="Arial"/>
          <w:sz w:val="22"/>
          <w:szCs w:val="22"/>
        </w:rPr>
        <w:t xml:space="preserve">RTA Dashboard</w:t>
      </w:r>
      <w:r>
        <w:rPr>
          <w:rFonts w:ascii="Arial" w:cs="Arial" w:eastAsia="Arial" w:hAnsi="Arial"/>
          <w:b/>
          <w:bCs/>
          <w:sz w:val="22"/>
          <w:szCs w:val="22"/>
        </w:rPr>
        <w:t xml:space="preserve">  →  </w:t>
      </w:r>
      <w:r>
        <w:rPr>
          <w:rFonts w:ascii="Arial" w:cs="Arial" w:eastAsia="Arial" w:hAnsi="Arial"/>
          <w:i/>
          <w:iCs/>
          <w:sz w:val="22"/>
          <w:szCs w:val="22"/>
        </w:rPr>
        <w:t xml:space="preserve">Toké existant : </w:t>
      </w:r>
      <w:r>
        <w:rPr>
          <w:rFonts w:ascii="Arial" w:cs="Arial" w:eastAsia="Arial" w:hAnsi="Arial"/>
          <w:sz w:val="22"/>
          <w:szCs w:val="22"/>
        </w:rPr>
        <w:t xml:space="preserve">/user/attendance/* (à agréger, pas à recréer)</w:t>
      </w:r>
    </w:p>
    <w:p>
      <w:pPr>
        <w:spacing w:after="0" w:before="40"/>
      </w:pPr>
      <w:r>
        <w:t xml:space="preserve"/>
      </w:r>
    </w:p>
    <w:p>
      <w:pPr>
        <w:pStyle w:val="Heading3"/>
        <w:spacing w:after="100" w:before="200"/>
      </w:pPr>
      <w:r>
        <w:rPr>
          <w:rFonts w:ascii="Arial" w:cs="Arial" w:eastAsia="Arial" w:hAnsi="Arial"/>
          <w:b/>
          <w:bCs/>
          <w:color w:val="1A3C5E"/>
          <w:sz w:val="24"/>
          <w:szCs w:val="24"/>
        </w:rPr>
        <w:t xml:space="preserve">0.4.2  Réviser le chiffrage P0</w:t>
      </w:r>
    </w:p>
    <w:p>
      <w:pPr>
        <w:spacing w:after="80" w:before="80"/>
      </w:pPr>
      <w:r>
        <w:rPr>
          <w:rFonts w:ascii="Arial" w:cs="Arial" w:eastAsia="Arial" w:hAnsi="Arial"/>
          <w:sz w:val="22"/>
          <w:szCs w:val="22"/>
        </w:rPr>
        <w:t xml:space="preserve">La phase P0 (6-8 semaines dans la spec) peut être raccourcie ou requalifiée :</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Les webhooks (P0-1) et les push notifications sont les seuls vrais travaux from-scratch.</w:t>
      </w:r>
    </w:p>
    <w:p>
      <w:pPr>
        <w:pStyle w:val="ListParagraph"/>
        <w:numPr>
          <w:ilvl w:val="0"/>
          <w:numId w:val="2"/>
        </w:numPr>
        <w:spacing w:after="40" w:before="40"/>
      </w:pPr>
      <w:r>
        <w:rPr>
          <w:rFonts w:ascii="Arial" w:cs="Arial" w:eastAsia="Arial" w:hAnsi="Arial"/>
          <w:sz w:val="22"/>
          <w:szCs w:val="22"/>
        </w:rPr>
        <w:t xml:space="preserve">L'OpenAPI peut être bootstrappée en quelques jours depuis les collections Postman via postman2openapi ou openapi-postman.</w:t>
      </w:r>
    </w:p>
    <w:p>
      <w:pPr>
        <w:pStyle w:val="ListParagraph"/>
        <w:numPr>
          <w:ilvl w:val="0"/>
          <w:numId w:val="2"/>
        </w:numPr>
        <w:spacing w:after="40" w:before="40"/>
      </w:pPr>
      <w:r>
        <w:rPr>
          <w:rFonts w:ascii="Arial" w:cs="Arial" w:eastAsia="Arial" w:hAnsi="Arial"/>
          <w:sz w:val="22"/>
          <w:szCs w:val="22"/>
        </w:rPr>
        <w:t xml:space="preserve">La documentation de signature (P0-3) est un travail rédactionnel, pas un développement.</w:t>
      </w:r>
    </w:p>
    <w:p>
      <w:pPr>
        <w:pStyle w:val="ListParagraph"/>
        <w:numPr>
          <w:ilvl w:val="0"/>
          <w:numId w:val="2"/>
        </w:numPr>
        <w:spacing w:after="40" w:before="40"/>
      </w:pPr>
      <w:r>
        <w:rPr>
          <w:rFonts w:ascii="Arial" w:cs="Arial" w:eastAsia="Arial" w:hAnsi="Arial"/>
          <w:sz w:val="22"/>
          <w:szCs w:val="22"/>
        </w:rPr>
        <w:t xml:space="preserve">La pagination (P0-4) est une refactorisation, pas un nouveau module.</w:t>
      </w:r>
    </w:p>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D6EFE2" w:val="clear"/>
            <w:tcMar>
              <w:top w:type="dxa" w:w="160"/>
              <w:left w:type="dxa" w:w="200"/>
              <w:bottom w:type="dxa" w:w="160"/>
              <w:right w:type="dxa" w:w="200"/>
            </w:tcMar>
          </w:tcPr>
          <w:p>
            <w:r>
              <w:rPr>
                <w:rFonts w:ascii="Arial" w:cs="Arial" w:eastAsia="Arial" w:hAnsi="Arial"/>
                <w:i/>
                <w:iCs/>
                <w:color w:val="1E7D47"/>
                <w:sz w:val="22"/>
                <w:szCs w:val="22"/>
              </w:rPr>
              <w:t xml:space="preserve">📊  Estimation révisée : P0 peut descendre à 3-4 semaines si les briques existantes sont correctement identifiées et documentées avant le démarrage du sprint.</w:t>
            </w:r>
          </w:p>
        </w:tc>
      </w:tr>
    </w:tbl>
    <w:p>
      <w:pPr>
        <w:spacing w:after="0" w:before="80"/>
      </w:pPr>
      <w:r>
        <w:t xml:space="preserve"/>
      </w:r>
    </w:p>
    <w:p>
      <w:pPr>
        <w:pStyle w:val="Heading3"/>
        <w:spacing w:after="100" w:before="200"/>
      </w:pPr>
      <w:r>
        <w:rPr>
          <w:rFonts w:ascii="Arial" w:cs="Arial" w:eastAsia="Arial" w:hAnsi="Arial"/>
          <w:b/>
          <w:bCs/>
          <w:color w:val="1A3C5E"/>
          <w:sz w:val="24"/>
          <w:szCs w:val="24"/>
        </w:rPr>
        <w:t xml:space="preserve">0.4.3  Intégrer Fraud Detection dans l'argumentaire LMT</w:t>
      </w:r>
    </w:p>
    <w:p>
      <w:pPr>
        <w:spacing w:after="80" w:before="80"/>
      </w:pPr>
      <w:r>
        <w:rPr>
          <w:rFonts w:ascii="Arial" w:cs="Arial" w:eastAsia="Arial" w:hAnsi="Arial"/>
          <w:sz w:val="22"/>
          <w:szCs w:val="22"/>
        </w:rPr>
        <w:t xml:space="preserve">La Fraud Detection est absente de la spec LMT alors qu'elle est déjà livrée. Dans un centre d'appels, la détection de :</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Pointages groupés (plusieurs agents pointant depuis le même device en quelques secondes)</w:t>
      </w:r>
    </w:p>
    <w:p>
      <w:pPr>
        <w:pStyle w:val="ListParagraph"/>
        <w:numPr>
          <w:ilvl w:val="0"/>
          <w:numId w:val="2"/>
        </w:numPr>
        <w:spacing w:after="40" w:before="40"/>
      </w:pPr>
      <w:r>
        <w:rPr>
          <w:rFonts w:ascii="Arial" w:cs="Arial" w:eastAsia="Arial" w:hAnsi="Arial"/>
          <w:sz w:val="22"/>
          <w:szCs w:val="22"/>
        </w:rPr>
        <w:t xml:space="preserve">GPS hors zone alors que le QR code est scanné</w:t>
      </w:r>
    </w:p>
    <w:p>
      <w:pPr>
        <w:pStyle w:val="ListParagraph"/>
        <w:numPr>
          <w:ilvl w:val="0"/>
          <w:numId w:val="2"/>
        </w:numPr>
        <w:spacing w:after="40" w:before="40"/>
      </w:pPr>
      <w:r>
        <w:rPr>
          <w:rFonts w:ascii="Arial" w:cs="Arial" w:eastAsia="Arial" w:hAnsi="Arial"/>
          <w:sz w:val="22"/>
          <w:szCs w:val="22"/>
        </w:rPr>
        <w:t xml:space="preserve">Sessions ouvertes sans clock-out (oublis ou fraudes)</w:t>
      </w:r>
    </w:p>
    <w:p>
      <w:pPr>
        <w:spacing w:after="0" w:before="40"/>
      </w:pPr>
      <w:r>
        <w:t xml:space="preserve"/>
      </w:r>
    </w:p>
    <w:p>
      <w:pPr>
        <w:spacing w:after="80" w:before="80"/>
      </w:pPr>
      <w:r>
        <w:rPr>
          <w:rFonts w:ascii="Arial" w:cs="Arial" w:eastAsia="Arial" w:hAnsi="Arial"/>
          <w:sz w:val="22"/>
          <w:szCs w:val="22"/>
        </w:rPr>
        <w:t xml:space="preserve">…est un argument commercial différenciant fort par rapport aux solutions WFM internationales. À inclure dans la section 1.4 (Positionnement concurrentiel) et dans le pitch LMT.</w:t>
      </w:r>
    </w:p>
    <w:p>
      <w:pPr>
        <w:spacing w:after="0" w:before="80"/>
      </w:pPr>
      <w:r>
        <w:t xml:space="preserve"/>
      </w:r>
    </w:p>
    <w:p>
      <w:pPr>
        <w:pStyle w:val="Heading2"/>
        <w:spacing w:after="140" w:before="280"/>
      </w:pPr>
      <w:r>
        <w:rPr>
          <w:rFonts w:ascii="Arial" w:cs="Arial" w:eastAsia="Arial" w:hAnsi="Arial"/>
          <w:b/>
          <w:bCs/>
          <w:color w:val="2E7BB5"/>
          <w:sz w:val="28"/>
          <w:szCs w:val="28"/>
        </w:rPr>
        <w:t xml:space="preserve">0.5  Légende des statuts</w:t>
      </w:r>
    </w:p>
    <w:p>
      <w:pPr>
        <w:spacing w:after="0" w:before="4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tblGrid>
      <w:tr>
        <w:tc>
          <w:tcPr>
            <w:tcW w:type="dxa" w:w="1400"/>
            <w:tcBorders>
              <w:top w:val="single" w:color="CCCCCC" w:sz="1"/>
              <w:left w:val="single" w:color="CCCCCC" w:sz="1"/>
              <w:bottom w:val="single" w:color="CCCCCC" w:sz="1"/>
              <w:right w:val="single" w:color="CCCCCC" w:sz="1"/>
            </w:tcBorders>
            <w:shd w:fill="D6EFE2" w:val="clear"/>
            <w:tcMar>
              <w:top w:type="dxa" w:w="80"/>
              <w:left w:type="dxa" w:w="120"/>
              <w:bottom w:type="dxa" w:w="80"/>
              <w:right w:type="dxa" w:w="120"/>
            </w:tcMar>
          </w:tcPr>
          <w:p>
            <w:pPr>
              <w:jc w:val="center"/>
            </w:pPr>
            <w:r>
              <w:rPr>
                <w:rFonts w:ascii="Arial" w:cs="Arial" w:eastAsia="Arial" w:hAnsi="Arial"/>
                <w:b/>
                <w:bCs/>
                <w:color w:val="1E7D47"/>
                <w:sz w:val="18"/>
                <w:szCs w:val="18"/>
              </w:rPr>
              <w:t xml:space="preserve">✅ Livré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Fonctionnalité disponible dans les collections Postman, testée.</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B85C00"/>
                <w:sz w:val="18"/>
                <w:szCs w:val="18"/>
              </w:rPr>
              <w:t xml:space="preserve">⚠️ Partiel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Existe mais incomplète, non standardisée ou non documentée.</w:t>
            </w:r>
          </w:p>
        </w:tc>
      </w:tr>
      <w:tr>
        <w:tc>
          <w:tcPr>
            <w:tcW w:type="dxa" w:w="1400"/>
            <w:tcBorders>
              <w:top w:val="single" w:color="CCCCCC" w:sz="1"/>
              <w:left w:val="single" w:color="CCCCCC" w:sz="1"/>
              <w:bottom w:val="single" w:color="CCCCCC" w:sz="1"/>
              <w:right w:val="single" w:color="CCCCCC" w:sz="1"/>
            </w:tcBorders>
            <w:shd w:fill="FAD7D7" w:val="clear"/>
            <w:tcMar>
              <w:top w:type="dxa" w:w="80"/>
              <w:left w:type="dxa" w:w="120"/>
              <w:bottom w:type="dxa" w:w="80"/>
              <w:right w:type="dxa" w:w="120"/>
            </w:tcMar>
          </w:tcPr>
          <w:p>
            <w:pPr>
              <w:jc w:val="center"/>
            </w:pPr>
            <w:r>
              <w:rPr>
                <w:rFonts w:ascii="Arial" w:cs="Arial" w:eastAsia="Arial" w:hAnsi="Arial"/>
                <w:b/>
                <w:bCs/>
                <w:color w:val="B81C1C"/>
                <w:sz w:val="18"/>
                <w:szCs w:val="18"/>
              </w:rPr>
              <w:t xml:space="preserve">🔨 À construire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 des collections. Travail de développement complet requis.</w:t>
            </w:r>
          </w:p>
        </w:tc>
      </w:tr>
    </w:tbl>
    <w:p>
      <w:pPr>
        <w:spacing w:after="0" w:before="80"/>
      </w:pPr>
      <w:r>
        <w:t xml:space="preserve"/>
      </w:r>
    </w:p>
    <w:p>
      <w:pPr>
        <w:pBdr>
          <w:top w:val="single" w:color="CCCCCC" w:sz="4" w:space="1"/>
        </w:pBdr>
        <w:spacing w:after="80" w:before="240"/>
      </w:pPr>
      <w:r>
        <w:rPr>
          <w:rFonts w:ascii="Arial" w:cs="Arial" w:eastAsia="Arial" w:hAnsi="Arial"/>
          <w:i/>
          <w:iCs/>
          <w:color w:val="888888"/>
          <w:sz w:val="18"/>
          <w:szCs w:val="18"/>
        </w:rPr>
        <w:t xml:space="preserve">Source de cette analyse : collections Postman Toké Core API, Toké Manager API et Toké Check-in API — version exportée mai 2026. L'inventaire doit être revalidé avec l'équipe technique Toké avant le démarrage de P0.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BB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2026-05-15T18:23:26.839Z</dcterms:created>
  <dcterms:modified xsi:type="dcterms:W3CDTF">2026-05-15T18:23:26.839Z</dcterms:modified>
</cp:coreProperties>
</file>

<file path=docProps/custom.xml><?xml version="1.0" encoding="utf-8"?>
<Properties xmlns="http://schemas.openxmlformats.org/officeDocument/2006/custom-properties" xmlns:vt="http://schemas.openxmlformats.org/officeDocument/2006/docPropsVTypes"/>
</file>