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OPERA 訂房明細（Arrivals Detailed）與實際 ADR 的口徑差異說明</w:t>
      </w:r>
    </w:p>
    <w:p>
      <w:pPr>
        <w:pBdr>
          <w:bottom w:val="single" w:color="4BA8E8" w:sz="12"/>
        </w:pBdr>
        <w:spacing w:after="32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資料期間 2026-08-01 ～ 2026-08-12　|　編製日 2026-08-12　|　編製 Samuel　|　v2</w:t>
      </w:r>
    </w:p>
    <w:p>
      <w:pPr>
        <w:shd w:fill="1B3A5C" w:val="clear"/>
        <w:spacing w:after="160" w:before="320"/>
        <w:ind w:left="120" w:righ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一、結論</w:t>
      </w:r>
    </w:p>
    <w:p>
      <w:pPr>
        <w:spacing w:after="120" w:line="300"/>
      </w:pPr>
      <w:r>
        <w:rPr>
          <w:rFonts w:ascii="Arial" w:cs="Arial" w:eastAsia="Arial" w:hAnsi="Arial"/>
          <w:sz w:val="20"/>
          <w:szCs w:val="20"/>
        </w:rPr>
        <w:t xml:space="preserve">兩份資料算出的 ADR 不一致，是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設計上的預期結果，不是資料異常</w:t>
      </w:r>
      <w:r>
        <w:rPr>
          <w:rFonts w:ascii="Arial" w:cs="Arial" w:eastAsia="Arial" w:hAnsi="Arial"/>
          <w:sz w:val="20"/>
          <w:szCs w:val="20"/>
        </w:rPr>
        <w:t xml:space="preserve">。Portal 專案規格早已就此定案，不需要為此追查。</w:t>
      </w:r>
    </w:p>
    <w:p>
      <w:pPr>
        <w:spacing w:after="120" w:line="300"/>
      </w:pPr>
      <w:r>
        <w:rPr>
          <w:rFonts w:ascii="Arial" w:cs="Arial" w:eastAsia="Arial" w:hAnsi="Arial"/>
          <w:sz w:val="20"/>
          <w:szCs w:val="20"/>
        </w:rPr>
        <w:t xml:space="preserve">Arrivals Detailed 有每一筆訂單的房價，但那是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訂單牌價</w:t>
      </w:r>
      <w:r>
        <w:rPr>
          <w:rFonts w:ascii="Arial" w:cs="Arial" w:eastAsia="Arial" w:hAnsi="Arial"/>
          <w:sz w:val="20"/>
          <w:szCs w:val="20"/>
        </w:rPr>
        <w:t xml:space="preserve">，不是逐晚實收，也不含免費房與在住客。它本來就不是用來算 ADR 的。</w:t>
      </w:r>
    </w:p>
    <w:p>
      <w:pPr>
        <w:spacing w:after="60" w:line="3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因此：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Arial" w:cs="Arial" w:eastAsia="Arial" w:hAnsi="Arial"/>
          <w:sz w:val="20"/>
          <w:szCs w:val="20"/>
        </w:rPr>
        <w:t xml:space="preserve">ADR、住房率、RevPAR ── 一律以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History and Forecast</w:t>
      </w:r>
      <w:r>
        <w:rPr>
          <w:rFonts w:ascii="Arial" w:cs="Arial" w:eastAsia="Arial" w:hAnsi="Arial"/>
          <w:sz w:val="20"/>
          <w:szCs w:val="20"/>
        </w:rPr>
        <w:t xml:space="preserve"> 為準。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Arial" w:cs="Arial" w:eastAsia="Arial" w:hAnsi="Arial"/>
          <w:sz w:val="20"/>
          <w:szCs w:val="20"/>
        </w:rPr>
        <w:t xml:space="preserve">Arrivals Detailed ── 只用於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訂單層的房價結構</w:t>
      </w:r>
      <w:r>
        <w:rPr>
          <w:rFonts w:ascii="Arial" w:cs="Arial" w:eastAsia="Arial" w:hAnsi="Arial"/>
          <w:sz w:val="20"/>
          <w:szCs w:val="20"/>
        </w:rPr>
        <w:t xml:space="preserve">：房價碼、訂房通路、市場區隔、同日同房型價差。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Arial" w:cs="Arial" w:eastAsia="Arial" w:hAnsi="Arial"/>
          <w:sz w:val="20"/>
          <w:szCs w:val="20"/>
        </w:rPr>
        <w:t xml:space="preserve">兩者的房晚數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不應互相驗算</w:t>
      </w:r>
      <w:r>
        <w:rPr>
          <w:rFonts w:ascii="Arial" w:cs="Arial" w:eastAsia="Arial" w:hAnsi="Arial"/>
          <w:sz w:val="20"/>
          <w:szCs w:val="20"/>
        </w:rPr>
        <w:t xml:space="preserve">，分區顯示並各自標註來源即可。</w:t>
      </w:r>
    </w:p>
    <w:p>
      <w:pPr>
        <w:shd w:fill="1B3A5C" w:val="clear"/>
        <w:spacing w:after="160" w:before="320"/>
        <w:ind w:left="120" w:righ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二、專案既有規定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這不是本次分析的新結論。</w:t>
      </w:r>
      <w:r>
        <w:rPr>
          <w:rFonts w:ascii="Arial" w:cs="Arial" w:eastAsia="Arial" w:hAnsi="Arial"/>
          <w:sz w:val="20"/>
          <w:szCs w:val="20"/>
        </w:rPr>
        <w:t xml:space="preserve"> docs/SPEC_opera_analytics.md 決策 D7 已明訂：</w:t>
      </w:r>
    </w:p>
    <w:p>
      <w:pPr>
        <w:pBdr>
          <w:left w:val="single" w:color="4BA8E8" w:sz="18"/>
        </w:pBdr>
        <w:shd w:fill="EAF2FA" w:val="clear"/>
        <w:spacing w:after="140" w:before="120" w:line="300"/>
        <w:ind w:left="280" w:right="200"/>
      </w:pPr>
      <w:r>
        <w:rPr>
          <w:rFonts w:ascii="Arial" w:cs="Arial" w:eastAsia="Arial" w:hAnsi="Arial"/>
          <w:i/>
          <w:iCs/>
          <w:sz w:val="19"/>
          <w:szCs w:val="19"/>
        </w:rPr>
        <w:t xml:space="preserve">營收／ADR／住房率／RevPAR 只用 HF；通路／房型／Rate Code／住客 只用 Departure；兩者分區顯示並標註來源，不互相驗算房晚。</w:t>
      </w:r>
    </w:p>
    <w:p>
      <w:pPr>
        <w:spacing w:after="120" w:line="300"/>
      </w:pPr>
      <w:r>
        <w:rPr>
          <w:rFonts w:ascii="Arial" w:cs="Arial" w:eastAsia="Arial" w:hAnsi="Arial"/>
          <w:sz w:val="20"/>
          <w:szCs w:val="20"/>
        </w:rPr>
        <w:t xml:space="preserve">本次以實際資料驗證，結果與此規定完全相符。以下第三、四節即為佐證。</w:t>
      </w:r>
    </w:p>
    <w:p>
      <w:pPr>
        <w:shd w:fill="1B3A5C" w:val="clear"/>
        <w:spacing w:after="160" w:before="320"/>
        <w:ind w:left="120" w:righ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三、History and Forecast 的 ADR 如何計算</w:t>
      </w:r>
    </w:p>
    <w:p>
      <w:pPr>
        <w:spacing w:after="120" w:line="300"/>
      </w:pPr>
      <w:r>
        <w:rPr>
          <w:rFonts w:ascii="Arial" w:cs="Arial" w:eastAsia="Arial" w:hAnsi="Arial"/>
          <w:sz w:val="20"/>
          <w:szCs w:val="20"/>
        </w:rPr>
        <w:t xml:space="preserve">採加權公式，於查詢時即時計算，不落地儲存：</w:t>
      </w:r>
    </w:p>
    <w:p>
      <w:pPr>
        <w:pBdr>
          <w:left w:val="single" w:color="4BA8E8" w:sz="18"/>
        </w:pBdr>
        <w:shd w:fill="F4F6F8" w:val="clear"/>
        <w:spacing w:after="140" w:before="8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ADR    = SUM(REVENUE)  / SUM(NO_ROOMS)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住房率 = SUM(NO_ROOMS) / SUM(CF_CALC_INV_ROOMS)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RevPAR = SUM(REVENUE)  / SUM(CF_CALC_INV_ROOMS)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加權，不是平均。</w:t>
      </w:r>
      <w:r>
        <w:rPr>
          <w:rFonts w:ascii="Arial" w:cs="Arial" w:eastAsia="Arial" w:hAnsi="Arial"/>
          <w:sz w:val="20"/>
          <w:szCs w:val="20"/>
        </w:rPr>
        <w:t xml:space="preserve"> 先加總營收與房晚再相除。規格明文禁止以每日 ADR 做簡單平均，ADR 亦不儲存，即為防止逐日值被誤加總。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可售房晚採 CF_CALC_INV_ROOMS（實體房 − OOO）。</w:t>
      </w:r>
      <w:r>
        <w:rPr>
          <w:rFonts w:ascii="Arial" w:cs="Arial" w:eastAsia="Arial" w:hAnsi="Arial"/>
          <w:sz w:val="20"/>
          <w:szCs w:val="20"/>
        </w:rPr>
        <w:t xml:space="preserve"> 直接用 INVENTORY_ROOMS 會使住房率低估。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分析只取 History 列，不含 Forecast。</w:t>
      </w:r>
      <w:r>
        <w:rPr>
          <w:rFonts w:ascii="Arial" w:cs="Arial" w:eastAsia="Arial" w:hAnsi="Arial"/>
          <w:sz w:val="20"/>
          <w:szCs w:val="20"/>
        </w:rPr>
        <w:t xml:space="preserve"> 但頁尾對帳時兩者都要計入，故 footer ADR 2,745.97 與分析顯示的 2,746.76 本就存在微小差異。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已驗證：</w:t>
      </w:r>
      <w:r>
        <w:rPr>
          <w:rFonts w:ascii="Arial" w:cs="Arial" w:eastAsia="Arial" w:hAnsi="Arial"/>
          <w:sz w:val="20"/>
          <w:szCs w:val="20"/>
        </w:rPr>
        <w:t xml:space="preserve">Portal 不採用 OPERA 提供的 CF_AVERAGE_ROOM_RATE，而是自行重算，兩者結果一致 —— 27,621,725.71 ÷ 10,059 = 2,745.97，與報表欄位分毫不差。</w:t>
      </w:r>
    </w:p>
    <w:p>
      <w:pPr>
        <w:shd w:fill="1B3A5C" w:val="clear"/>
        <w:spacing w:after="160" w:before="320"/>
        <w:ind w:left="120" w:righ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四、實測差異（佐證）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400"/>
        <w:gridCol w:w="1300"/>
        <w:gridCol w:w="900"/>
        <w:gridCol w:w="1600"/>
        <w:gridCol w:w="1500"/>
        <w:gridCol w:w="1560"/>
      </w:tblGrid>
      <w:tr>
        <w:trPr>
          <w:tblHeader/>
        </w:trPr>
        <w:tc>
          <w:tcPr>
            <w:tcW w:type="dxa" w:w="1100"/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住宿日</w:t>
            </w:r>
          </w:p>
        </w:tc>
        <w:tc>
          <w:tcPr>
            <w:tcW w:type="dxa" w:w="1400"/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訂房明細 房晚</w:t>
            </w:r>
          </w:p>
        </w:tc>
        <w:tc>
          <w:tcPr>
            <w:tcW w:type="dxa" w:w="1300"/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Portal 房晚</w:t>
            </w:r>
          </w:p>
        </w:tc>
        <w:tc>
          <w:tcPr>
            <w:tcW w:type="dxa" w:w="900"/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差</w:t>
            </w:r>
          </w:p>
        </w:tc>
        <w:tc>
          <w:tcPr>
            <w:tcW w:type="dxa" w:w="1600"/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訂房明細 ADR</w:t>
            </w:r>
          </w:p>
        </w:tc>
        <w:tc>
          <w:tcPr>
            <w:tcW w:type="dxa" w:w="1500"/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Portal ADR</w:t>
            </w:r>
          </w:p>
        </w:tc>
        <w:tc>
          <w:tcPr>
            <w:tcW w:type="dxa" w:w="1560"/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ADR 差</w:t>
            </w:r>
          </w:p>
        </w:tc>
      </w:tr>
      <w:tr>
        <w:trPr>
          <w:tblHeader w:val="false"/>
        </w:trPr>
        <w:tc>
          <w:tcPr>
            <w:tcW w:type="dxa" w:w="11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08-01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32</w:t>
            </w:r>
          </w:p>
        </w:tc>
        <w:tc>
          <w:tcPr>
            <w:tcW w:type="dxa" w:w="1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43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−11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3,318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3,149</w:t>
            </w:r>
          </w:p>
        </w:tc>
        <w:tc>
          <w:tcPr>
            <w:tcW w:type="dxa" w:w="15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−169</w:t>
            </w:r>
          </w:p>
        </w:tc>
      </w:tr>
      <w:tr>
        <w:trPr>
          <w:tblHeader w:val="false"/>
        </w:trPr>
        <w:tc>
          <w:tcPr>
            <w:tcW w:type="dxa" w:w="1100"/>
            <w:shd w:fill="EA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08-02</w:t>
            </w:r>
          </w:p>
        </w:tc>
        <w:tc>
          <w:tcPr>
            <w:tcW w:type="dxa" w:w="1400"/>
            <w:shd w:fill="EA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14</w:t>
            </w:r>
          </w:p>
        </w:tc>
        <w:tc>
          <w:tcPr>
            <w:tcW w:type="dxa" w:w="1300"/>
            <w:shd w:fill="EA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</w:t>
            </w:r>
          </w:p>
        </w:tc>
        <w:tc>
          <w:tcPr>
            <w:tcW w:type="dxa" w:w="900"/>
            <w:shd w:fill="EA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−6</w:t>
            </w:r>
          </w:p>
        </w:tc>
        <w:tc>
          <w:tcPr>
            <w:tcW w:type="dxa" w:w="1600"/>
            <w:shd w:fill="EA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2,530</w:t>
            </w:r>
          </w:p>
        </w:tc>
        <w:tc>
          <w:tcPr>
            <w:tcW w:type="dxa" w:w="1500"/>
            <w:shd w:fill="EA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2,266</w:t>
            </w:r>
          </w:p>
        </w:tc>
        <w:tc>
          <w:tcPr>
            <w:tcW w:type="dxa" w:w="1560"/>
            <w:shd w:fill="EA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−264</w:t>
            </w:r>
          </w:p>
        </w:tc>
      </w:tr>
      <w:tr>
        <w:trPr>
          <w:tblHeader w:val="false"/>
        </w:trPr>
        <w:tc>
          <w:tcPr>
            <w:tcW w:type="dxa" w:w="11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08-03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18</w:t>
            </w:r>
          </w:p>
        </w:tc>
        <w:tc>
          <w:tcPr>
            <w:tcW w:type="dxa" w:w="1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24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−6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2,630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2,332</w:t>
            </w:r>
          </w:p>
        </w:tc>
        <w:tc>
          <w:tcPr>
            <w:tcW w:type="dxa" w:w="15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−298</w:t>
            </w:r>
          </w:p>
        </w:tc>
      </w:tr>
      <w:tr>
        <w:trPr>
          <w:tblHeader w:val="false"/>
        </w:trPr>
        <w:tc>
          <w:tcPr>
            <w:tcW w:type="dxa" w:w="1100"/>
            <w:shd w:fill="EA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08-04</w:t>
            </w:r>
          </w:p>
        </w:tc>
        <w:tc>
          <w:tcPr>
            <w:tcW w:type="dxa" w:w="1400"/>
            <w:shd w:fill="EA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19</w:t>
            </w:r>
          </w:p>
        </w:tc>
        <w:tc>
          <w:tcPr>
            <w:tcW w:type="dxa" w:w="1300"/>
            <w:shd w:fill="EA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25</w:t>
            </w:r>
          </w:p>
        </w:tc>
        <w:tc>
          <w:tcPr>
            <w:tcW w:type="dxa" w:w="900"/>
            <w:shd w:fill="EA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−6</w:t>
            </w:r>
          </w:p>
        </w:tc>
        <w:tc>
          <w:tcPr>
            <w:tcW w:type="dxa" w:w="1600"/>
            <w:shd w:fill="EA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2,673</w:t>
            </w:r>
          </w:p>
        </w:tc>
        <w:tc>
          <w:tcPr>
            <w:tcW w:type="dxa" w:w="1500"/>
            <w:shd w:fill="EA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2,431</w:t>
            </w:r>
          </w:p>
        </w:tc>
        <w:tc>
          <w:tcPr>
            <w:tcW w:type="dxa" w:w="1560"/>
            <w:shd w:fill="EA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−242</w:t>
            </w:r>
          </w:p>
        </w:tc>
      </w:tr>
      <w:tr>
        <w:trPr>
          <w:tblHeader w:val="false"/>
        </w:trPr>
        <w:tc>
          <w:tcPr>
            <w:tcW w:type="dxa" w:w="11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08-05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27</w:t>
            </w:r>
          </w:p>
        </w:tc>
        <w:tc>
          <w:tcPr>
            <w:tcW w:type="dxa" w:w="1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34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−7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2,647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2,353</w:t>
            </w:r>
          </w:p>
        </w:tc>
        <w:tc>
          <w:tcPr>
            <w:tcW w:type="dxa" w:w="15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−294</w:t>
            </w:r>
          </w:p>
        </w:tc>
      </w:tr>
      <w:tr>
        <w:trPr>
          <w:tblHeader w:val="false"/>
        </w:trPr>
        <w:tc>
          <w:tcPr>
            <w:tcW w:type="dxa" w:w="1100"/>
            <w:shd w:fill="EA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08-06</w:t>
            </w:r>
          </w:p>
        </w:tc>
        <w:tc>
          <w:tcPr>
            <w:tcW w:type="dxa" w:w="1400"/>
            <w:shd w:fill="EA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32</w:t>
            </w:r>
          </w:p>
        </w:tc>
        <w:tc>
          <w:tcPr>
            <w:tcW w:type="dxa" w:w="1300"/>
            <w:shd w:fill="EA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38</w:t>
            </w:r>
          </w:p>
        </w:tc>
        <w:tc>
          <w:tcPr>
            <w:tcW w:type="dxa" w:w="900"/>
            <w:shd w:fill="EA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−6</w:t>
            </w:r>
          </w:p>
        </w:tc>
        <w:tc>
          <w:tcPr>
            <w:tcW w:type="dxa" w:w="1600"/>
            <w:shd w:fill="EA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2,785</w:t>
            </w:r>
          </w:p>
        </w:tc>
        <w:tc>
          <w:tcPr>
            <w:tcW w:type="dxa" w:w="1500"/>
            <w:shd w:fill="EA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2,395</w:t>
            </w:r>
          </w:p>
        </w:tc>
        <w:tc>
          <w:tcPr>
            <w:tcW w:type="dxa" w:w="1560"/>
            <w:shd w:fill="EA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−390</w:t>
            </w:r>
          </w:p>
        </w:tc>
      </w:tr>
      <w:tr>
        <w:trPr>
          <w:tblHeader w:val="false"/>
        </w:trPr>
        <w:tc>
          <w:tcPr>
            <w:tcW w:type="dxa" w:w="11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08-07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43</w:t>
            </w:r>
          </w:p>
        </w:tc>
        <w:tc>
          <w:tcPr>
            <w:tcW w:type="dxa" w:w="1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53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−10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3,090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2,949</w:t>
            </w:r>
          </w:p>
        </w:tc>
        <w:tc>
          <w:tcPr>
            <w:tcW w:type="dxa" w:w="15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−141</w:t>
            </w:r>
          </w:p>
        </w:tc>
      </w:tr>
      <w:tr>
        <w:trPr>
          <w:tblHeader w:val="false"/>
        </w:trPr>
        <w:tc>
          <w:tcPr>
            <w:tcW w:type="dxa" w:w="1100"/>
            <w:shd w:fill="EA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08-08</w:t>
            </w:r>
          </w:p>
        </w:tc>
        <w:tc>
          <w:tcPr>
            <w:tcW w:type="dxa" w:w="1400"/>
            <w:shd w:fill="EA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46</w:t>
            </w:r>
          </w:p>
        </w:tc>
        <w:tc>
          <w:tcPr>
            <w:tcW w:type="dxa" w:w="1300"/>
            <w:shd w:fill="EA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56</w:t>
            </w:r>
          </w:p>
        </w:tc>
        <w:tc>
          <w:tcPr>
            <w:tcW w:type="dxa" w:w="900"/>
            <w:shd w:fill="EA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−10</w:t>
            </w:r>
          </w:p>
        </w:tc>
        <w:tc>
          <w:tcPr>
            <w:tcW w:type="dxa" w:w="1600"/>
            <w:shd w:fill="EA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3,269</w:t>
            </w:r>
          </w:p>
        </w:tc>
        <w:tc>
          <w:tcPr>
            <w:tcW w:type="dxa" w:w="1500"/>
            <w:shd w:fill="EA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3,429</w:t>
            </w:r>
          </w:p>
        </w:tc>
        <w:tc>
          <w:tcPr>
            <w:tcW w:type="dxa" w:w="1560"/>
            <w:shd w:fill="EA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+160</w:t>
            </w:r>
          </w:p>
        </w:tc>
      </w:tr>
      <w:tr>
        <w:trPr>
          <w:tblHeader w:val="false"/>
        </w:trPr>
        <w:tc>
          <w:tcPr>
            <w:tcW w:type="dxa" w:w="11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08-09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32</w:t>
            </w:r>
          </w:p>
        </w:tc>
        <w:tc>
          <w:tcPr>
            <w:tcW w:type="dxa" w:w="1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46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−14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2,686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2,492</w:t>
            </w:r>
          </w:p>
        </w:tc>
        <w:tc>
          <w:tcPr>
            <w:tcW w:type="dxa" w:w="15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−194</w:t>
            </w:r>
          </w:p>
        </w:tc>
      </w:tr>
      <w:tr>
        <w:trPr>
          <w:tblHeader w:val="false"/>
        </w:trPr>
        <w:tc>
          <w:tcPr>
            <w:tcW w:type="dxa" w:w="1100"/>
            <w:shd w:fill="EA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08-10</w:t>
            </w:r>
          </w:p>
        </w:tc>
        <w:tc>
          <w:tcPr>
            <w:tcW w:type="dxa" w:w="1400"/>
            <w:shd w:fill="EA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24</w:t>
            </w:r>
          </w:p>
        </w:tc>
        <w:tc>
          <w:tcPr>
            <w:tcW w:type="dxa" w:w="1300"/>
            <w:shd w:fill="EA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48</w:t>
            </w:r>
          </w:p>
        </w:tc>
        <w:tc>
          <w:tcPr>
            <w:tcW w:type="dxa" w:w="900"/>
            <w:shd w:fill="EA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−24</w:t>
            </w:r>
          </w:p>
        </w:tc>
        <w:tc>
          <w:tcPr>
            <w:tcW w:type="dxa" w:w="1600"/>
            <w:shd w:fill="EA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2,663</w:t>
            </w:r>
          </w:p>
        </w:tc>
        <w:tc>
          <w:tcPr>
            <w:tcW w:type="dxa" w:w="1500"/>
            <w:shd w:fill="EA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2,475</w:t>
            </w:r>
          </w:p>
        </w:tc>
        <w:tc>
          <w:tcPr>
            <w:tcW w:type="dxa" w:w="1560"/>
            <w:shd w:fill="EA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−188</w:t>
            </w:r>
          </w:p>
        </w:tc>
      </w:tr>
    </w:tbl>
    <w:p>
      <w:pPr>
        <w:spacing w:after="0" w:line="300"/>
      </w:pPr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spacing w:after="120" w:line="300"/>
      </w:pPr>
      <w:r>
        <w:rPr>
          <w:rFonts w:ascii="Arial" w:cs="Arial" w:eastAsia="Arial" w:hAnsi="Arial"/>
          <w:sz w:val="20"/>
          <w:szCs w:val="20"/>
        </w:rPr>
        <w:t xml:space="preserve">十天當中沒有任何一天吻合，房晚數每天短少 6～24 間。8/08 方向相反（Portal 反而較高），可見並非單向偏差，而是兩邊計算基礎本就不同。</w:t>
      </w:r>
    </w:p>
    <w:p>
      <w:pPr>
        <w:shd w:fill="1B3A5C" w:val="clear"/>
        <w:spacing w:after="160" w:before="320"/>
        <w:ind w:left="120" w:righ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五、差異的六個成因</w:t>
      </w:r>
    </w:p>
    <w:p>
      <w:pPr>
        <w:pBdr>
          <w:bottom w:val="single" w:color="4BA8E8" w:sz="6"/>
        </w:pBdr>
        <w:spacing w:after="100" w:before="24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A. 資料本質上做不到（四項）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房價是「單一有效房價」，不是逐晚金額。</w:t>
      </w:r>
      <w:r>
        <w:rPr>
          <w:rFonts w:ascii="Arial" w:cs="Arial" w:eastAsia="Arial" w:hAnsi="Arial"/>
          <w:sz w:val="20"/>
          <w:szCs w:val="20"/>
        </w:rPr>
        <w:t xml:space="preserve"> 一筆多晚訂單只給一個數字，週末加價、住中改價都還原不出來。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牌價不等於實際入帳。</w:t>
      </w:r>
      <w:r>
        <w:rPr>
          <w:rFonts w:ascii="Arial" w:cs="Arial" w:eastAsia="Arial" w:hAnsi="Arial"/>
          <w:sz w:val="20"/>
          <w:szCs w:val="20"/>
        </w:rPr>
        <w:t xml:space="preserve"> 升等加價、加床、延遲退房費、房價折讓、稅與服務費拆分，都不在這個欄位裡。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資料已被訂房狀態篩選。</w:t>
      </w:r>
      <w:r>
        <w:rPr>
          <w:rFonts w:ascii="Arial" w:cs="Arial" w:eastAsia="Arial" w:hAnsi="Arial"/>
          <w:sz w:val="20"/>
          <w:szCs w:val="20"/>
        </w:rPr>
        <w:t xml:space="preserve"> 只含已退房、已結帳、待抵店，不含在住（CKIN）。越接近報表產製日漏得越多 —— 8/10 少了 24 房晚，整整一半。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完全沒有免費房、自用房、Day Use、No-show。</w:t>
      </w:r>
      <w:r>
        <w:rPr>
          <w:rFonts w:ascii="Arial" w:cs="Arial" w:eastAsia="Arial" w:hAnsi="Arial"/>
          <w:sz w:val="20"/>
          <w:szCs w:val="20"/>
        </w:rPr>
        <w:t xml:space="preserve"> 這些佔房晚但營收為零或極低，是拉低實際 ADR 的主因，而它們在訂房明細裡一定看不到。</w:t>
      </w:r>
    </w:p>
    <w:p>
      <w:pPr>
        <w:pBdr>
          <w:bottom w:val="single" w:color="4BA8E8" w:sz="6"/>
        </w:pBdr>
        <w:spacing w:after="100" w:before="24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B. 處理不當會算錯（一項，已於分析表中處理）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同房住客會重複計房。</w:t>
      </w:r>
      <w:r>
        <w:rPr>
          <w:rFonts w:ascii="Arial" w:cs="Arial" w:eastAsia="Arial" w:hAnsi="Arial"/>
          <w:sz w:val="20"/>
          <w:szCs w:val="20"/>
        </w:rPr>
        <w:t xml:space="preserve"> NO_OF_ROOMS=0 的列是同一間房的第二位以上住客，不過濾的話 8/01 會從 32 間虛增為 58 間。分析表已一律只採主住客列。</w:t>
      </w:r>
    </w:p>
    <w:p>
      <w:pPr>
        <w:pBdr>
          <w:bottom w:val="single" w:color="4BA8E8" w:sz="6"/>
        </w:pBdr>
        <w:spacing w:after="100" w:before="24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C. 缺少必要欄位（一項）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沒有可售房晚。</w:t>
      </w:r>
      <w:r>
        <w:rPr>
          <w:rFonts w:ascii="Arial" w:cs="Arial" w:eastAsia="Arial" w:hAnsi="Arial"/>
          <w:sz w:val="20"/>
          <w:szCs w:val="20"/>
        </w:rPr>
        <w:t xml:space="preserve"> 分母不在檔案裡，住房率與 RevPAR 一律算不出來。</w:t>
      </w:r>
    </w:p>
    <w:p>
      <w:pPr>
        <w:shd w:fill="1B3A5C" w:val="clear"/>
        <w:spacing w:after="160" w:before="320"/>
        <w:ind w:left="120" w:righ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六、已驗證事項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房價欄位本身是正確的。</w:t>
      </w:r>
      <w:r>
        <w:rPr>
          <w:rFonts w:ascii="Arial" w:cs="Arial" w:eastAsia="Arial" w:hAnsi="Arial"/>
          <w:sz w:val="20"/>
          <w:szCs w:val="20"/>
        </w:rPr>
        <w:t xml:space="preserve"> EFFECTIVE_RATE_AMOUNT 與重複訂房報表的 SHARE_AMOUNT，在 22 筆重疊訂單上完全吻合，確認為每晚房價。訂房明細在其適用範圍內可信。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市場區隔定義兩邊一致。</w:t>
      </w:r>
      <w:r>
        <w:rPr>
          <w:rFonts w:ascii="Arial" w:cs="Arial" w:eastAsia="Arial" w:hAnsi="Arial"/>
          <w:sz w:val="20"/>
          <w:szCs w:val="20"/>
        </w:rPr>
        <w:t xml:space="preserve"> 8/01 的團體房晚，訂房明細算出 13、Portal 也是 13。差異來自涵蓋範圍與營收口徑，不是分類邏輯出錯。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OTA 佣金不是原因。</w:t>
      </w:r>
      <w:r>
        <w:rPr>
          <w:rFonts w:ascii="Arial" w:cs="Arial" w:eastAsia="Arial" w:hAnsi="Arial"/>
          <w:sz w:val="20"/>
          <w:szCs w:val="20"/>
        </w:rPr>
        <w:t xml:space="preserve"> OTA 房晚佔比與兩邊 ADR 比值的相關係數為 −0.03，等於沒有關係，此假設已排除。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附註（不需處理）：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尚無法確定 Portal 的房間營收是否已扣除 10% 服務費，此係數會影響「兩邊差額」的絕對數值。但依 D7，兩份資料本就不互相驗算，該係數不影響任何 ADR 數字，亦無須為此查證。</w:t>
      </w:r>
    </w:p>
    <w:p>
      <w:pPr>
        <w:shd w:fill="1B3A5C" w:val="clear"/>
        <w:spacing w:after="160" w:before="320"/>
        <w:ind w:left="120" w:righ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七、附件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OPERA_房價分析_20260801-0812.xlsx</w:t>
      </w:r>
      <w:r>
        <w:rPr>
          <w:rFonts w:ascii="Arial" w:cs="Arial" w:eastAsia="Arial" w:hAnsi="Arial"/>
          <w:sz w:val="20"/>
          <w:szCs w:val="20"/>
        </w:rPr>
        <w:t xml:space="preserve"> ── 11 個工作表。每日房價、房型／通路／市場區隔／房價碼／平日週末五個維度分析、同日同房型價差機會、重複訂房清單。所有公式指向「房晚展開」工作表，來源資料異動時彙總自動更新。</w:t>
      </w:r>
    </w:p>
    <w:p>
      <w:pPr>
        <w:shd w:fill="FFF5F5" w:val="clear"/>
        <w:spacing w:after="120" w:line="300"/>
      </w:pPr>
      <w:r>
        <w:rPr>
          <w:rFonts w:ascii="Arial" w:cs="Arial" w:eastAsia="Arial" w:hAnsi="Arial"/>
          <w:color w:val="C0392B"/>
          <w:sz w:val="18"/>
          <w:szCs w:val="18"/>
        </w:rPr>
        <w:t xml:space="preserve">提醒：該活頁簿內的 ADR 為訂單牌價彙總，用途限於房價結構分析，不可對外引用為實際 ADR。此限制已寫在活頁簿第一個「說明與限制」工作表中。</w:t>
      </w:r>
    </w:p>
    <w:sectPr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OPERA 訂房明細與 ADR 口徑說明　|　</w:t>
    </w:r>
    <w:r>
      <w:rPr>
        <w:rFonts w:ascii="Arial" w:cs="Arial" w:eastAsia="Arial" w:hAnsi="Arial"/>
        <w:color w:val="666666"/>
        <w:sz w:val="16"/>
        <w:szCs w:val="16"/>
      </w:rPr>
      <w:t xml:space="preserve">第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2026-08-12T05:32:52.158Z</dcterms:created>
  <dcterms:modified xsi:type="dcterms:W3CDTF">2026-08-12T05:32:52.185Z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