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2D5" w:rsidRDefault="00B532D5" w:rsidP="00B532D5">
      <w:pPr>
        <w:pStyle w:val="Ttulo1"/>
      </w:pPr>
      <w:bookmarkStart w:id="0" w:name="_Toc439109658"/>
      <w:bookmarkStart w:id="1" w:name="_Toc439109886"/>
      <w:bookmarkStart w:id="2" w:name="_Toc439535195"/>
      <w:bookmarkStart w:id="3" w:name="_Toc439537485"/>
      <w:bookmarkStart w:id="4" w:name="_Toc439966815"/>
      <w:r>
        <w:t>Cartório</w:t>
      </w:r>
      <w:bookmarkEnd w:id="0"/>
      <w:bookmarkEnd w:id="1"/>
      <w:bookmarkEnd w:id="2"/>
      <w:bookmarkEnd w:id="3"/>
      <w:bookmarkEnd w:id="4"/>
    </w:p>
    <w:p w:rsidR="00B532D5" w:rsidRDefault="00B532D5" w:rsidP="00B532D5">
      <w:r>
        <w:t>O cartório é responsável por gerir os documentos oficiais.</w:t>
      </w:r>
    </w:p>
    <w:p w:rsidR="00B532D5" w:rsidRDefault="00B532D5" w:rsidP="00B532D5">
      <w:pPr>
        <w:pStyle w:val="Ttulo3"/>
        <w:spacing w:before="0"/>
      </w:pPr>
      <w:bookmarkStart w:id="5" w:name="_Toc439109659"/>
      <w:bookmarkStart w:id="6" w:name="_Toc439109887"/>
      <w:bookmarkStart w:id="7" w:name="_Toc439535196"/>
      <w:bookmarkStart w:id="8" w:name="_Toc439537486"/>
      <w:bookmarkStart w:id="9" w:name="_Toc439966816"/>
      <w:r>
        <w:t>Cargos:</w:t>
      </w:r>
      <w:bookmarkEnd w:id="5"/>
      <w:bookmarkEnd w:id="6"/>
      <w:bookmarkEnd w:id="7"/>
      <w:bookmarkEnd w:id="8"/>
      <w:bookmarkEnd w:id="9"/>
    </w:p>
    <w:p w:rsidR="00B532D5" w:rsidRDefault="00B532D5" w:rsidP="00B532D5">
      <w:pPr>
        <w:pStyle w:val="Ttulo4"/>
        <w:spacing w:before="0"/>
      </w:pPr>
      <w:r>
        <w:t>Tabelião</w:t>
      </w:r>
    </w:p>
    <w:p w:rsidR="00B532D5" w:rsidRDefault="00B532D5" w:rsidP="00B532D5">
      <w:pPr>
        <w:pStyle w:val="Ttulo4"/>
        <w:spacing w:before="0"/>
      </w:pPr>
      <w:r>
        <w:t>Tabelião Substituto</w:t>
      </w:r>
    </w:p>
    <w:p w:rsidR="00B532D5" w:rsidRPr="00557B2C" w:rsidRDefault="00B532D5" w:rsidP="00B532D5">
      <w:pPr>
        <w:pStyle w:val="Ttulo4"/>
        <w:spacing w:before="0"/>
      </w:pPr>
      <w:r>
        <w:t>Escrevente</w:t>
      </w:r>
    </w:p>
    <w:p w:rsidR="00B532D5" w:rsidRDefault="00B532D5" w:rsidP="00B532D5">
      <w:pPr>
        <w:pStyle w:val="Ttulo3"/>
        <w:spacing w:before="0"/>
      </w:pPr>
      <w:bookmarkStart w:id="10" w:name="_Toc439109660"/>
      <w:bookmarkStart w:id="11" w:name="_Toc439109888"/>
      <w:bookmarkStart w:id="12" w:name="_Toc439535197"/>
      <w:bookmarkStart w:id="13" w:name="_Toc439537487"/>
      <w:bookmarkStart w:id="14" w:name="_Toc439966817"/>
      <w:r>
        <w:t>Nova família</w:t>
      </w:r>
      <w:bookmarkEnd w:id="10"/>
      <w:bookmarkEnd w:id="11"/>
      <w:bookmarkEnd w:id="12"/>
      <w:bookmarkEnd w:id="13"/>
      <w:bookmarkEnd w:id="14"/>
    </w:p>
    <w:p w:rsidR="00B532D5" w:rsidRPr="00550BA0" w:rsidRDefault="00B532D5" w:rsidP="00B532D5">
      <w:r>
        <w:t xml:space="preserve">É possível pedir a criação de uma nova família e ela pode ser aceita ou não. Se aceita, será oficializada e após a escolha do patriarca, o mesmo terá acesso ao menu </w:t>
      </w:r>
      <w:hyperlink w:anchor="_Gerenciamento_da_família" w:history="1">
        <w:r w:rsidRPr="00550BA0">
          <w:rPr>
            <w:rStyle w:val="Hyperlink"/>
          </w:rPr>
          <w:t>Gerenciamento da Família</w:t>
        </w:r>
      </w:hyperlink>
    </w:p>
    <w:p w:rsidR="00B532D5" w:rsidRDefault="00B532D5" w:rsidP="00B532D5">
      <w:pPr>
        <w:pStyle w:val="Ttulo3"/>
        <w:spacing w:before="0"/>
      </w:pPr>
      <w:bookmarkStart w:id="15" w:name="_Toc439109661"/>
      <w:bookmarkStart w:id="16" w:name="_Toc439109889"/>
      <w:bookmarkStart w:id="17" w:name="_Toc439535198"/>
      <w:bookmarkStart w:id="18" w:name="_Toc439537488"/>
      <w:bookmarkStart w:id="19" w:name="_Toc439966818"/>
      <w:r>
        <w:t>Certidões</w:t>
      </w:r>
      <w:bookmarkEnd w:id="15"/>
      <w:bookmarkEnd w:id="16"/>
      <w:bookmarkEnd w:id="17"/>
      <w:bookmarkEnd w:id="18"/>
      <w:bookmarkEnd w:id="19"/>
    </w:p>
    <w:p w:rsidR="00B532D5" w:rsidRPr="00550BA0" w:rsidRDefault="00B532D5" w:rsidP="00B532D5">
      <w:r>
        <w:t>As certidões são a história de cada um no reino.</w:t>
      </w:r>
    </w:p>
    <w:p w:rsidR="00B532D5" w:rsidRDefault="00B532D5" w:rsidP="00B532D5">
      <w:pPr>
        <w:pStyle w:val="Ttulo4"/>
        <w:spacing w:before="0"/>
      </w:pPr>
      <w:r>
        <w:t>Certidão de Nascimento</w:t>
      </w:r>
    </w:p>
    <w:p w:rsidR="00B532D5" w:rsidRPr="00550BA0" w:rsidRDefault="00B532D5" w:rsidP="00B532D5">
      <w:r>
        <w:t>Deve ser requerida pelos pais, para que seja registrado no nome da família. o próprio também pode pedir sua certidão, porém constará como órfão.</w:t>
      </w:r>
    </w:p>
    <w:p w:rsidR="00B532D5" w:rsidRDefault="00B532D5" w:rsidP="00B532D5">
      <w:pPr>
        <w:pStyle w:val="Ttulo4"/>
        <w:spacing w:before="0"/>
      </w:pPr>
      <w:r>
        <w:t>Certidão de adoção</w:t>
      </w:r>
    </w:p>
    <w:p w:rsidR="00B532D5" w:rsidRPr="00550BA0" w:rsidRDefault="00B532D5" w:rsidP="00B532D5">
      <w:r>
        <w:t>Caso a pessoa seja órfã, é possível que seja adotada por seus novos pais e faça parte de uma família</w:t>
      </w:r>
    </w:p>
    <w:p w:rsidR="00B532D5" w:rsidRDefault="00B532D5" w:rsidP="00B532D5">
      <w:pPr>
        <w:pStyle w:val="Ttulo4"/>
        <w:spacing w:before="0"/>
      </w:pPr>
      <w:r>
        <w:t>Certidão de Casamento</w:t>
      </w:r>
    </w:p>
    <w:p w:rsidR="00B532D5" w:rsidRDefault="00B532D5" w:rsidP="00B532D5">
      <w:r>
        <w:t>Os casamentos podem se realizar na igreja, tendo valor civil, ou em caso de preferência dos noivos, podem ser realizados no cartório. Assim é possível trocar o sobrenome dos noivos e entrar na família.</w:t>
      </w:r>
    </w:p>
    <w:p w:rsidR="00B532D5" w:rsidRPr="00550BA0" w:rsidRDefault="00B532D5" w:rsidP="00B532D5">
      <w:r>
        <w:t>Nota: é possível participar efetivamente de apenas uma família (ter acesso à família). Em caso de casamentos e nascimentos, a pessoa estará na árvores genealógicas das famílias, porém não terá acesso a elas.</w:t>
      </w:r>
    </w:p>
    <w:p w:rsidR="00B532D5" w:rsidRDefault="00B532D5" w:rsidP="00B532D5">
      <w:pPr>
        <w:pStyle w:val="Ttulo4"/>
        <w:spacing w:before="0"/>
      </w:pPr>
      <w:r>
        <w:t>Certidão de óbito</w:t>
      </w:r>
    </w:p>
    <w:p w:rsidR="00B532D5" w:rsidRPr="001B2E69" w:rsidRDefault="00B532D5" w:rsidP="00B532D5">
      <w:r>
        <w:t xml:space="preserve">É possível que o personagem peça o seu óbito, e terá direito ao funeral (na igreja). </w:t>
      </w:r>
    </w:p>
    <w:p w:rsidR="00B532D5" w:rsidRDefault="00B532D5" w:rsidP="00B532D5">
      <w:r>
        <w:t>Após X meses de inatividade, é possível pedir a certidão de óbito de um familiar.</w:t>
      </w:r>
    </w:p>
    <w:p w:rsidR="00B532D5" w:rsidRDefault="00B532D5" w:rsidP="00B532D5">
      <w:r>
        <w:t>Após Y meses de inatividade, é gerado automaticamente a certidão de óbito do personagem.</w:t>
      </w:r>
    </w:p>
    <w:p w:rsidR="00B532D5" w:rsidRDefault="00B532D5" w:rsidP="00B532D5">
      <w:pPr>
        <w:pStyle w:val="Ttulo5"/>
        <w:spacing w:before="0"/>
      </w:pPr>
      <w:r>
        <w:t>Sem testamento</w:t>
      </w:r>
    </w:p>
    <w:p w:rsidR="00B532D5" w:rsidRDefault="00B532D5" w:rsidP="00B532D5">
      <w:r>
        <w:t xml:space="preserve">Em caso de não haver </w:t>
      </w:r>
      <w:hyperlink w:anchor="_Testamentos" w:history="1">
        <w:r w:rsidRPr="001B2E69">
          <w:rPr>
            <w:rStyle w:val="Hyperlink"/>
          </w:rPr>
          <w:t>testamento</w:t>
        </w:r>
      </w:hyperlink>
      <w:r>
        <w:t>, seus bens passam automaticamente, 50% para seu cônjuge e os outros 50% são divididos entre seus filhos. Caso não haja filhos ou não haja cônjuge, a outra parte recebe integralmente os bens.</w:t>
      </w:r>
    </w:p>
    <w:p w:rsidR="00B532D5" w:rsidRDefault="00B532D5" w:rsidP="00B532D5">
      <w:r>
        <w:t>Caso não tenha filhos e nem cônjuge, os bens vão integralmente para o inventário da família.</w:t>
      </w:r>
    </w:p>
    <w:p w:rsidR="00B532D5" w:rsidRPr="00260B39" w:rsidRDefault="00B532D5" w:rsidP="00B532D5">
      <w:r>
        <w:t>Caso não tenha família, os bens serão doados integralmente para a igreja.</w:t>
      </w:r>
    </w:p>
    <w:p w:rsidR="00B532D5" w:rsidRDefault="00B532D5" w:rsidP="00B532D5">
      <w:pPr>
        <w:pStyle w:val="Ttulo5"/>
        <w:spacing w:before="0"/>
      </w:pPr>
      <w:r>
        <w:t>Com testamento</w:t>
      </w:r>
    </w:p>
    <w:p w:rsidR="00B532D5" w:rsidRPr="00260B39" w:rsidRDefault="00B532D5" w:rsidP="00B532D5">
      <w:r>
        <w:t>Será feito de acordo com a vontade do falecido.</w:t>
      </w:r>
    </w:p>
    <w:p w:rsidR="00B532D5" w:rsidRPr="001B2E69" w:rsidRDefault="00B532D5" w:rsidP="00B532D5">
      <w:r>
        <w:t xml:space="preserve">Nota: Poderá ser cobrada uma taxa (a ser fixada pelo governos) por transferência de bens em </w:t>
      </w:r>
      <w:r w:rsidRPr="00FA3F10">
        <w:rPr>
          <w:i/>
        </w:rPr>
        <w:t xml:space="preserve">causa </w:t>
      </w:r>
      <w:proofErr w:type="spellStart"/>
      <w:r w:rsidRPr="00FA3F10">
        <w:rPr>
          <w:i/>
        </w:rPr>
        <w:t>mortis</w:t>
      </w:r>
      <w:proofErr w:type="spellEnd"/>
      <w:r w:rsidRPr="00FA3F10">
        <w:rPr>
          <w:i/>
        </w:rPr>
        <w:t>.</w:t>
      </w:r>
    </w:p>
    <w:p w:rsidR="00B532D5" w:rsidRDefault="00B532D5" w:rsidP="00B532D5">
      <w:pPr>
        <w:pStyle w:val="Ttulo3"/>
        <w:spacing w:before="0"/>
      </w:pPr>
      <w:bookmarkStart w:id="20" w:name="_Toc439109662"/>
      <w:bookmarkStart w:id="21" w:name="_Toc439109890"/>
      <w:bookmarkStart w:id="22" w:name="_Toc439535199"/>
      <w:bookmarkStart w:id="23" w:name="_Toc439537489"/>
      <w:bookmarkStart w:id="24" w:name="_Toc439966819"/>
      <w:r>
        <w:lastRenderedPageBreak/>
        <w:t>Escrituras</w:t>
      </w:r>
      <w:bookmarkEnd w:id="20"/>
      <w:bookmarkEnd w:id="21"/>
      <w:bookmarkEnd w:id="22"/>
      <w:bookmarkEnd w:id="23"/>
      <w:bookmarkEnd w:id="24"/>
    </w:p>
    <w:p w:rsidR="00B532D5" w:rsidRPr="00260B39" w:rsidRDefault="00B532D5" w:rsidP="00B532D5">
      <w:r>
        <w:t xml:space="preserve">As escrituras são as compras e vendas de </w:t>
      </w:r>
    </w:p>
    <w:p w:rsidR="00B532D5" w:rsidRPr="00550BA0" w:rsidRDefault="00B532D5" w:rsidP="00B532D5">
      <w:pPr>
        <w:pStyle w:val="Ttulo3"/>
        <w:spacing w:before="0"/>
      </w:pPr>
      <w:bookmarkStart w:id="25" w:name="_Testamentos"/>
      <w:bookmarkStart w:id="26" w:name="_Toc439109663"/>
      <w:bookmarkStart w:id="27" w:name="_Toc439109891"/>
      <w:bookmarkStart w:id="28" w:name="_Toc439535200"/>
      <w:bookmarkStart w:id="29" w:name="_Toc439537490"/>
      <w:bookmarkStart w:id="30" w:name="_Toc439966820"/>
      <w:bookmarkEnd w:id="25"/>
      <w:r>
        <w:t>Testamentos</w:t>
      </w:r>
      <w:bookmarkEnd w:id="26"/>
      <w:bookmarkEnd w:id="27"/>
      <w:bookmarkEnd w:id="28"/>
      <w:bookmarkEnd w:id="29"/>
      <w:bookmarkEnd w:id="30"/>
    </w:p>
    <w:p w:rsidR="00B532D5" w:rsidRDefault="00B532D5" w:rsidP="00B532D5">
      <w:r>
        <w:t>Os testamentos servem para repartir os bens de acordo com a vontade da pessoa, quando ela morrer. É possível doar para outros personagens, para famílias e para a Igreja.</w:t>
      </w:r>
    </w:p>
    <w:p w:rsidR="00C94393" w:rsidRPr="00C94393" w:rsidRDefault="00C94393" w:rsidP="00C94393"/>
    <w:sectPr w:rsidR="00C94393" w:rsidRPr="00C94393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84B1A"/>
    <w:rsid w:val="0008507A"/>
    <w:rsid w:val="0008640D"/>
    <w:rsid w:val="00091C0D"/>
    <w:rsid w:val="00093CB0"/>
    <w:rsid w:val="000F16DA"/>
    <w:rsid w:val="001220D5"/>
    <w:rsid w:val="00136AB6"/>
    <w:rsid w:val="0014074D"/>
    <w:rsid w:val="001B2BF1"/>
    <w:rsid w:val="001B2E69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A28AB"/>
    <w:rsid w:val="004C51C6"/>
    <w:rsid w:val="005029D0"/>
    <w:rsid w:val="0052244D"/>
    <w:rsid w:val="00550BA0"/>
    <w:rsid w:val="00555471"/>
    <w:rsid w:val="00557B2C"/>
    <w:rsid w:val="00560CBF"/>
    <w:rsid w:val="005633C0"/>
    <w:rsid w:val="00563467"/>
    <w:rsid w:val="00565E76"/>
    <w:rsid w:val="00577094"/>
    <w:rsid w:val="005A09C5"/>
    <w:rsid w:val="005A30E2"/>
    <w:rsid w:val="005E059E"/>
    <w:rsid w:val="005E5FB5"/>
    <w:rsid w:val="0061517D"/>
    <w:rsid w:val="006237F1"/>
    <w:rsid w:val="006256A8"/>
    <w:rsid w:val="0062637C"/>
    <w:rsid w:val="00631D9E"/>
    <w:rsid w:val="00666E63"/>
    <w:rsid w:val="006673A9"/>
    <w:rsid w:val="00683D28"/>
    <w:rsid w:val="00692AAA"/>
    <w:rsid w:val="00694FC2"/>
    <w:rsid w:val="006D195D"/>
    <w:rsid w:val="006D1E2E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7DA0"/>
    <w:rsid w:val="009D08CC"/>
    <w:rsid w:val="009F222A"/>
    <w:rsid w:val="00A02E02"/>
    <w:rsid w:val="00A10A0B"/>
    <w:rsid w:val="00A63037"/>
    <w:rsid w:val="00A64AC3"/>
    <w:rsid w:val="00A66B41"/>
    <w:rsid w:val="00A70C52"/>
    <w:rsid w:val="00AD033B"/>
    <w:rsid w:val="00AE6B7D"/>
    <w:rsid w:val="00AF7440"/>
    <w:rsid w:val="00B143E8"/>
    <w:rsid w:val="00B43AEA"/>
    <w:rsid w:val="00B532D5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10891"/>
    <w:rsid w:val="00F159EC"/>
    <w:rsid w:val="00F20ADE"/>
    <w:rsid w:val="00F277FD"/>
    <w:rsid w:val="00F41AFF"/>
    <w:rsid w:val="00F8050F"/>
    <w:rsid w:val="00F8509E"/>
    <w:rsid w:val="00F90754"/>
    <w:rsid w:val="00FA3F10"/>
    <w:rsid w:val="00FA6639"/>
    <w:rsid w:val="00FB462C"/>
    <w:rsid w:val="00FB58FD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2D5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9A8CE4-D0AF-4557-99F0-05615839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8483</TotalTime>
  <Pages>2</Pages>
  <Words>352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42</cp:revision>
  <dcterms:created xsi:type="dcterms:W3CDTF">2015-12-25T12:34:00Z</dcterms:created>
  <dcterms:modified xsi:type="dcterms:W3CDTF">2016-01-09T14:06:00Z</dcterms:modified>
</cp:coreProperties>
</file>