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Sparteca</w:t>
      </w:r>
      <w:r>
        <w:t xml:space="preserve"> </w:t>
      </w:r>
      <w:r>
        <w:t xml:space="preserve">Exports</w:t>
      </w:r>
      <w:r>
        <w:t xml:space="preserve"> </w:t>
      </w:r>
      <w:r>
        <w:t xml:space="preserve">to</w:t>
      </w:r>
      <w:r>
        <w:t xml:space="preserve"> </w:t>
      </w:r>
      <w:r>
        <w:t xml:space="preserve">New</w:t>
      </w:r>
      <w:r>
        <w:t xml:space="preserve"> </w:t>
      </w:r>
      <w:r>
        <w:t xml:space="preserve">Zealand</w:t>
      </w:r>
    </w:p>
    <w:p>
      <w:pPr>
        <w:pStyle w:val="Author"/>
      </w:pPr>
      <w:r>
        <w:t xml:space="preserve">Report</w:t>
      </w:r>
      <w:r>
        <w:t xml:space="preserve"> </w:t>
      </w: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ECO,</w:t>
      </w:r>
      <w:r>
        <w:t xml:space="preserve"> </w:t>
      </w:r>
      <w:r>
        <w:t xml:space="preserve">28</w:t>
      </w:r>
      <w:r>
        <w:t xml:space="preserve"> </w:t>
      </w:r>
      <w:r>
        <w:t xml:space="preserve">September</w:t>
      </w:r>
      <w:r>
        <w:t xml:space="preserve"> </w:t>
      </w:r>
      <w:r>
        <w:t xml:space="preserve">2021</w:t>
      </w:r>
    </w:p>
    <w:bookmarkStart w:id="27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  <w:pStyle w:val="Compact"/>
      </w:pPr>
      <w:r>
        <w:t xml:space="preserve">There was $242 million trade of exports from pacific countries into New Zealand, of which the majority of exports was claimed either through MFN ($175 m) and Sparteca ($55 m)</w:t>
      </w:r>
    </w:p>
    <w:p>
      <w:pPr>
        <w:numPr>
          <w:ilvl w:val="0"/>
          <w:numId w:val="1001"/>
        </w:numPr>
        <w:pStyle w:val="Compact"/>
      </w:pPr>
      <w:r>
        <w:t xml:space="preserve">Fiji is the largest driver of exports into New Zealand and makes up 46% of total exports into New Zealand, of which 90% of total Sparteca exports are claimed</w:t>
      </w:r>
    </w:p>
    <w:p>
      <w:pPr>
        <w:numPr>
          <w:ilvl w:val="0"/>
          <w:numId w:val="1001"/>
        </w:numPr>
        <w:pStyle w:val="Compact"/>
      </w:pPr>
      <w:r>
        <w:t xml:space="preserve">however, as a percentage of total country exports claimed using Sparteca, Niue claims over 60%, followed by Fiji (of 46%)</w:t>
      </w:r>
    </w:p>
    <w:p>
      <w:pPr>
        <w:numPr>
          <w:ilvl w:val="0"/>
          <w:numId w:val="1001"/>
        </w:numPr>
        <w:pStyle w:val="Compact"/>
      </w:pPr>
      <w:r>
        <w:t xml:space="preserve">There is slightly more claimed under Non-Agricultural than Agricultural goods, however, there is little difference in amount claimed under Sparteca,</w:t>
      </w:r>
    </w:p>
    <w:p>
      <w:pPr>
        <w:numPr>
          <w:ilvl w:val="0"/>
          <w:numId w:val="1001"/>
        </w:numPr>
        <w:pStyle w:val="Compact"/>
      </w:pPr>
      <w:r>
        <w:t xml:space="preserve">The largest sector exports are within Agr, Fruits and nuts ($X), followed by Wood ($X) then other food products ($X)</w:t>
      </w:r>
    </w:p>
    <w:p>
      <w:pPr>
        <w:numPr>
          <w:ilvl w:val="0"/>
          <w:numId w:val="1001"/>
        </w:numPr>
        <w:pStyle w:val="Compact"/>
      </w:pPr>
      <w:r>
        <w:t xml:space="preserve">However, as a proportion of Sector trade, X, Y and Z have the highest utilisation of Sparteca,</w:t>
      </w:r>
    </w:p>
    <w:bookmarkStart w:id="26" w:name="report"/>
    <w:p>
      <w:pPr>
        <w:pStyle w:val="Heading2"/>
      </w:pPr>
      <w:r>
        <w:t xml:space="preserve">Report</w:t>
      </w:r>
    </w:p>
    <w:p>
      <w:pPr>
        <w:pStyle w:val="FirstParagraph"/>
      </w:pPr>
      <w:r>
        <w:t xml:space="preserve">In-coming trade from the Pacific is approximately $242 million, of which about $175 million (75%) comes under MFN, and about $55 million comes under Sparteca. Fiji is the largest contributor to trade for the Pacific Island Countries (PICs), making up $111 million (46%) of total incoming trade. Following Fiji, is PNG (of $52 million), Solomon Islands ($27) million, and Samoa($24 million).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Figure 1: Total PIC Exports by Preference" title="" id="1" name="Picture"/>
            <a:graphic>
              <a:graphicData uri="http://schemas.openxmlformats.org/drawingml/2006/picture">
                <pic:pic>
                  <pic:nvPicPr>
                    <pic:cNvPr descr="C:\R%20Work\Utilisation\Product_Output\Sparteca_No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Total PIC Exports by Preference</w:t>
      </w:r>
    </w:p>
    <w:p>
      <w:pPr>
        <w:pStyle w:val="BodyText"/>
      </w:pPr>
    </w:p>
    <w:p>
      <w:pPr>
        <w:pStyle w:val="TableCaption"/>
      </w:pPr>
      <w:r>
        <w:t xml:space="preserve">Table 1: Exports by Country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1: Exports by Countr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Exports, $ mil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Fiji</w:t>
            </w:r>
          </w:p>
        </w:tc>
        <w:tc>
          <w:p>
            <w:pPr>
              <w:pStyle w:val="Compact"/>
              <w:jc w:val="right"/>
            </w:pPr>
            <w:r>
              <w:t xml:space="preserve">110.8</w:t>
            </w:r>
          </w:p>
        </w:tc>
        <w:tc>
          <w:p>
            <w:pPr>
              <w:pStyle w:val="Compact"/>
              <w:jc w:val="right"/>
            </w:pPr>
            <w:r>
              <w:t xml:space="preserve">45.6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p>
            <w:pPr>
              <w:pStyle w:val="Compact"/>
              <w:jc w:val="right"/>
            </w:pPr>
            <w:r>
              <w:t xml:space="preserve">52.4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Solomon Islands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Samoa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 Islands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Niue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Kitibati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Nauru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Tuvalu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Sparteca uptake across countries is varied but in general remains low. As a percentage of countries own total trade (RHS graph), Niue has the highest Sparteca uptake, however exports were about $1 million, Fiji is the next country who has the highest proportion of total trade claimed under Sparteca (about 44%). However, Fiji accounts for almost 90% of total incoming trade under Sparteca compared to other PICs.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943600" cy="2161309"/>
            <wp:effectExtent b="0" l="0" r="0" t="0"/>
            <wp:docPr descr="Figure 2: Exports by Country and by Preference" title="" id="1" name="Picture"/>
            <a:graphic>
              <a:graphicData uri="http://schemas.openxmlformats.org/drawingml/2006/picture">
                <pic:pic>
                  <pic:nvPicPr>
                    <pic:cNvPr descr="C:\R%20Work\Utilisation\Product_Output\Sparteca_Note_files/figure-docx/figures-s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Exports by Country and by Preference</w:t>
      </w:r>
    </w:p>
    <w:p>
      <w:pPr>
        <w:pStyle w:val="BodyText"/>
      </w:pPr>
    </w:p>
    <w:p>
      <w:pPr>
        <w:pStyle w:val="TableCaption"/>
      </w:pPr>
      <w:r>
        <w:t xml:space="preserve">Table 2: Exports by Country and Preferece, $ mil’s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2: Exports by Country and Preferece, $ mil’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Sparteca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Fiji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49.8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Solomon Islands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Samoa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Tonga</w:t>
            </w:r>
          </w:p>
        </w:tc>
        <w:tc>
          <w:p>
            <w:pPr>
              <w:pStyle w:val="Compact"/>
              <w:jc w:val="right"/>
            </w:pPr>
            <w:r>
              <w:t xml:space="preserve">14.6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 Islands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Niue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Kitibati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Nauru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Tuvalu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There is little difference between Agricultural and Non-Agricultural trade exports to New Zealand from PICS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, both in terms of value and claims under preference. There was $115 million worth of Agricultural products, and $128 million worth of Non-Agricultural products , of which $27.4 and $28.1 were claimed under Sparteca respectively. In each case, the majority being claimed under MFN and Fiji being main country to utilise exports under Sparteca.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3696101" cy="2772075"/>
            <wp:effectExtent b="0" l="0" r="0" t="0"/>
            <wp:docPr descr="Figure 3: Exportts by Agricultural Products" title="" id="1" name="Picture"/>
            <a:graphic>
              <a:graphicData uri="http://schemas.openxmlformats.org/drawingml/2006/picture">
                <pic:pic>
                  <pic:nvPicPr>
                    <pic:cNvPr descr="C:\R%20Work\Utilisation\Product_Output\Sparteca_Note_files/figure-docx/figures-side-agr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Exportts by Agricultural Products</w:t>
      </w:r>
    </w:p>
    <w:p>
      <w:pPr>
        <w:pStyle w:val="BodyText"/>
      </w:pPr>
    </w:p>
    <w:p>
      <w:pPr>
        <w:pStyle w:val="CaptionedFigure"/>
      </w:pPr>
      <w:r>
        <w:drawing>
          <wp:inline>
            <wp:extent cx="5544151" cy="2772075"/>
            <wp:effectExtent b="0" l="0" r="0" t="0"/>
            <wp:docPr descr="Figure 4: Exports by Country and Agricultural Products" title="" id="1" name="Picture"/>
            <a:graphic>
              <a:graphicData uri="http://schemas.openxmlformats.org/drawingml/2006/picture">
                <pic:pic>
                  <pic:nvPicPr>
                    <pic:cNvPr descr="C:\R%20Work\Utilisation\Product_Output\Sparteca_Note_files/figure-docx/figure-a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Exports by Country and Agricultural Products</w:t>
      </w:r>
    </w:p>
    <w:p>
      <w:pPr>
        <w:pStyle w:val="BodyText"/>
      </w:pPr>
    </w:p>
    <w:p>
      <w:pPr>
        <w:pStyle w:val="BodyText"/>
      </w:pPr>
      <w:r>
        <w:t xml:space="preserve">Some of the highest sector exports are have very low rates of trade being claimed under Sparteca. For example, The fruit, nuts, vegetables and plant sector exported $48.4 million, however 5% ($2.22 million) was claimed under Sparteca., with the majority being MFN (95%). This is similar for wood, pulp and paper (worth $46.9 million), with less than 1% of trade being claimed under. Some sectors such as:</w:t>
      </w:r>
    </w:p>
    <w:p>
      <w:pPr>
        <w:numPr>
          <w:ilvl w:val="0"/>
          <w:numId w:val="1002"/>
        </w:numPr>
      </w:pPr>
      <w:r>
        <w:t xml:space="preserve">Other foods products, worth $X and X% claimed under Sparteca,</w:t>
      </w:r>
    </w:p>
    <w:p>
      <w:pPr>
        <w:numPr>
          <w:ilvl w:val="0"/>
          <w:numId w:val="1002"/>
        </w:numPr>
      </w:pPr>
      <w:r>
        <w:t xml:space="preserve">Clothing and footwear, worth $X and X% claimed under Sparteca, and</w:t>
      </w:r>
    </w:p>
    <w:p>
      <w:pPr>
        <w:numPr>
          <w:ilvl w:val="0"/>
          <w:numId w:val="1002"/>
        </w:numPr>
      </w:pPr>
      <w:r>
        <w:t xml:space="preserve">Chemicals and chemical products, worth $X and X% being claimed under Sparteca.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943600" cy="3241963"/>
            <wp:effectExtent b="0" l="0" r="0" t="0"/>
            <wp:docPr descr="Figure 5: Exports by Sector" title="" id="1" name="Picture"/>
            <a:graphic>
              <a:graphicData uri="http://schemas.openxmlformats.org/drawingml/2006/picture">
                <pic:pic>
                  <pic:nvPicPr>
                    <pic:cNvPr descr="C:\R%20Work\Utilisation\Product_Output\Sparteca_Note_files/figure-docx/figures-side-s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Exports by Sector</w:t>
      </w:r>
    </w:p>
    <w:p>
      <w:pPr>
        <w:pStyle w:val="BodyText"/>
      </w:pPr>
    </w:p>
    <w:p>
      <w:pPr>
        <w:pStyle w:val="TableCaption"/>
      </w:pPr>
      <w:r>
        <w:t xml:space="preserve">Table 3: Exports by Sector and Preferece, $ mil’s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 3: Exports by Sector and Preferece, $ mil’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Sparteca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Fruit, nuts, vegetables and plants</w:t>
            </w:r>
          </w:p>
        </w:tc>
        <w:tc>
          <w:p>
            <w:pPr>
              <w:pStyle w:val="Compact"/>
              <w:jc w:val="right"/>
            </w:pPr>
            <w:r>
              <w:t xml:space="preserve">46.1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Wood, pulp and paper products</w:t>
            </w:r>
          </w:p>
        </w:tc>
        <w:tc>
          <w:p>
            <w:pPr>
              <w:pStyle w:val="Compact"/>
              <w:jc w:val="right"/>
            </w:pPr>
            <w:r>
              <w:t xml:space="preserve">38.1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Beverages and tobacco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 equipment/vehicles and parts</w:t>
            </w:r>
          </w:p>
        </w:tc>
        <w:tc>
          <w:p>
            <w:pPr>
              <w:pStyle w:val="Compact"/>
              <w:jc w:val="right"/>
            </w:pPr>
            <w:r>
              <w:t xml:space="preserve">20.1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food products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 and fish products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Meat and meat products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Chemicals and chemical products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Gemstones, minerals and mineral products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Metals and metal products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Clothing and footwear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Non-electric machinery and equipment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Dairy products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Oilseeds, Fats and Oils (ex fish oils)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Electric machinery and equipment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manufactures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animal products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Textiles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agricultural products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Cereals and cereal preparations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Sugars and confectionery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Plastics, rubber and related goods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Furniture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 hides, skins, furskins and leather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Petroleum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Special clas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bookmarkEnd w:id="26"/>
    <w:bookmarkEnd w:id="27"/>
    <w:sectPr w:rsidR="00DA4D6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Note: Agricultural goods is defined by HS01 to HS24 codes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C76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12ECD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0AB3191"/>
    <w:multiLevelType w:val="hybridMultilevel"/>
    <w:tmpl w:val="ABDE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78D"/>
    <w:rPr>
      <w:rFonts w:ascii="Calibri" w:hAnsi="Calibri"/>
      <w:sz w:val="20"/>
    </w:rPr>
  </w:style>
  <w:style w:type="paragraph" w:styleId="Heading1">
    <w:name w:val="heading 1"/>
    <w:basedOn w:val="Normal"/>
    <w:next w:val="BodyText"/>
    <w:uiPriority w:val="9"/>
    <w:qFormat/>
    <w:rsid w:val="00012047"/>
    <w:pPr>
      <w:keepNext/>
      <w:keepLines/>
      <w:spacing w:before="480" w:after="120"/>
      <w:outlineLvl w:val="0"/>
    </w:pPr>
    <w:rPr>
      <w:rFonts w:ascii="Times New Roman" w:eastAsiaTheme="majorEastAsia" w:hAnsi="Times New Roman" w:cstheme="majorBidi"/>
      <w:b/>
      <w:bCs/>
      <w:color w:val="4C2F48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1204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2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0120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12047"/>
    <w:pPr>
      <w:spacing w:after="0" w:line="360" w:lineRule="auto"/>
    </w:pPr>
  </w:style>
  <w:style w:type="paragraph" w:customStyle="1" w:styleId="FirstParagraph">
    <w:name w:val="First Paragraph"/>
    <w:basedOn w:val="BodyText"/>
    <w:next w:val="BodyText"/>
    <w:qFormat/>
    <w:rsid w:val="0001204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2047"/>
    <w:pPr>
      <w:keepNext/>
      <w:keepLines/>
      <w:spacing w:before="360" w:after="240"/>
      <w:jc w:val="center"/>
    </w:pPr>
    <w:rPr>
      <w:rFonts w:ascii="Times New Roman" w:eastAsiaTheme="majorEastAsia" w:hAnsi="Times New Roman" w:cstheme="majorBidi"/>
      <w:b/>
      <w:bCs/>
      <w:color w:val="4C2F48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12047"/>
    <w:pPr>
      <w:keepNext/>
      <w:keepLines/>
    </w:pPr>
    <w:rPr>
      <w:rFonts w:ascii="Calibri" w:hAnsi="Calibri"/>
      <w:i/>
      <w:sz w:val="20"/>
    </w:rPr>
  </w:style>
  <w:style w:type="paragraph" w:styleId="Date">
    <w:name w:val="Date"/>
    <w:next w:val="BodyText"/>
    <w:qFormat/>
    <w:rsid w:val="00012047"/>
    <w:pPr>
      <w:keepNext/>
      <w:keepLines/>
    </w:pPr>
    <w:rPr>
      <w:rFonts w:ascii="Calibri" w:hAnsi="Calibri"/>
      <w:i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691224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6540C"/>
    <w:pPr>
      <w:keepNext/>
    </w:pPr>
    <w:rPr>
      <w:b/>
    </w:rPr>
  </w:style>
  <w:style w:type="paragraph" w:customStyle="1" w:styleId="ImageCaption">
    <w:name w:val="Image Caption"/>
    <w:basedOn w:val="Caption"/>
    <w:qFormat/>
    <w:rsid w:val="00A1048B"/>
    <w:pPr>
      <w:outlineLvl w:val="2"/>
    </w:pPr>
    <w:rPr>
      <w:b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Sparteca Exports to New Zealand</vt:lpstr>
    </vt:vector>
  </TitlesOfParts>
  <Company>MFAT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Sparteca Exports to New Zealand</dc:title>
  <dc:creator>Report Prepared by ECO, 28 September 2021</dc:creator>
  <cp:keywords/>
  <dcterms:created xsi:type="dcterms:W3CDTF">2021-09-27T22:01:06Z</dcterms:created>
  <dcterms:modified xsi:type="dcterms:W3CDTF">2021-09-27T22:01:06Z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