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kace-time-data-paradata-format-guide"/>
    <w:p>
      <w:pPr>
        <w:pStyle w:val="Heading1"/>
      </w:pPr>
      <w:r>
        <w:t xml:space="preserve">SKACE-Time-Data Paradata Format Guide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Automated Extraction and Analysis of Timing-Based Paradata Features for Survey Quality Assurance</w:t>
      </w:r>
      <w:r>
        <w:br/>
      </w:r>
      <w:r>
        <w:rPr>
          <w:b/>
          <w:bCs/>
        </w:rPr>
        <w:t xml:space="preserve">Student:</w:t>
      </w:r>
      <w:r>
        <w:t xml:space="preserve"> </w:t>
      </w:r>
      <w:r>
        <w:t xml:space="preserve">Samuel Kaoma (2022016530) ·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CSC 4004 ·</w:t>
      </w:r>
      <w:r>
        <w:t xml:space="preserve"> </w:t>
      </w:r>
      <w:r>
        <w:rPr>
          <w:b/>
          <w:bCs/>
        </w:rPr>
        <w:t xml:space="preserve">Supervisor:</w:t>
      </w:r>
      <w:r>
        <w:t xml:space="preserve"> </w:t>
      </w:r>
      <w:r>
        <w:t xml:space="preserve">Mr. Mofya Phiri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https://github.com/Samuelkaoma-eng/SKACE-TIME-DATA</w:t>
      </w:r>
    </w:p>
    <w:p>
      <w:pPr>
        <w:pStyle w:val="BodyText"/>
      </w:pPr>
      <w:r>
        <w:t xml:space="preserve">This guide documents the raw audit-log formats currently handled by the live</w:t>
      </w:r>
      <w:r>
        <w:t xml:space="preserve"> </w:t>
      </w:r>
      <w:r>
        <w:t xml:space="preserve">pipeline, the normalization rules applied by the parsers, and the resulting</w:t>
      </w:r>
      <w:r>
        <w:t xml:space="preserve"> </w:t>
      </w:r>
      <w:r>
        <w:t xml:space="preserve">Common Intermediate Representation (CIR).</w:t>
      </w:r>
    </w:p>
    <w:p>
      <w:pPr>
        <w:pStyle w:val="BodyText"/>
      </w:pPr>
      <w:r>
        <w:t xml:space="preserve">The authoritative parser implementations are: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src/parsers/surveycto_parser.py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src/parsers/odk_parser.py</w:t>
      </w:r>
    </w:p>
    <w:bookmarkStart w:id="17" w:name="surveycto-raw-format"/>
    <w:p>
      <w:pPr>
        <w:pStyle w:val="Heading2"/>
      </w:pPr>
      <w:r>
        <w:t xml:space="preserve">1. SurveyCTO Raw Format</w:t>
      </w:r>
    </w:p>
    <w:p>
      <w:pPr>
        <w:pStyle w:val="FirstParagraph"/>
      </w:pPr>
      <w:r>
        <w:t xml:space="preserve">The current synthetic SurveyCTO benchmark exports use these core columns: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interview_id</w:t>
            </w:r>
          </w:p>
        </w:tc>
        <w:tc>
          <w:tcPr/>
          <w:p>
            <w:pPr>
              <w:pStyle w:val="Compact"/>
            </w:pPr>
            <w:r>
              <w:t xml:space="preserve">Interview/session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Raw field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demographics_q01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Raw event 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question-end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Event start timestamp in epoch milliseconds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1711723369086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Event end timestamp in epoch milliseconds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1711723381131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</w:pPr>
            <w:r>
              <w:t xml:space="preserve">Raw event duration in milliseconds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6000</w:t>
            </w:r>
          </w:p>
        </w:tc>
      </w:tr>
    </w:tbl>
    <w:p>
      <w:pPr>
        <w:pStyle w:val="BodyText"/>
      </w:pPr>
      <w:r>
        <w:t xml:space="preserve">Optional metadata columns may also appear, for example: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altitude</w:t>
      </w:r>
    </w:p>
    <w:bookmarkStart w:id="16" w:name="parser-behavior"/>
    <w:p>
      <w:pPr>
        <w:pStyle w:val="Heading3"/>
      </w:pPr>
      <w:r>
        <w:t xml:space="preserve">Parser Behavior</w:t>
      </w:r>
    </w:p>
    <w:p>
      <w:pPr>
        <w:pStyle w:val="FirstParagraph"/>
      </w:pPr>
      <w:r>
        <w:rPr>
          <w:rStyle w:val="VerbatimChar"/>
        </w:rPr>
        <w:t xml:space="preserve">SurveyCTOParser</w:t>
      </w:r>
      <w:r>
        <w:t xml:space="preserve"> </w:t>
      </w:r>
      <w:r>
        <w:t xml:space="preserve">applies the following normalization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interview_id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interview_id</w:t>
      </w:r>
      <w:r>
        <w:t xml:space="preserve"> </w:t>
      </w:r>
      <w:r>
        <w:t xml:space="preserve">when present</w:t>
      </w:r>
      <w:r>
        <w:t xml:space="preserve"> </w:t>
      </w:r>
      <w:r>
        <w:t xml:space="preserve">- falls back to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when present</w:t>
      </w:r>
      <w:r>
        <w:t xml:space="preserve"> </w:t>
      </w:r>
      <w:r>
        <w:t xml:space="preserve">- otherwise derives sequential synthetic IDs when repeated</w:t>
      </w:r>
      <w:r>
        <w:t xml:space="preserve"> </w:t>
      </w:r>
      <w:r>
        <w:rPr>
          <w:rStyle w:val="VerbatimChar"/>
        </w:rPr>
        <w:t xml:space="preserve">form-start</w:t>
      </w:r>
      <w:r>
        <w:t xml:space="preserve"> </w:t>
      </w:r>
      <w:r>
        <w:t xml:space="preserve">blocks are detected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field_name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when present</w:t>
      </w:r>
      <w:r>
        <w:t xml:space="preserve"> </w:t>
      </w:r>
      <w:r>
        <w:t xml:space="preserve">- falls back to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form-start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form_start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form-end</w:t>
      </w:r>
      <w:r>
        <w:t xml:space="preserve"> </w:t>
      </w:r>
      <w:r>
        <w:t xml:space="preserve">and synthetic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form_end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question-start</w:t>
      </w:r>
      <w:r>
        <w:t xml:space="preserve"> </w:t>
      </w:r>
      <w:r>
        <w:t xml:space="preserve">and synthetic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field_start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question-end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field_end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constraint</w:t>
      </w:r>
      <w:r>
        <w:t xml:space="preserve"> </w:t>
      </w:r>
      <w:r>
        <w:t xml:space="preserve">remains</w:t>
      </w:r>
      <w:r>
        <w:t xml:space="preserve"> </w:t>
      </w:r>
      <w:r>
        <w:rPr>
          <w:rStyle w:val="VerbatimChar"/>
        </w:rPr>
        <w:t xml:space="preserve">constraint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start_ms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end_ms</w:t>
      </w:r>
      <w:r>
        <w:t xml:space="preserve"> </w:t>
      </w:r>
      <w:r>
        <w:t xml:space="preserve">- numeric values are interpreted as epoch milliseconds</w:t>
      </w:r>
      <w:r>
        <w:t xml:space="preserve"> </w:t>
      </w:r>
      <w:r>
        <w:t xml:space="preserve">- if numeric values look like epoch seconds, they are multiplied by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t xml:space="preserve">- non-numeric values are parsed as datetimes and converted to epoch milliseconds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 </w:t>
      </w:r>
      <w:r>
        <w:t xml:space="preserve">- uses the raw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 </w:t>
      </w:r>
      <w:r>
        <w:t xml:space="preserve">column when present</w:t>
      </w:r>
      <w:r>
        <w:t xml:space="preserve"> </w:t>
      </w:r>
      <w:r>
        <w:t xml:space="preserve">- otherwise computes</w:t>
      </w:r>
      <w:r>
        <w:t xml:space="preserve"> </w:t>
      </w:r>
      <w:r>
        <w:rPr>
          <w:rStyle w:val="VerbatimChar"/>
        </w:rPr>
        <w:t xml:space="preserve">end_ms - start_ms</w:t>
      </w:r>
    </w:p>
    <w:bookmarkEnd w:id="16"/>
    <w:bookmarkEnd w:id="17"/>
    <w:bookmarkStart w:id="19" w:name="odk-raw-format"/>
    <w:p>
      <w:pPr>
        <w:pStyle w:val="Heading2"/>
      </w:pPr>
      <w:r>
        <w:t xml:space="preserve">2. ODK Raw Format</w:t>
      </w:r>
    </w:p>
    <w:p>
      <w:pPr>
        <w:pStyle w:val="FirstParagraph"/>
      </w:pPr>
      <w:r>
        <w:t xml:space="preserve">The current synthetic ODK benchmark exports use ODK-style identifiers and ISO</w:t>
      </w:r>
      <w:r>
        <w:t xml:space="preserve"> </w:t>
      </w:r>
      <w:r>
        <w:t xml:space="preserve">8601 timestamps: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instance_id</w:t>
            </w:r>
          </w:p>
        </w:tc>
        <w:tc>
          <w:tcPr/>
          <w:p>
            <w:pPr>
              <w:pStyle w:val="Compact"/>
            </w:pPr>
            <w:r>
              <w:t xml:space="preserve">Interview/session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Raw field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demographics_q01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Raw event 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question-end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t xml:space="preserve">Event start timestamp as ISO 8601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2023-01-02T08:00:06.900+00:00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end_time</w:t>
            </w:r>
          </w:p>
        </w:tc>
        <w:tc>
          <w:tcPr/>
          <w:p>
            <w:pPr>
              <w:pStyle w:val="Compact"/>
            </w:pPr>
            <w:r>
              <w:t xml:space="preserve">Event end timestamp as ISO 8601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2023-01-02T08:00:12.900+00:00</w:t>
            </w:r>
          </w:p>
        </w:tc>
      </w:tr>
    </w:tbl>
    <w:p>
      <w:pPr>
        <w:pStyle w:val="BodyText"/>
      </w:pPr>
      <w:r>
        <w:t xml:space="preserve">The parser also supports alternative ODK-style names such 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instance_id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ts_start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ts_end</w:t>
      </w:r>
    </w:p>
    <w:bookmarkStart w:id="18" w:name="parser-behavior-1"/>
    <w:p>
      <w:pPr>
        <w:pStyle w:val="Heading3"/>
      </w:pPr>
      <w:r>
        <w:t xml:space="preserve">Parser Behavior</w:t>
      </w:r>
    </w:p>
    <w:p>
      <w:pPr>
        <w:pStyle w:val="FirstParagraph"/>
      </w:pPr>
      <w:r>
        <w:rPr>
          <w:rStyle w:val="VerbatimChar"/>
        </w:rPr>
        <w:t xml:space="preserve">ODKParser</w:t>
      </w:r>
      <w:r>
        <w:t xml:space="preserve"> </w:t>
      </w:r>
      <w:r>
        <w:t xml:space="preserve">applies the following normalization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interview_id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interview_id</w:t>
      </w:r>
      <w:r>
        <w:t xml:space="preserve"> </w:t>
      </w:r>
      <w:r>
        <w:t xml:space="preserve">when present</w:t>
      </w:r>
      <w:r>
        <w:t xml:space="preserve"> </w:t>
      </w:r>
      <w:r>
        <w:t xml:space="preserve">- falls back to</w:t>
      </w:r>
      <w:r>
        <w:t xml:space="preserve"> </w:t>
      </w:r>
      <w:r>
        <w:rPr>
          <w:rStyle w:val="VerbatimChar"/>
        </w:rPr>
        <w:t xml:space="preserve">instance_id</w:t>
      </w:r>
      <w:r>
        <w:t xml:space="preserve"> </w:t>
      </w:r>
      <w:r>
        <w:t xml:space="preserve">- otherwise derives sequential synthetic IDs when repeated</w:t>
      </w:r>
      <w:r>
        <w:t xml:space="preserve"> </w:t>
      </w:r>
      <w:r>
        <w:rPr>
          <w:rStyle w:val="VerbatimChar"/>
        </w:rPr>
        <w:t xml:space="preserve">form start</w:t>
      </w:r>
      <w:r>
        <w:t xml:space="preserve"> </w:t>
      </w:r>
      <w:r>
        <w:t xml:space="preserve">blocks are detected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field_name</w:t>
      </w:r>
      <w:r>
        <w:t xml:space="preserve"> </w:t>
      </w:r>
      <w:r>
        <w:t xml:space="preserve">- uses the first available column from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form-start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form start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form_start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question-start</w:t>
      </w:r>
      <w:r>
        <w:t xml:space="preserve"> </w:t>
      </w:r>
      <w:r>
        <w:t xml:space="preserve">and synthetic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field_start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question-end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field_end</w:t>
      </w:r>
      <w:r>
        <w:t xml:space="preserve"> </w:t>
      </w:r>
      <w:r>
        <w:t xml:space="preserve">- synthetic</w:t>
      </w:r>
      <w:r>
        <w:t xml:space="preserve"> </w:t>
      </w:r>
      <w:r>
        <w:rPr>
          <w:rStyle w:val="VerbatimChar"/>
        </w:rPr>
        <w:t xml:space="preserve">end screen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form_end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start_ms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end_ms</w:t>
      </w:r>
      <w:r>
        <w:t xml:space="preserve"> </w:t>
      </w:r>
      <w:r>
        <w:t xml:space="preserve">- numeric values are interpreted as epoch milliseconds or epoch seconds</w:t>
      </w:r>
      <w:r>
        <w:t xml:space="preserve"> </w:t>
      </w:r>
      <w:r>
        <w:t xml:space="preserve">- ISO 8601 strings are parsed and converted to epoch milliseconds with millisecond precision preserved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 </w:t>
      </w:r>
      <w:r>
        <w:t xml:space="preserve">- always computed as</w:t>
      </w:r>
      <w:r>
        <w:t xml:space="preserve"> </w:t>
      </w:r>
      <w:r>
        <w:rPr>
          <w:rStyle w:val="VerbatimChar"/>
        </w:rPr>
        <w:t xml:space="preserve">end_ms - start_ms</w:t>
      </w:r>
    </w:p>
    <w:bookmarkEnd w:id="18"/>
    <w:bookmarkEnd w:id="19"/>
    <w:bookmarkStart w:id="20" w:name="common-intermediate-representation-cir"/>
    <w:p>
      <w:pPr>
        <w:pStyle w:val="Heading2"/>
      </w:pPr>
      <w:r>
        <w:t xml:space="preserve">3. Common Intermediate Representation (CIR)</w:t>
      </w:r>
    </w:p>
    <w:p>
      <w:pPr>
        <w:pStyle w:val="FirstParagraph"/>
      </w:pPr>
      <w:r>
        <w:t xml:space="preserve">Both parsers emit the same required CIR schema: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CIR 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 interview/session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Normalized raw node or field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Normalized event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start_ms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Start timestamp in epoch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end_ms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End timestamp in epoch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Event duration in milliseconds</w:t>
            </w:r>
          </w:p>
        </w:tc>
      </w:tr>
    </w:tbl>
    <w:p>
      <w:pPr>
        <w:pStyle w:val="BodyText"/>
      </w:pPr>
      <w:r>
        <w:t xml:space="preserve">The CIR contract is enforced in</w:t>
      </w:r>
      <w:r>
        <w:t xml:space="preserve"> </w:t>
      </w:r>
      <w:r>
        <w:rPr>
          <w:rStyle w:val="VerbatimChar"/>
        </w:rPr>
        <w:t xml:space="preserve">src/parsers/base_parser.py</w:t>
      </w:r>
      <w:r>
        <w:t xml:space="preserve">.</w:t>
      </w:r>
    </w:p>
    <w:bookmarkEnd w:id="20"/>
    <w:bookmarkStart w:id="21" w:name="practical-notes"/>
    <w:p>
      <w:pPr>
        <w:pStyle w:val="Heading2"/>
      </w:pPr>
      <w:r>
        <w:t xml:space="preserve">4. Practical Notes</w:t>
      </w:r>
    </w:p>
    <w:p>
      <w:pPr>
        <w:pStyle w:val="Compact"/>
        <w:numPr>
          <w:ilvl w:val="0"/>
          <w:numId w:val="1001"/>
        </w:numPr>
      </w:pPr>
      <w:r>
        <w:t xml:space="preserve">The pipeline currently preserves the raw field/node name in</w:t>
      </w:r>
      <w:r>
        <w:t xml:space="preserve"> </w:t>
      </w:r>
      <w:r>
        <w:rPr>
          <w:rStyle w:val="VerbatimChar"/>
        </w:rPr>
        <w:t xml:space="preserve">field_name</w:t>
      </w:r>
      <w:r>
        <w:t xml:space="preserve"> </w:t>
      </w:r>
      <w:r>
        <w:t xml:space="preserve">rather than stripping XPath nodes to their leaf component.</w:t>
      </w:r>
    </w:p>
    <w:p>
      <w:pPr>
        <w:pStyle w:val="Compact"/>
        <w:numPr>
          <w:ilvl w:val="0"/>
          <w:numId w:val="1001"/>
        </w:numPr>
      </w:pPr>
      <w:r>
        <w:t xml:space="preserve">Section-level features are inferred downstream from</w:t>
      </w:r>
      <w:r>
        <w:t xml:space="preserve"> </w:t>
      </w:r>
      <w:r>
        <w:rPr>
          <w:rStyle w:val="VerbatimChar"/>
        </w:rPr>
        <w:t xml:space="preserve">field_name</w:t>
      </w:r>
      <w:r>
        <w:t xml:space="preserve">.</w:t>
      </w:r>
      <w:r>
        <w:t xml:space="preserve"> </w:t>
      </w:r>
      <w:r>
        <w:t xml:space="preserve">XPath-like names such as</w:t>
      </w:r>
      <w:r>
        <w:t xml:space="preserve"> </w:t>
      </w:r>
      <w:r>
        <w:rPr>
          <w:rStyle w:val="VerbatimChar"/>
        </w:rPr>
        <w:t xml:space="preserve">/data/household/q_name</w:t>
      </w:r>
      <w:r>
        <w:t xml:space="preserve"> </w:t>
      </w:r>
      <w:r>
        <w:t xml:space="preserve">map to section</w:t>
      </w:r>
      <w:r>
        <w:t xml:space="preserve"> </w:t>
      </w:r>
      <w:r>
        <w:rPr>
          <w:rStyle w:val="VerbatimChar"/>
        </w:rPr>
        <w:t xml:space="preserve">household</w:t>
      </w:r>
      <w:r>
        <w:t xml:space="preserve">,</w:t>
      </w:r>
      <w:r>
        <w:t xml:space="preserve"> </w:t>
      </w:r>
      <w:r>
        <w:t xml:space="preserve">while root-level names such as</w:t>
      </w:r>
      <w:r>
        <w:t xml:space="preserve"> </w:t>
      </w:r>
      <w:r>
        <w:rPr>
          <w:rStyle w:val="VerbatimChar"/>
        </w:rPr>
        <w:t xml:space="preserve">/data/q_name</w:t>
      </w:r>
      <w:r>
        <w:t xml:space="preserve"> </w:t>
      </w:r>
      <w:r>
        <w:t xml:space="preserve">fall back to</w:t>
      </w:r>
      <w:r>
        <w:t xml:space="preserve"> </w:t>
      </w:r>
      <w:r>
        <w:rPr>
          <w:rStyle w:val="VerbatimChar"/>
        </w:rPr>
        <w:t xml:space="preserve">MainSection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most reliable way to verify parser behavior is: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scripts/strict_examiner_audit.py</w:t>
      </w:r>
    </w:p>
    <w:p>
      <w:pPr>
        <w:pStyle w:val="FirstParagraph"/>
      </w:pPr>
      <w:r>
        <w:t xml:space="preserve">That script checks raw-format consistency, CIR normalization, feature math,</w:t>
      </w:r>
      <w:r>
        <w:t xml:space="preserve"> </w:t>
      </w:r>
      <w:r>
        <w:t xml:space="preserve">anomaly-score reconstruction, and metric reproducibility end to end.</w:t>
      </w:r>
    </w:p>
    <w:bookmarkEnd w:id="21"/>
    <w:bookmarkEnd w:id="22"/>
    <w:sectPr>
      <w:footerReference r:id="rId7" w:type="default"/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280"/>
    </w:pPr>
    <w:rPr>
      <w:rFonts w:ascii="Calibri Light" w:cs="Calibri Light" w:eastAsia="Calibri Light" w:hAnsi="Calibri Light"/>
      <w:b/>
      <w:bCs/>
      <w:color w:val="1F4E79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20" w:before="240"/>
    </w:pPr>
    <w:rPr>
      <w:rFonts w:ascii="Calibri Light" w:cs="Calibri Light" w:eastAsia="Calibri Light" w:hAnsi="Calibri Light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 Light" w:cs="Calibri Light" w:eastAsia="Calibri Light" w:hAnsi="Calibri Light"/>
      <w:b/>
      <w:bCs/>
      <w:color w:val="1F3864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Paradata Format Guide</dc:title>
  <dc:creator>Samuel Kaoma</dc:creator>
  <cp:lastModifiedBy>Samuel Kaoma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