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Usage Log</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student number 2022016530</w:t>
      </w:r>
      <w:r>
        <w:br/>
      </w:r>
      <w:r>
        <w:rPr>
          <w:b/>
          <w:bCs/>
        </w:rPr>
        <w:t xml:space="preserve">Course:</w:t>
      </w:r>
      <w:r>
        <w:t xml:space="preserve"> </w:t>
      </w:r>
      <w:r>
        <w:t xml:space="preserve">CSC 4004</w:t>
      </w:r>
      <w:r>
        <w:br/>
      </w:r>
      <w:r>
        <w:rPr>
          <w:b/>
          <w:bCs/>
        </w:rPr>
        <w:t xml:space="preserve">Supervisor:</w:t>
      </w:r>
      <w:r>
        <w:t xml:space="preserve"> </w:t>
      </w:r>
      <w:r>
        <w:t xml:space="preserve">Mr. Mofya Phiri</w:t>
      </w:r>
    </w:p>
    <w:p>
      <w:pPr>
        <w:pStyle w:val="BodyText"/>
      </w:pPr>
      <w:r>
        <w:t xml:space="preserve">This log is required by section 9.4 of the project proposal. It is reproduced as</w:t>
      </w:r>
      <w:r>
        <w:t xml:space="preserve"> </w:t>
      </w:r>
      <w:r>
        <w:rPr>
          <w:b/>
          <w:bCs/>
        </w:rPr>
        <w:t xml:space="preserve">Appendix A of the final academic report</w:t>
      </w:r>
      <w:r>
        <w:t xml:space="preserve">,</w:t>
      </w:r>
      <w:r>
        <w:t xml:space="preserve"> </w:t>
      </w:r>
      <w:r>
        <w:rPr>
          <w:rStyle w:val="VerbatimChar"/>
        </w:rPr>
        <w:t xml:space="preserve">report/final_academic_report.md</w:t>
      </w:r>
      <w:r>
        <w:t xml:space="preserve">,</w:t>
      </w:r>
      <w:r>
        <w:t xml:space="preserve"> </w:t>
      </w:r>
      <w:r>
        <w:t xml:space="preserve">and the two are kept identical. The log was started on 6 July 2026; entries</w:t>
      </w:r>
      <w:r>
        <w:t xml:space="preserve"> </w:t>
      </w:r>
      <w:r>
        <w:t xml:space="preserve">before that date are reconstructed from the development history and the version</w:t>
      </w:r>
      <w:r>
        <w:t xml:space="preserve"> </w:t>
      </w:r>
      <w:r>
        <w:t xml:space="preserve">control record and are marked as reconstructed, which is a limitation discussed</w:t>
      </w:r>
      <w:r>
        <w:t xml:space="preserve"> </w:t>
      </w:r>
      <w:r>
        <w:t xml:space="preserve">in section 7 below.</w:t>
      </w:r>
    </w:p>
    <w:bookmarkStart w:id="9" w:name="X4666c8db187a468bd7c4d1efd69e1ca31a62544"/>
    <w:p>
      <w:pPr>
        <w:pStyle w:val="Heading1"/>
      </w:pPr>
      <w:r>
        <w:t xml:space="preserve">1. Purpose and scope</w:t>
      </w:r>
    </w:p>
    <w:p>
      <w:pPr>
        <w:pStyle w:val="FirstParagraph"/>
      </w:pPr>
      <w:r>
        <w:t xml:space="preserve">The intellectual content of this project is my own. The research question, the</w:t>
      </w:r>
      <w:r>
        <w:t xml:space="preserve"> </w:t>
      </w:r>
      <w:r>
        <w:t xml:space="preserve">literature review and the argument it makes, the forty-feature taxonomy, the</w:t>
      </w:r>
      <w:r>
        <w:t xml:space="preserve"> </w:t>
      </w:r>
      <w:r>
        <w:t xml:space="preserve">common intermediate representation, the parser design, the choice of</w:t>
      </w:r>
      <w:r>
        <w:t xml:space="preserve"> </w:t>
      </w:r>
      <w:r>
        <w:t xml:space="preserve">interquartile and rule-based detection, the thresholds shipped on</w:t>
      </w:r>
      <w:r>
        <w:t xml:space="preserve"> </w:t>
      </w:r>
      <w:r>
        <w:rPr>
          <w:rStyle w:val="VerbatimChar"/>
        </w:rPr>
        <w:t xml:space="preserve">main</w:t>
      </w:r>
      <w:r>
        <w:t xml:space="preserve">, the</w:t>
      </w:r>
      <w:r>
        <w:t xml:space="preserve"> </w:t>
      </w:r>
      <w:r>
        <w:t xml:space="preserve">synthetic generator and its anomaly profiles, the success criteria, the</w:t>
      </w:r>
      <w:r>
        <w:t xml:space="preserve"> </w:t>
      </w:r>
      <w:r>
        <w:t xml:space="preserve">interpretation of every result, and the decision to report weaker per-class</w:t>
      </w:r>
      <w:r>
        <w:t xml:space="preserve"> </w:t>
      </w:r>
      <w:r>
        <w:t xml:space="preserve">results transparently are mine.</w:t>
      </w:r>
    </w:p>
    <w:bookmarkEnd w:id="9"/>
    <w:bookmarkStart w:id="10" w:name="X5cebb5b2e56507c0300743fa7841ad38c6a8bb3"/>
    <w:p>
      <w:pPr>
        <w:pStyle w:val="Heading1"/>
      </w:pPr>
      <w:r>
        <w:t xml:space="preserve">2. What was provided to external tools, and what was not</w:t>
      </w:r>
    </w:p>
    <w:p>
      <w:pPr>
        <w:pStyle w:val="FirstParagraph"/>
      </w:pPr>
      <w:r>
        <w:rPr>
          <w:b/>
          <w:bCs/>
        </w:rPr>
        <w:t xml:space="preserve">No respondent data, personal data, or third-party data of any kind was</w:t>
      </w:r>
      <w:r>
        <w:rPr>
          <w:b/>
          <w:bCs/>
        </w:rPr>
        <w:t xml:space="preserve"> </w:t>
      </w:r>
      <w:r>
        <w:rPr>
          <w:b/>
          <w:bCs/>
        </w:rPr>
        <w:t xml:space="preserve">uploaded to any external tool at any point in this project.</w:t>
      </w:r>
      <w:r>
        <w:t xml:space="preserve"> </w:t>
      </w:r>
      <w:r>
        <w:t xml:space="preserve">This is not a</w:t>
      </w:r>
      <w:r>
        <w:t xml:space="preserve"> </w:t>
      </w:r>
      <w:r>
        <w:t xml:space="preserve">matter of policy alone: all evaluation data in this project is synthetic,</w:t>
      </w:r>
      <w:r>
        <w:t xml:space="preserve"> </w:t>
      </w:r>
      <w:r>
        <w:t xml:space="preserve">generated by</w:t>
      </w:r>
      <w:r>
        <w:t xml:space="preserve"> </w:t>
      </w:r>
      <w:r>
        <w:rPr>
          <w:rStyle w:val="VerbatimChar"/>
        </w:rPr>
        <w:t xml:space="preserve">tests/generate_benchmark_datasets.py</w:t>
      </w:r>
      <w:r>
        <w:t xml:space="preserve"> </w:t>
      </w:r>
      <w:r>
        <w:t xml:space="preserve">from recorded random seeds,</w:t>
      </w:r>
      <w:r>
        <w:t xml:space="preserve"> </w:t>
      </w:r>
      <w:r>
        <w:t xml:space="preserve">and describes interviews that never took place with people who do not exist.</w:t>
      </w:r>
      <w:r>
        <w:t xml:space="preserve"> </w:t>
      </w:r>
      <w:r>
        <w:t xml:space="preserve">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378"/>
        <w:gridCol w:w="4296"/>
        <w:gridCol w:w="2685"/>
      </w:tblGrid>
      <w:tr>
        <w:trPr>
          <w:tblHeader w:val="on"/>
        </w:trPr>
        <w:tc>
          <w:tcPr>
            <w:tcW w:type="dxa" w:w="2378"/>
          </w:tcPr>
          <w:p>
            <w:pPr>
              <w:pStyle w:val="Compact"/>
              <w:jc w:val="left"/>
            </w:pPr>
            <w:r>
              <w:t xml:space="preserve">Category</w:t>
            </w:r>
          </w:p>
        </w:tc>
        <w:tc>
          <w:tcPr>
            <w:tcW w:type="dxa" w:w="4296"/>
          </w:tcPr>
          <w:p>
            <w:pPr>
              <w:pStyle w:val="Compact"/>
              <w:jc w:val="left"/>
            </w:pPr>
            <w:r>
              <w:t xml:space="preserve">Examples</w:t>
            </w:r>
          </w:p>
        </w:tc>
        <w:tc>
          <w:tcPr>
            <w:tcW w:type="dxa" w:w="2685"/>
          </w:tcPr>
          <w:p>
            <w:pPr>
              <w:pStyle w:val="Compact"/>
              <w:jc w:val="left"/>
            </w:pPr>
            <w:r>
              <w:t xml:space="preserve">Sensitivity</w:t>
            </w:r>
          </w:p>
        </w:tc>
      </w:tr>
      <w:tr>
        <w:tc>
          <w:tcPr>
            <w:tcW w:type="dxa" w:w="2378"/>
          </w:tcPr>
          <w:p>
            <w:pPr>
              <w:pStyle w:val="Compact"/>
              <w:jc w:val="left"/>
            </w:pPr>
            <w:r>
              <w:t xml:space="preserve">Project source code</w:t>
            </w:r>
          </w:p>
        </w:tc>
        <w:tc>
          <w:tcPr>
            <w:tcW w:type="dxa" w:w="4296"/>
          </w:tcPr>
          <w:p>
            <w:pPr>
              <w:pStyle w:val="Compact"/>
              <w:jc w:val="left"/>
            </w:pPr>
            <w:r>
              <w:t xml:space="preserve">Parser classes, feature extractors, detector, test files</w:t>
            </w:r>
          </w:p>
        </w:tc>
        <w:tc>
          <w:tcPr>
            <w:tcW w:type="dxa" w:w="2685"/>
          </w:tcPr>
          <w:p>
            <w:pPr>
              <w:pStyle w:val="Compact"/>
              <w:jc w:val="left"/>
            </w:pPr>
            <w:r>
              <w:t xml:space="preserve">Mine; public in the repository</w:t>
            </w:r>
          </w:p>
        </w:tc>
      </w:tr>
      <w:tr>
        <w:tc>
          <w:tcPr>
            <w:tcW w:type="dxa" w:w="2378"/>
          </w:tcPr>
          <w:p>
            <w:pPr>
              <w:pStyle w:val="Compact"/>
              <w:jc w:val="left"/>
            </w:pPr>
            <w:r>
              <w:t xml:space="preserve">Project documentation</w:t>
            </w:r>
          </w:p>
        </w:tc>
        <w:tc>
          <w:tcPr>
            <w:tcW w:type="dxa" w:w="4296"/>
          </w:tcPr>
          <w:p>
            <w:pPr>
              <w:pStyle w:val="Compact"/>
              <w:jc w:val="left"/>
            </w:pPr>
            <w:r>
              <w:t xml:space="preserve">Draft report and validation text, progress reports</w:t>
            </w:r>
          </w:p>
        </w:tc>
        <w:tc>
          <w:tcPr>
            <w:tcW w:type="dxa" w:w="2685"/>
          </w:tcPr>
          <w:p>
            <w:pPr>
              <w:pStyle w:val="Compact"/>
              <w:jc w:val="left"/>
            </w:pPr>
            <w:r>
              <w:t xml:space="preserve">Mine; public in the repository</w:t>
            </w:r>
          </w:p>
        </w:tc>
      </w:tr>
      <w:tr>
        <w:tc>
          <w:tcPr>
            <w:tcW w:type="dxa" w:w="2378"/>
          </w:tcPr>
          <w:p>
            <w:pPr>
              <w:pStyle w:val="Compact"/>
              <w:jc w:val="left"/>
            </w:pPr>
            <w:r>
              <w:t xml:space="preserve">Synthetic output files</w:t>
            </w:r>
          </w:p>
        </w:tc>
        <w:tc>
          <w:tcPr>
            <w:tcW w:type="dxa" w:w="4296"/>
          </w:tcPr>
          <w:p>
            <w:pPr>
              <w:pStyle w:val="Compact"/>
              <w:jc w:val="left"/>
            </w:pPr>
            <w:r>
              <w:t xml:space="preserve">Metrics CSVs, confusion counts, feature datasets</w:t>
            </w:r>
          </w:p>
        </w:tc>
        <w:tc>
          <w:tcPr>
            <w:tcW w:type="dxa" w:w="2685"/>
          </w:tcPr>
          <w:p>
            <w:pPr>
              <w:pStyle w:val="Compact"/>
              <w:jc w:val="left"/>
            </w:pPr>
            <w:r>
              <w:t xml:space="preserve">Machine generated; no human subject</w:t>
            </w:r>
          </w:p>
        </w:tc>
      </w:tr>
      <w:tr>
        <w:tc>
          <w:tcPr>
            <w:tcW w:type="dxa" w:w="2378"/>
          </w:tcPr>
          <w:p>
            <w:pPr>
              <w:pStyle w:val="Compact"/>
              <w:jc w:val="left"/>
            </w:pPr>
            <w:r>
              <w:t xml:space="preserve">Error messages and stack traces</w:t>
            </w:r>
          </w:p>
        </w:tc>
        <w:tc>
          <w:tcPr>
            <w:tcW w:type="dxa" w:w="4296"/>
          </w:tcPr>
          <w:p>
            <w:pPr>
              <w:pStyle w:val="Compact"/>
              <w:jc w:val="left"/>
            </w:pPr>
            <w:r>
              <w:t xml:space="preserve">pandas and pytest output</w:t>
            </w:r>
          </w:p>
        </w:tc>
        <w:tc>
          <w:tcPr>
            <w:tcW w:type="dxa" w:w="2685"/>
          </w:tcPr>
          <w:p>
            <w:pPr>
              <w:pStyle w:val="Compact"/>
              <w:jc w:val="left"/>
            </w:pPr>
            <w:r>
              <w:t xml:space="preserve">None</w:t>
            </w:r>
          </w:p>
        </w:tc>
      </w:tr>
      <w:tr>
        <w:tc>
          <w:tcPr>
            <w:tcW w:type="dxa" w:w="2378"/>
          </w:tcPr>
          <w:p>
            <w:pPr>
              <w:pStyle w:val="Compact"/>
              <w:jc w:val="left"/>
            </w:pPr>
            <w:r>
              <w:t xml:space="preserve">Published literature summaries</w:t>
            </w:r>
          </w:p>
        </w:tc>
        <w:tc>
          <w:tcPr>
            <w:tcW w:type="dxa" w:w="4296"/>
          </w:tcPr>
          <w:p>
            <w:pPr>
              <w:pStyle w:val="Compact"/>
              <w:jc w:val="left"/>
            </w:pPr>
            <w:r>
              <w:t xml:space="preserve">My own paraphrases of cited works</w:t>
            </w:r>
          </w:p>
        </w:tc>
        <w:tc>
          <w:tcPr>
            <w:tcW w:type="dxa" w:w="2685"/>
          </w:tcPr>
          <w:p>
            <w:pPr>
              <w:pStyle w:val="Compact"/>
              <w:jc w:val="left"/>
            </w:pPr>
            <w:r>
              <w:t xml:space="preserve">None</w:t>
            </w:r>
          </w:p>
        </w:tc>
      </w:tr>
    </w:tbl>
    <w:bookmarkEnd w:id="10"/>
    <w:bookmarkStart w:id="11" w:name="X15f6cc91c129d76b40484ea12fb9d25bf276b24"/>
    <w:p>
      <w:pPr>
        <w:pStyle w:val="Heading1"/>
      </w:pPr>
      <w:r>
        <w:t xml:space="preserve">3. Tools and versions</w:t>
      </w:r>
    </w:p>
    <w:p>
      <w:pPr>
        <w:pStyle w:val="FirstParagraph"/>
      </w:pPr>
      <w:r>
        <w:t xml:space="preserve">Version identifiers are recorded where they are recoverable. Hosted assistant</w:t>
      </w:r>
      <w:r>
        <w:t xml:space="preserve"> </w:t>
      </w:r>
      <w:r>
        <w:t xml:space="preserve">products do not expose a stable version string to the user and were not pinned</w:t>
      </w:r>
      <w:r>
        <w:t xml:space="preserve"> </w:t>
      </w:r>
      <w:r>
        <w:t xml:space="preserve">at the time of use, so those entries state the product and the period of use</w:t>
      </w:r>
      <w:r>
        <w:t xml:space="preserve"> </w:t>
      </w:r>
      <w:r>
        <w:t xml:space="preserve">rather than a version number, which is the most precise honest statement</w:t>
      </w:r>
      <w:r>
        <w:t xml:space="preserve"> </w:t>
      </w:r>
      <w:r>
        <w:t xml:space="preserve">available.</w:t>
      </w:r>
    </w:p>
    <w:tbl>
      <w:tblPr>
        <w:tblStyle w:val="Table"/>
        <w:tblW w:type="auto" w:w="0"/>
        <w:tblLook w:firstRow="1" w:lastRow="0" w:firstColumn="0" w:lastColumn="0" w:noHBand="0" w:noVBand="0" w:val="0020"/>
      </w:tblPr>
      <w:tblGrid>
        <w:gridCol w:w="1946"/>
        <w:gridCol w:w="3774"/>
        <w:gridCol w:w="1690"/>
        <w:gridCol w:w="1950"/>
      </w:tblGrid>
      <w:tr>
        <w:trPr>
          <w:tblHeader w:val="on"/>
        </w:trPr>
        <w:tc>
          <w:tcPr>
            <w:tcW w:type="dxa" w:w="1946"/>
          </w:tcPr>
          <w:p>
            <w:pPr>
              <w:pStyle w:val="Compact"/>
              <w:jc w:val="left"/>
            </w:pPr>
            <w:r>
              <w:t xml:space="preserve">Tool</w:t>
            </w:r>
          </w:p>
        </w:tc>
        <w:tc>
          <w:tcPr>
            <w:tcW w:type="dxa" w:w="3774"/>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46"/>
          </w:tcPr>
          <w:p>
            <w:pPr>
              <w:pStyle w:val="Compact"/>
              <w:jc w:val="left"/>
            </w:pPr>
            <w:r>
              <w:t xml:space="preserve">GitHub Copilot</w:t>
            </w:r>
          </w:p>
        </w:tc>
        <w:tc>
          <w:tcPr>
            <w:tcW w:type="dxa" w:w="3774"/>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46"/>
          </w:tcPr>
          <w:p>
            <w:pPr>
              <w:pStyle w:val="Compact"/>
              <w:jc w:val="left"/>
            </w:pPr>
            <w:r>
              <w:t xml:space="preserve">Claude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September 2026</w:t>
            </w:r>
          </w:p>
        </w:tc>
      </w:tr>
      <w:tr>
        <w:tc>
          <w:tcPr>
            <w:tcW w:type="dxa" w:w="1946"/>
          </w:tcPr>
          <w:p>
            <w:pPr>
              <w:pStyle w:val="Compact"/>
              <w:jc w:val="left"/>
            </w:pPr>
            <w:r>
              <w:t xml:space="preserve">ChatGPT (hosted assistant)</w:t>
            </w:r>
          </w:p>
        </w:tc>
        <w:tc>
          <w:tcPr>
            <w:tcW w:type="dxa" w:w="3774"/>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46"/>
          </w:tcPr>
          <w:p>
            <w:pPr>
              <w:pStyle w:val="Compact"/>
              <w:jc w:val="left"/>
            </w:pPr>
            <w:r>
              <w:t xml:space="preserve">Python</w:t>
            </w:r>
          </w:p>
        </w:tc>
        <w:tc>
          <w:tcPr>
            <w:tcW w:type="dxa" w:w="3774"/>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pandas</w:t>
            </w:r>
          </w:p>
        </w:tc>
        <w:tc>
          <w:tcPr>
            <w:tcW w:type="dxa" w:w="3774"/>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46"/>
          </w:tcPr>
          <w:p>
            <w:pPr>
              <w:pStyle w:val="Compact"/>
              <w:jc w:val="left"/>
            </w:pPr>
            <w:r>
              <w:t xml:space="preserve">Full environment</w:t>
            </w:r>
          </w:p>
        </w:tc>
        <w:tc>
          <w:tcPr>
            <w:tcW w:type="dxa" w:w="3774"/>
          </w:tcPr>
          <w:p>
            <w:pPr>
              <w:pStyle w:val="Compact"/>
              <w:jc w:val="left"/>
            </w:pPr>
            <w:r>
              <w:rPr>
                <w:rStyle w:val="VerbatimChar"/>
              </w:rPr>
              <w:t xml:space="preserve">requirements-validated.txt</w:t>
            </w:r>
            <w:r>
              <w:t xml:space="preserve">, 143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w:t>
      </w:r>
      <w:r>
        <w:t xml:space="preserve"> </w:t>
      </w:r>
      <w:r>
        <w:t xml:space="preserve">of every figure in the report depends on them, and because two of the five</w:t>
      </w:r>
      <w:r>
        <w:t xml:space="preserve"> </w:t>
      </w:r>
      <w:r>
        <w:t xml:space="preserve">defects recorded in section 4 of the report were caused by a pandas version</w:t>
      </w:r>
      <w:r>
        <w:t xml:space="preserve"> </w:t>
      </w:r>
      <w:r>
        <w:t xml:space="preserve">change rather than by a logic error.</w:t>
      </w:r>
    </w:p>
    <w:bookmarkEnd w:id="11"/>
    <w:bookmarkStart w:id="12" w:name="Xee2fd35fa1c8c0d898a9522bc55b45bc165bc50"/>
    <w:p>
      <w:pPr>
        <w:pStyle w:val="Heading1"/>
      </w:pPr>
      <w:r>
        <w:t xml:space="preserve">4. Log of use, by episode</w:t>
      </w:r>
    </w:p>
    <w:p>
      <w:pPr>
        <w:pStyle w:val="FirstParagraph"/>
      </w:pPr>
      <w:r>
        <w:t xml:space="preserve">Each row records what the tool was asked for in substance, what was given to it,</w:t>
      </w:r>
      <w:r>
        <w:t xml:space="preserve"> </w:t>
      </w:r>
      <w:r>
        <w:t xml:space="preserve">and what happened to the output in the submitted work.</w:t>
      </w:r>
    </w:p>
    <w:tbl>
      <w:tblPr>
        <w:tblStyle w:val="Table"/>
        <w:tblW w:type="auto" w:w="0"/>
        <w:tblLook w:firstRow="1" w:lastRow="0" w:firstColumn="0" w:lastColumn="0" w:noHBand="0" w:noVBand="0" w:val="0020"/>
      </w:tblPr>
      <w:tblGrid>
        <w:gridCol w:w="2121"/>
        <w:gridCol w:w="1123"/>
        <w:gridCol w:w="1996"/>
        <w:gridCol w:w="1996"/>
        <w:gridCol w:w="2124"/>
      </w:tblGrid>
      <w:tr>
        <w:trPr>
          <w:tblHeader w:val="on"/>
        </w:trPr>
        <w:tc>
          <w:tcPr>
            <w:tcW w:type="dxa" w:w="2121"/>
          </w:tcPr>
          <w:p>
            <w:pPr>
              <w:pStyle w:val="Compact"/>
              <w:jc w:val="left"/>
            </w:pPr>
            <w:r>
              <w:rPr>
                <w:sz w:val="21"/>
              </w:rPr>
              <w:t xml:space="preserve">Date</w:t>
            </w:r>
          </w:p>
        </w:tc>
        <w:tc>
          <w:tcPr>
            <w:tcW w:type="dxa" w:w="1123"/>
          </w:tcPr>
          <w:p>
            <w:pPr>
              <w:pStyle w:val="Compact"/>
              <w:jc w:val="left"/>
            </w:pPr>
            <w:r>
              <w:rPr>
                <w:sz w:val="21"/>
              </w:rPr>
              <w:t xml:space="preserve">Tool</w:t>
            </w:r>
          </w:p>
        </w:tc>
        <w:tc>
          <w:tcPr>
            <w:tcW w:type="dxa" w:w="1996"/>
          </w:tcPr>
          <w:p>
            <w:pPr>
              <w:pStyle w:val="Compact"/>
              <w:jc w:val="left"/>
            </w:pPr>
            <w:r>
              <w:rPr>
                <w:sz w:val="21"/>
              </w:rPr>
              <w:t xml:space="preserve">Representative prompt, in substance</w:t>
            </w:r>
          </w:p>
        </w:tc>
        <w:tc>
          <w:tcPr>
            <w:tcW w:type="dxa" w:w="1996"/>
          </w:tcPr>
          <w:p>
            <w:pPr>
              <w:pStyle w:val="Compact"/>
              <w:jc w:val="left"/>
            </w:pPr>
            <w:r>
              <w:rPr>
                <w:sz w:val="21"/>
              </w:rPr>
              <w:t xml:space="preserve">Input provided</w:t>
            </w:r>
          </w:p>
        </w:tc>
        <w:tc>
          <w:tcPr>
            <w:tcW w:type="dxa" w:w="2124"/>
          </w:tcPr>
          <w:p>
            <w:pPr>
              <w:pStyle w:val="Compact"/>
              <w:jc w:val="left"/>
            </w:pPr>
            <w:r>
              <w:rPr>
                <w:sz w:val="21"/>
              </w:rPr>
              <w:t xml:space="preserve">Outcome in submitted work</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GitHub Copilot</w:t>
            </w:r>
          </w:p>
        </w:tc>
        <w:tc>
          <w:tcPr>
            <w:tcW w:type="dxa" w:w="1996"/>
          </w:tcPr>
          <w:p>
            <w:pPr>
              <w:pStyle w:val="Compact"/>
              <w:jc w:val="left"/>
            </w:pPr>
            <w:r>
              <w:rPr>
                <w:sz w:val="21"/>
              </w:rPr>
              <w:t xml:space="preserve">Inline completion while writing parser and DataFrame code</w:t>
            </w:r>
          </w:p>
        </w:tc>
        <w:tc>
          <w:tcPr>
            <w:tcW w:type="dxa" w:w="1996"/>
          </w:tcPr>
          <w:p>
            <w:pPr>
              <w:pStyle w:val="Compact"/>
              <w:jc w:val="left"/>
            </w:pPr>
            <w:r>
              <w:rPr>
                <w:sz w:val="21"/>
              </w:rPr>
              <w:t xml:space="preserve">Open source files in the editor</w:t>
            </w:r>
          </w:p>
        </w:tc>
        <w:tc>
          <w:tcPr>
            <w:tcW w:type="dxa" w:w="2124"/>
          </w:tcPr>
          <w:p>
            <w:pPr>
              <w:pStyle w:val="Compact"/>
              <w:jc w:val="left"/>
            </w:pPr>
            <w:r>
              <w:rPr>
                <w:b/>
                <w:bCs/>
                <w:sz w:val="21"/>
              </w:rPr>
              <w:t xml:space="preserve">Modified.</w:t>
            </w:r>
            <w:r>
              <w:rPr>
                <w:sz w:val="21"/>
              </w:rPr>
              <w:t xml:space="preserve"> </w:t>
            </w:r>
            <w:r>
              <w:rPr>
                <w:sz w:val="21"/>
              </w:rPr>
              <w:t xml:space="preserve">Line-level completions only. Logic was written, reviewed and tested by me.</w:t>
            </w:r>
          </w:p>
        </w:tc>
      </w:tr>
      <w:tr>
        <w:tc>
          <w:tcPr>
            <w:tcW w:type="dxa" w:w="2121"/>
          </w:tcPr>
          <w:p>
            <w:pPr>
              <w:pStyle w:val="Compact"/>
              <w:jc w:val="left"/>
            </w:pPr>
            <w:r>
              <w:rPr>
                <w:sz w:val="21"/>
              </w:rPr>
              <w:t xml:space="preserve">Mar 2026 (reconstructed)</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Clarify the difference between Tukey interquartile fences and the modified z-score for right-skewed data, and which is defensible for response times</w:t>
            </w:r>
          </w:p>
        </w:tc>
        <w:tc>
          <w:tcPr>
            <w:tcW w:type="dxa" w:w="1996"/>
          </w:tcPr>
          <w:p>
            <w:pPr>
              <w:pStyle w:val="Compact"/>
              <w:jc w:val="left"/>
            </w:pPr>
            <w:r>
              <w:rPr>
                <w:sz w:val="21"/>
              </w:rPr>
              <w:t xml:space="preserve">Prose question, no code, no data</w:t>
            </w:r>
          </w:p>
        </w:tc>
        <w:tc>
          <w:tcPr>
            <w:tcW w:type="dxa" w:w="2124"/>
          </w:tcPr>
          <w:p>
            <w:pPr>
              <w:pStyle w:val="Compact"/>
              <w:jc w:val="left"/>
            </w:pPr>
            <w:r>
              <w:rPr>
                <w:b/>
                <w:bCs/>
                <w:sz w:val="21"/>
              </w:rPr>
              <w:t xml:space="preserve">Accepted as background.</w:t>
            </w:r>
            <w:r>
              <w:rPr>
                <w:sz w:val="21"/>
              </w:rPr>
              <w:t xml:space="preserve"> </w:t>
            </w:r>
            <w:r>
              <w:rPr>
                <w:sz w:val="21"/>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of the report records the checks.</w:t>
            </w:r>
          </w:p>
        </w:tc>
      </w:tr>
      <w:tr>
        <w:tc>
          <w:tcPr>
            <w:tcW w:type="dxa" w:w="2121"/>
          </w:tcPr>
          <w:p>
            <w:pPr>
              <w:pStyle w:val="Compact"/>
              <w:jc w:val="left"/>
            </w:pPr>
            <w:r>
              <w:rPr>
                <w:sz w:val="21"/>
              </w:rPr>
              <w:t xml:space="preserve">Mar to Apr 2026 (reconstructed)</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Why does timestamp parsing produce different magnitudes for epoch and ISO inputs, and what guard would catch it</w:t>
            </w:r>
          </w:p>
        </w:tc>
        <w:tc>
          <w:tcPr>
            <w:tcW w:type="dxa" w:w="1996"/>
          </w:tcPr>
          <w:p>
            <w:pPr>
              <w:pStyle w:val="Compact"/>
              <w:jc w:val="left"/>
            </w:pPr>
            <w:r>
              <w:rPr>
                <w:sz w:val="21"/>
              </w:rPr>
              <w:t xml:space="preserve">Parser code and an error trace</w:t>
            </w:r>
          </w:p>
        </w:tc>
        <w:tc>
          <w:tcPr>
            <w:tcW w:type="dxa" w:w="2124"/>
          </w:tcPr>
          <w:p>
            <w:pPr>
              <w:pStyle w:val="Compact"/>
              <w:jc w:val="left"/>
            </w:pPr>
            <w:r>
              <w:rPr>
                <w:b/>
                <w:bCs/>
                <w:sz w:val="21"/>
              </w:rPr>
              <w:t xml:space="preserve">Modified.</w:t>
            </w:r>
            <w:r>
              <w:rPr>
                <w:sz w:val="21"/>
              </w:rPr>
              <w:t xml:space="preserve"> </w:t>
            </w:r>
            <w:r>
              <w:rPr>
                <w:sz w:val="21"/>
              </w:rPr>
              <w:t xml:space="preserve">The suggestion of a magnitude-based guard for epoch seconds was useful; I implemented, named and tested the behaviour myself.</w:t>
            </w:r>
          </w:p>
        </w:tc>
      </w:tr>
      <w:tr>
        <w:tc>
          <w:tcPr>
            <w:tcW w:type="dxa" w:w="2121"/>
          </w:tcPr>
          <w:p>
            <w:pPr>
              <w:pStyle w:val="Compact"/>
              <w:jc w:val="left"/>
            </w:pPr>
            <w:r>
              <w:rPr>
                <w:sz w:val="21"/>
              </w:rPr>
              <w:t xml:space="preserve">Apr 2026 (reconstructed)</w:t>
            </w:r>
          </w:p>
        </w:tc>
        <w:tc>
          <w:tcPr>
            <w:tcW w:type="dxa" w:w="1123"/>
          </w:tcPr>
          <w:p>
            <w:pPr>
              <w:pStyle w:val="Compact"/>
              <w:jc w:val="left"/>
            </w:pPr>
            <w:r>
              <w:rPr>
                <w:sz w:val="21"/>
              </w:rPr>
              <w:t xml:space="preserve">ChatGPT</w:t>
            </w:r>
          </w:p>
        </w:tc>
        <w:tc>
          <w:tcPr>
            <w:tcW w:type="dxa" w:w="1996"/>
          </w:tcPr>
          <w:p>
            <w:pPr>
              <w:pStyle w:val="Compact"/>
              <w:jc w:val="left"/>
            </w:pPr>
            <w:r>
              <w:rPr>
                <w:sz w:val="21"/>
              </w:rPr>
              <w:t xml:space="preserve">Review the structure of a labelled evaluation for label leakage</w:t>
            </w:r>
          </w:p>
        </w:tc>
        <w:tc>
          <w:tcPr>
            <w:tcW w:type="dxa" w:w="1996"/>
          </w:tcPr>
          <w:p>
            <w:pPr>
              <w:pStyle w:val="Compact"/>
              <w:jc w:val="left"/>
            </w:pPr>
            <w:r>
              <w:rPr>
                <w:sz w:val="21"/>
              </w:rPr>
              <w:t xml:space="preserve">Description of the evaluation join, no data</w:t>
            </w:r>
          </w:p>
        </w:tc>
        <w:tc>
          <w:tcPr>
            <w:tcW w:type="dxa" w:w="2124"/>
          </w:tcPr>
          <w:p>
            <w:pPr>
              <w:pStyle w:val="Compact"/>
              <w:jc w:val="left"/>
            </w:pPr>
            <w:r>
              <w:rPr>
                <w:b/>
                <w:bCs/>
                <w:sz w:val="21"/>
              </w:rPr>
              <w:t xml:space="preserve">Accepted as a check.</w:t>
            </w:r>
            <w:r>
              <w:rPr>
                <w:sz w:val="21"/>
              </w:rPr>
              <w:t xml:space="preserve"> </w:t>
            </w:r>
            <w:r>
              <w:rPr>
                <w:sz w:val="21"/>
              </w:rPr>
              <w:t xml:space="preserve">Confirmed the detector must not see labels. The evaluation code and the strict one-to-one join were written by me.</w:t>
            </w:r>
          </w:p>
        </w:tc>
      </w:tr>
      <w:tr>
        <w:tc>
          <w:tcPr>
            <w:tcW w:type="dxa" w:w="2121"/>
          </w:tcPr>
          <w:p>
            <w:pPr>
              <w:pStyle w:val="Compact"/>
              <w:jc w:val="left"/>
            </w:pPr>
            <w:r>
              <w:rPr>
                <w:sz w:val="21"/>
              </w:rPr>
              <w:t xml:space="preserve">6 Jul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Review</w:t>
            </w:r>
            <w:r>
              <w:rPr>
                <w:sz w:val="21"/>
              </w:rPr>
              <w:t xml:space="preserve"> </w:t>
            </w:r>
            <w:r>
              <w:rPr>
                <w:rStyle w:val="VerbatimChar"/>
                <w:sz w:val="21"/>
              </w:rPr>
              <w:t xml:space="preserve">src/</w:t>
            </w:r>
            <w:r>
              <w:rPr>
                <w:sz w:val="21"/>
              </w:rPr>
              <w:t xml:space="preserve"> </w:t>
            </w:r>
            <w:r>
              <w:rPr>
                <w:sz w:val="21"/>
              </w:rPr>
              <w:t xml:space="preserve">for defects and comment on whether the generator is realistic enough for the claims made</w:t>
            </w:r>
          </w:p>
        </w:tc>
        <w:tc>
          <w:tcPr>
            <w:tcW w:type="dxa" w:w="1996"/>
          </w:tcPr>
          <w:p>
            <w:pPr>
              <w:pStyle w:val="Compact"/>
              <w:jc w:val="left"/>
            </w:pPr>
            <w:r>
              <w:rPr>
                <w:sz w:val="21"/>
              </w:rPr>
              <w:t xml:space="preserve">Source tree and generator code</w:t>
            </w:r>
          </w:p>
        </w:tc>
        <w:tc>
          <w:tcPr>
            <w:tcW w:type="dxa" w:w="2124"/>
          </w:tcPr>
          <w:p>
            <w:pPr>
              <w:pStyle w:val="Compact"/>
              <w:jc w:val="left"/>
            </w:pPr>
            <w:r>
              <w:rPr>
                <w:b/>
                <w:bCs/>
                <w:sz w:val="21"/>
              </w:rPr>
              <w:t xml:space="preserve">Accepted in part.</w:t>
            </w:r>
            <w:r>
              <w:rPr>
                <w:sz w:val="21"/>
              </w:rPr>
              <w:t xml:space="preserve"> </w:t>
            </w:r>
            <w:r>
              <w:rPr>
                <w:sz w:val="21"/>
              </w:rPr>
              <w:t xml:space="preserve">I fixed the confirmed defects, removed detector settings that mirrored the generator, and re-ran on held-out seeds. Comments on realism I judged speculative were rejected.</w:t>
            </w:r>
          </w:p>
        </w:tc>
      </w:tr>
      <w:tr>
        <w:tc>
          <w:tcPr>
            <w:tcW w:type="dxa" w:w="2121"/>
          </w:tcPr>
          <w:p>
            <w:pPr>
              <w:pStyle w:val="Compact"/>
              <w:jc w:val="left"/>
            </w:pPr>
            <w:r>
              <w:rPr>
                <w:sz w:val="21"/>
              </w:rPr>
              <w:t xml:space="preserve">6 to 14 Jul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Drafting support for progress documentation; run clean-environment checks and report what breaks</w:t>
            </w:r>
          </w:p>
        </w:tc>
        <w:tc>
          <w:tcPr>
            <w:tcW w:type="dxa" w:w="1996"/>
          </w:tcPr>
          <w:p>
            <w:pPr>
              <w:pStyle w:val="Compact"/>
              <w:jc w:val="left"/>
            </w:pPr>
            <w:r>
              <w:rPr>
                <w:sz w:val="21"/>
              </w:rPr>
              <w:t xml:space="preserve">Documentation drafts, repository</w:t>
            </w:r>
          </w:p>
        </w:tc>
        <w:tc>
          <w:tcPr>
            <w:tcW w:type="dxa" w:w="2124"/>
          </w:tcPr>
          <w:p>
            <w:pPr>
              <w:pStyle w:val="Compact"/>
              <w:jc w:val="left"/>
            </w:pPr>
            <w:r>
              <w:rPr>
                <w:b/>
                <w:bCs/>
                <w:sz w:val="21"/>
              </w:rPr>
              <w:t xml:space="preserve">Modified.</w:t>
            </w:r>
            <w:r>
              <w:rPr>
                <w:sz w:val="21"/>
              </w:rPr>
              <w:t xml:space="preserve"> </w:t>
            </w:r>
            <w:r>
              <w:rPr>
                <w:sz w:val="21"/>
              </w:rPr>
              <w:t xml:space="preserve">All draft text was rewritten by me. The clean-run checks surfaced two real defects, described in section 4 of the report, which I fixed and covered with tests.</w:t>
            </w:r>
          </w:p>
        </w:tc>
      </w:tr>
      <w:tr>
        <w:tc>
          <w:tcPr>
            <w:tcW w:type="dxa" w:w="2121"/>
          </w:tcPr>
          <w:p>
            <w:pPr>
              <w:pStyle w:val="Compact"/>
              <w:jc w:val="left"/>
            </w:pPr>
            <w:r>
              <w:rPr>
                <w:sz w:val="21"/>
              </w:rPr>
              <w:t xml:space="preserve">19 Aug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Check every figure quoted in the documentation against the file it claims to come from, and check that tags and links resolve</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4"/>
          </w:tcPr>
          <w:p>
            <w:pPr>
              <w:pStyle w:val="Compact"/>
              <w:jc w:val="left"/>
            </w:pPr>
            <w:r>
              <w:rPr>
                <w:b/>
                <w:bCs/>
                <w:sz w:val="21"/>
              </w:rPr>
              <w:t xml:space="preserve">Accepted after verification.</w:t>
            </w:r>
            <w:r>
              <w:rPr>
                <w:sz w:val="21"/>
              </w:rPr>
              <w:t xml:space="preserve"> </w:t>
            </w:r>
            <w:r>
              <w:rPr>
                <w:sz w:val="21"/>
              </w:rPr>
              <w:t xml:space="preserve">Corrections were applied only where I confirmed the discrepancy against the recorded output myself.</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Identify what the validation documentation is missing relative to the proposal commitments</w:t>
            </w:r>
          </w:p>
        </w:tc>
        <w:tc>
          <w:tcPr>
            <w:tcW w:type="dxa" w:w="1996"/>
          </w:tcPr>
          <w:p>
            <w:pPr>
              <w:pStyle w:val="Compact"/>
              <w:jc w:val="left"/>
            </w:pPr>
            <w:r>
              <w:rPr>
                <w:sz w:val="21"/>
              </w:rPr>
              <w:t xml:space="preserve">Validation documentation,</w:t>
            </w:r>
            <w:r>
              <w:rPr>
                <w:sz w:val="21"/>
              </w:rPr>
              <w:t xml:space="preserve"> </w:t>
            </w:r>
            <w:r>
              <w:rPr>
                <w:rStyle w:val="VerbatimChar"/>
                <w:sz w:val="21"/>
              </w:rPr>
              <w:t xml:space="preserve">output/</w:t>
            </w:r>
          </w:p>
        </w:tc>
        <w:tc>
          <w:tcPr>
            <w:tcW w:type="dxa" w:w="2124"/>
          </w:tcPr>
          <w:p>
            <w:pPr>
              <w:pStyle w:val="Compact"/>
              <w:jc w:val="left"/>
            </w:pPr>
            <w:r>
              <w:rPr>
                <w:b/>
                <w:bCs/>
                <w:sz w:val="21"/>
              </w:rPr>
              <w:t xml:space="preserve">Accepted in part.</w:t>
            </w:r>
            <w:r>
              <w:rPr>
                <w:sz w:val="21"/>
              </w:rPr>
              <w:t xml:space="preserve"> </w:t>
            </w:r>
            <w:r>
              <w:rPr>
                <w:sz w:val="21"/>
              </w:rPr>
              <w:t xml:space="preserve">This identified the absence of aggregate confusion counts, baseline figures, effect sizes and a per-component breakdown. Every value added was recomputed from existing project outputs by scripts in</w:t>
            </w:r>
            <w:r>
              <w:rPr>
                <w:sz w:val="21"/>
              </w:rPr>
              <w:t xml:space="preserve"> </w:t>
            </w:r>
            <w:r>
              <w:rPr>
                <w:rStyle w:val="VerbatimChar"/>
                <w:sz w:val="21"/>
              </w:rPr>
              <w:t xml:space="preserve">scripts/</w:t>
            </w:r>
            <w:r>
              <w:rPr>
                <w:sz w:val="21"/>
              </w:rPr>
              <w:t xml:space="preserve"> </w:t>
            </w:r>
            <w:r>
              <w:rPr>
                <w:sz w:val="21"/>
              </w:rPr>
              <w:t xml:space="preserve">and checked by me.</w:t>
            </w:r>
          </w:p>
        </w:tc>
      </w:tr>
      <w:tr>
        <w:tc>
          <w:tcPr>
            <w:tcW w:type="dxa" w:w="2121"/>
          </w:tcPr>
          <w:p>
            <w:pPr>
              <w:pStyle w:val="Compact"/>
              <w:jc w:val="left"/>
            </w:pPr>
            <w:r>
              <w:rPr>
                <w:sz w:val="21"/>
              </w:rPr>
              <w:t xml:space="preserve">19 to 25 Aug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Bounded diagnostic on the fabricated false negatives: is there a feature that separates them</w:t>
            </w:r>
          </w:p>
        </w:tc>
        <w:tc>
          <w:tcPr>
            <w:tcW w:type="dxa" w:w="1996"/>
          </w:tcPr>
          <w:p>
            <w:pPr>
              <w:pStyle w:val="Compact"/>
              <w:jc w:val="left"/>
            </w:pPr>
            <w:r>
              <w:rPr>
                <w:sz w:val="21"/>
              </w:rPr>
              <w:t xml:space="preserve">Development seeds 11 and 42 only, synthetic</w:t>
            </w:r>
          </w:p>
        </w:tc>
        <w:tc>
          <w:tcPr>
            <w:tcW w:type="dxa" w:w="2124"/>
          </w:tcPr>
          <w:p>
            <w:pPr>
              <w:pStyle w:val="Compact"/>
              <w:jc w:val="left"/>
            </w:pPr>
            <w:r>
              <w:rPr>
                <w:b/>
                <w:bCs/>
                <w:sz w:val="21"/>
              </w:rPr>
              <w:t xml:space="preserve">Accepted as diagnosis, rejected as a change.</w:t>
            </w:r>
            <w:r>
              <w:rPr>
                <w:sz w:val="21"/>
              </w:rPr>
              <w:t xml:space="preserve"> </w:t>
            </w:r>
            <w:r>
              <w:rPr>
                <w:sz w:val="21"/>
              </w:rPr>
              <w:t xml:space="preserve">The finding that entropy separates the missed cases completely is reported in section 6.6 of the report. The threshold correction it motivated was developed, evaluated once, and deliberately not merged; it remains on a separate branch. No threshold on</w:t>
            </w:r>
            <w:r>
              <w:rPr>
                <w:sz w:val="21"/>
              </w:rPr>
              <w:t xml:space="preserve"> </w:t>
            </w:r>
            <w:r>
              <w:rPr>
                <w:rStyle w:val="VerbatimChar"/>
                <w:sz w:val="21"/>
              </w:rPr>
              <w:t xml:space="preserve">main</w:t>
            </w:r>
            <w:r>
              <w:rPr>
                <w:sz w:val="21"/>
              </w:rPr>
              <w:t xml:space="preserve"> </w:t>
            </w:r>
            <w:r>
              <w:rPr>
                <w:sz w:val="21"/>
              </w:rPr>
              <w:t xml:space="preserve">was changed.</w:t>
            </w:r>
          </w:p>
        </w:tc>
      </w:tr>
      <w:tr>
        <w:tc>
          <w:tcPr>
            <w:tcW w:type="dxa" w:w="2121"/>
          </w:tcPr>
          <w:p>
            <w:pPr>
              <w:pStyle w:val="Compact"/>
              <w:jc w:val="left"/>
            </w:pPr>
            <w:r>
              <w:rPr>
                <w:sz w:val="21"/>
              </w:rPr>
              <w:t xml:space="preserve">25 Aug to 5 Sep 2026</w:t>
            </w:r>
          </w:p>
        </w:tc>
        <w:tc>
          <w:tcPr>
            <w:tcW w:type="dxa" w:w="1123"/>
          </w:tcPr>
          <w:p>
            <w:pPr>
              <w:pStyle w:val="Compact"/>
              <w:jc w:val="left"/>
            </w:pPr>
            <w:r>
              <w:rPr>
                <w:sz w:val="21"/>
              </w:rPr>
              <w:t xml:space="preserve">Claude</w:t>
            </w:r>
          </w:p>
        </w:tc>
        <w:tc>
          <w:tcPr>
            <w:tcW w:type="dxa" w:w="1996"/>
          </w:tcPr>
          <w:p>
            <w:pPr>
              <w:pStyle w:val="Compact"/>
              <w:jc w:val="left"/>
            </w:pPr>
            <w:r>
              <w:rPr>
                <w:sz w:val="21"/>
              </w:rPr>
              <w:t xml:space="preserve">Locate stale or contradictory wording across the report, validation document and presentation; assemble front matter, figures and appendices</w:t>
            </w:r>
          </w:p>
        </w:tc>
        <w:tc>
          <w:tcPr>
            <w:tcW w:type="dxa" w:w="1996"/>
          </w:tcPr>
          <w:p>
            <w:pPr>
              <w:pStyle w:val="Compact"/>
              <w:jc w:val="left"/>
            </w:pPr>
            <w:r>
              <w:rPr>
                <w:sz w:val="21"/>
              </w:rPr>
              <w:t xml:space="preserve">Documentation and</w:t>
            </w:r>
            <w:r>
              <w:rPr>
                <w:sz w:val="21"/>
              </w:rPr>
              <w:t xml:space="preserve"> </w:t>
            </w:r>
            <w:r>
              <w:rPr>
                <w:rStyle w:val="VerbatimChar"/>
                <w:sz w:val="21"/>
              </w:rPr>
              <w:t xml:space="preserve">output/</w:t>
            </w:r>
            <w:r>
              <w:rPr>
                <w:sz w:val="21"/>
              </w:rPr>
              <w:t xml:space="preserve"> </w:t>
            </w:r>
            <w:r>
              <w:rPr>
                <w:sz w:val="21"/>
              </w:rPr>
              <w:t xml:space="preserve">files</w:t>
            </w:r>
          </w:p>
        </w:tc>
        <w:tc>
          <w:tcPr>
            <w:tcW w:type="dxa" w:w="2124"/>
          </w:tcPr>
          <w:p>
            <w:pPr>
              <w:pStyle w:val="Compact"/>
              <w:jc w:val="left"/>
            </w:pPr>
            <w:r>
              <w:rPr>
                <w:b/>
                <w:bCs/>
                <w:sz w:val="21"/>
              </w:rPr>
              <w:t xml:space="preserve">Modified.</w:t>
            </w:r>
            <w:r>
              <w:rPr>
                <w:sz w:val="21"/>
              </w:rPr>
              <w:t xml:space="preserve"> </w:t>
            </w:r>
            <w:r>
              <w:rPr>
                <w:sz w:val="21"/>
              </w:rPr>
              <w:t xml:space="preserve">Corrections were made against recorded outputs. The report figures are generated by</w:t>
            </w:r>
            <w:r>
              <w:rPr>
                <w:sz w:val="21"/>
              </w:rPr>
              <w:t xml:space="preserve"> </w:t>
            </w:r>
            <w:r>
              <w:rPr>
                <w:rStyle w:val="VerbatimChar"/>
                <w:sz w:val="21"/>
              </w:rPr>
              <w:t xml:space="preserve">scripts/build_report_figures.py</w:t>
            </w:r>
            <w:r>
              <w:rPr>
                <w:sz w:val="21"/>
              </w:rPr>
              <w:t xml:space="preserve"> </w:t>
            </w:r>
            <w:r>
              <w:rPr>
                <w:sz w:val="21"/>
              </w:rPr>
              <w:t xml:space="preserve">from values transcribed from recorded output files, and I checked each plotted value against its source.</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6"/>
          </w:tcPr>
          <w:p>
            <w:pPr>
              <w:pStyle w:val="Compact"/>
              <w:jc w:val="left"/>
            </w:pPr>
            <w:r>
              <w:rPr>
                <w:sz w:val="21"/>
              </w:rPr>
              <w:t xml:space="preserve">Check every reference against its primary source, obtain and read the open-access full texts, and rebuild section 2 from them; draft the corrections the supervisor's review required</w:t>
            </w:r>
          </w:p>
        </w:tc>
        <w:tc>
          <w:tcPr>
            <w:tcW w:type="dxa" w:w="1996"/>
          </w:tcPr>
          <w:p>
            <w:pPr>
              <w:pStyle w:val="Compact"/>
              <w:jc w:val="left"/>
            </w:pPr>
            <w:r>
              <w:rPr>
                <w:sz w:val="21"/>
              </w:rPr>
              <w:t xml:space="preserve">The repository, the report, and public sources fetched from the web</w:t>
            </w:r>
          </w:p>
        </w:tc>
        <w:tc>
          <w:tcPr>
            <w:tcW w:type="dxa" w:w="2124"/>
          </w:tcPr>
          <w:p>
            <w:pPr>
              <w:pStyle w:val="Compact"/>
              <w:jc w:val="left"/>
            </w:pPr>
            <w:r>
              <w:rPr>
                <w:b/>
                <w:bCs/>
                <w:sz w:val="21"/>
              </w:rPr>
              <w:t xml:space="preserve">Modified.</w:t>
            </w:r>
            <w:r>
              <w:rPr>
                <w:sz w:val="21"/>
              </w:rPr>
              <w:t xml:space="preserve"> </w:t>
            </w:r>
            <w:r>
              <w:rPr>
                <w:sz w:val="21"/>
              </w:rPr>
              <w:t xml:space="preserve">The tool carried out the bibliographic checks, read the sources that were obtainable, and drafted the rebuilt literature review, the comparison in section 7, appendices E and F and the reflection in section 9.1. Appendix E of the report records how far each source was verified; no claim in section 2 rests on a source listed there as abstract-level or not consulted. The drafted prose is mine to read, correct and endorse before submission.</w:t>
            </w:r>
          </w:p>
        </w:tc>
      </w:tr>
      <w:tr>
        <w:tc>
          <w:tcPr>
            <w:tcW w:type="dxa" w:w="2121"/>
          </w:tcPr>
          <w:p>
            <w:pPr>
              <w:pStyle w:val="Compact"/>
              <w:jc w:val="left"/>
            </w:pPr>
            <w:r>
              <w:rPr>
                <w:sz w:val="21"/>
              </w:rPr>
              <w:t xml:space="preserve">10 to 16 Sep 2026</w:t>
            </w:r>
          </w:p>
        </w:tc>
        <w:tc>
          <w:tcPr>
            <w:tcW w:type="dxa" w:w="1123"/>
          </w:tcPr>
          <w:p>
            <w:pPr>
              <w:pStyle w:val="Compact"/>
              <w:jc w:val="left"/>
            </w:pPr>
            <w:r>
              <w:rPr>
                <w:sz w:val="21"/>
              </w:rPr>
              <w:t xml:space="preserve">Claude Code (Claude Opus 5)</w:t>
            </w:r>
          </w:p>
        </w:tc>
        <w:tc>
          <w:tcPr>
            <w:tcW w:type="dxa" w:w="1996"/>
          </w:tcPr>
          <w:p>
            <w:pPr>
              <w:pStyle w:val="Compact"/>
              <w:jc w:val="left"/>
            </w:pPr>
            <w:r>
              <w:rPr>
                <w:sz w:val="21"/>
              </w:rPr>
              <w:t xml:space="preserve">Make the fence multiplier configurable, add the regression tests the review found missing, and build the baseline, platform parity and memory analyses it asked for</w:t>
            </w:r>
          </w:p>
        </w:tc>
        <w:tc>
          <w:tcPr>
            <w:tcW w:type="dxa" w:w="1996"/>
          </w:tcPr>
          <w:p>
            <w:pPr>
              <w:pStyle w:val="Compact"/>
              <w:jc w:val="left"/>
            </w:pPr>
            <w:r>
              <w:rPr>
                <w:sz w:val="21"/>
              </w:rPr>
              <w:t xml:space="preserve">The repository</w:t>
            </w:r>
          </w:p>
        </w:tc>
        <w:tc>
          <w:tcPr>
            <w:tcW w:type="dxa" w:w="2124"/>
          </w:tcPr>
          <w:p>
            <w:pPr>
              <w:pStyle w:val="Compact"/>
              <w:jc w:val="left"/>
            </w:pPr>
            <w:r>
              <w:rPr>
                <w:b/>
                <w:bCs/>
                <w:sz w:val="21"/>
              </w:rPr>
              <w:t xml:space="preserve">Accepted after verification.</w:t>
            </w:r>
            <w:r>
              <w:rPr>
                <w:sz w:val="21"/>
              </w:rPr>
              <w:t xml:space="preserve"> </w:t>
            </w:r>
            <w:r>
              <w:rPr>
                <w:sz w:val="21"/>
              </w:rPr>
              <w:t xml:space="preserve">Every change is covered by a test or reproduces a recorded output: the suite is now forty-two tests, the baseline script reproduces Table 3 of the report exactly, the platform parity check is anchored to a SurveyCTO rendering that is byte-identical to the file the robustness round evaluated, and the whole of Appendix D was run in a clean environment with every recorded number reproducing.</w:t>
            </w:r>
          </w:p>
        </w:tc>
      </w:tr>
      <w:tr>
        <w:tc>
          <w:tcPr>
            <w:tcW w:type="dxa" w:w="2121"/>
          </w:tcPr>
          <w:p>
            <w:pPr>
              <w:pStyle w:val="Compact"/>
              <w:jc w:val="left"/>
            </w:pPr>
            <w:r>
              <w:rPr>
                <w:sz w:val="21"/>
              </w:rPr>
              <w:t xml:space="preserve">21 to 22 Sep 2026</w:t>
            </w:r>
          </w:p>
        </w:tc>
        <w:tc>
          <w:tcPr>
            <w:tcW w:type="dxa" w:w="1123"/>
          </w:tcPr>
          <w:p>
            <w:pPr>
              <w:pStyle w:val="Compact"/>
              <w:jc w:val="left"/>
            </w:pPr>
            <w:r>
              <w:rPr>
                <w:sz w:val="21"/>
              </w:rPr>
              <w:t xml:space="preserve">Claude Code (Claude Opus 5)</w:t>
            </w:r>
          </w:p>
        </w:tc>
        <w:tc>
          <w:tcPr>
            <w:tcW w:type="dxa" w:w="1996"/>
          </w:tcPr>
          <w:p>
            <w:pPr>
              <w:pStyle w:val="Compact"/>
              <w:jc w:val="left"/>
            </w:pPr>
            <w:r>
              <w:rPr>
                <w:sz w:val="21"/>
              </w:rPr>
              <w:t xml:space="preserve">Pin the two packages Appendix D needed, measure the prevalence envelope beyond thirty percent, carry the entropy fence onto</w:t>
            </w:r>
            <w:r>
              <w:rPr>
                <w:sz w:val="21"/>
              </w:rPr>
              <w:t xml:space="preserve"> </w:t>
            </w:r>
            <w:r>
              <w:rPr>
                <w:rStyle w:val="VerbatimChar"/>
                <w:sz w:val="21"/>
              </w:rPr>
              <w:t xml:space="preserve">main</w:t>
            </w:r>
            <w:r>
              <w:rPr>
                <w:sz w:val="21"/>
              </w:rPr>
              <w:t xml:space="preserve"> </w:t>
            </w:r>
            <w:r>
              <w:rPr>
                <w:sz w:val="21"/>
              </w:rPr>
              <w:t xml:space="preserve">as an option that is off by default, and repeat the check of every reference, both that it exists and that it supports the claim it is cited for, against the full text wherever one could be obtained</w:t>
            </w:r>
          </w:p>
        </w:tc>
        <w:tc>
          <w:tcPr>
            <w:tcW w:type="dxa" w:w="1996"/>
          </w:tcPr>
          <w:p>
            <w:pPr>
              <w:pStyle w:val="Compact"/>
              <w:jc w:val="left"/>
            </w:pPr>
            <w:r>
              <w:rPr>
                <w:sz w:val="21"/>
              </w:rPr>
              <w:t xml:space="preserve">The repository, the Crossref registry, Open Library and the cited web pages</w:t>
            </w:r>
          </w:p>
        </w:tc>
        <w:tc>
          <w:tcPr>
            <w:tcW w:type="dxa" w:w="2124"/>
          </w:tcPr>
          <w:p>
            <w:pPr>
              <w:pStyle w:val="Compact"/>
              <w:jc w:val="left"/>
            </w:pPr>
            <w:r>
              <w:rPr>
                <w:b/>
                <w:bCs/>
                <w:sz w:val="21"/>
              </w:rPr>
              <w:t xml:space="preserve">Accepted after verification.</w:t>
            </w:r>
            <w:r>
              <w:rPr>
                <w:sz w:val="21"/>
              </w:rPr>
              <w:t xml:space="preserve"> </w:t>
            </w:r>
            <w:r>
              <w:rPr>
                <w:sz w:val="21"/>
              </w:rPr>
              <w:t xml:space="preserve">The envelope script reproduces Table 5 exactly at the prevalences they share, and its eighty runs were made in the pinned environment; the mechanism described in section 6.4 was read from the flags recorded against each interview. With the fence off, the full robustness round reproduces its committed table exactly; with it on, every held-out figure recorded on the branch reproduces exactly. The limitation text in sections 6.4 and 8 was drafted by the tool and revised by me. The reference recheck found two entries not cited in the text, Hawkins (1980) and Tukey (1977), now removed from the list; citations that claimed more than the source supports, for Couper (1998), Yan and Tourangeau (2008), Zhang and Conrad (2014), Hoogeveen and Pape (2020), Iglewicz and Hoaglin (1993), Japkowicz and Stephen (2002), Kreuter (2013) and the three falsification papers cited in section 1.1; and wrong pinpoints for Birnbaum et al., Chandola et al., Goel et al. and Hodge and Austin. Each correction was checked against the source text and is recorded in Appendix E.</w:t>
            </w:r>
          </w:p>
        </w:tc>
      </w:tr>
    </w:tbl>
    <w:bookmarkEnd w:id="12"/>
    <w:bookmarkStart w:id="13" w:name="X37cb439bef751226cf24ecf917f5fd195e0ac74"/>
    <w:p>
      <w:pPr>
        <w:pStyle w:val="Heading1"/>
      </w:pPr>
      <w:r>
        <w:t xml:space="preserve">5. The decisions that mattered</w:t>
      </w:r>
    </w:p>
    <w:p>
      <w:pPr>
        <w:pStyle w:val="FirstParagraph"/>
      </w:pPr>
      <w:r>
        <w:t xml:space="preserve">Three episodes changed the submitted work in ways worth stating explicitly</w:t>
      </w:r>
      <w:r>
        <w:t xml:space="preserve"> </w:t>
      </w:r>
      <w:r>
        <w:t xml:space="preserve">rather than leaving inside a table.</w:t>
      </w:r>
    </w:p>
    <w:p>
      <w:pPr>
        <w:pStyle w:val="BodyText"/>
      </w:pPr>
      <w:r>
        <w:rPr>
          <w:b/>
          <w:bCs/>
        </w:rPr>
        <w:t xml:space="preserve">Accepted.</w:t>
      </w:r>
      <w:r>
        <w:t xml:space="preserve"> </w:t>
      </w:r>
      <w:r>
        <w:t xml:space="preserve">The clean-environment checks in July 2026 surfaced two defects</w:t>
      </w:r>
      <w:r>
        <w:t xml:space="preserve"> </w:t>
      </w:r>
      <w:r>
        <w:t xml:space="preserve">that would otherwise have reached submission: the ISO 8601 to epoch conversion</w:t>
      </w:r>
      <w:r>
        <w:t xml:space="preserve"> </w:t>
      </w:r>
      <w:r>
        <w:t xml:space="preserve">assumed the nanosecond datetime resolution of earlier pandas versions and</w:t>
      </w:r>
      <w:r>
        <w:t xml:space="preserve"> </w:t>
      </w:r>
      <w:r>
        <w:t xml:space="preserve">silently produced values a thousand times too small under pandas 3, and the</w:t>
      </w:r>
      <w:r>
        <w:t xml:space="preserve"> </w:t>
      </w:r>
      <w:r>
        <w:t xml:space="preserve">question-level response time was being computed as a first-to-last event span</w:t>
      </w:r>
      <w:r>
        <w:t xml:space="preserve"> </w:t>
      </w:r>
      <w:r>
        <w:t xml:space="preserve">rather than as the documented sum of event durations. I accepted the finding,</w:t>
      </w:r>
      <w:r>
        <w:t xml:space="preserve"> </w:t>
      </w:r>
      <w:r>
        <w:t xml:space="preserve">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w:t>
      </w:r>
      <w:r>
        <w:t xml:space="preserve"> </w:t>
      </w:r>
      <w:r>
        <w:t xml:space="preserve">two detector flags that matched the behaviour of an earlier generator. I</w:t>
      </w:r>
      <w:r>
        <w:t xml:space="preserve"> </w:t>
      </w:r>
      <w:r>
        <w:t xml:space="preserve">accepted that the coupling was a form of overfitting and removed it, but I</w:t>
      </w:r>
      <w:r>
        <w:t xml:space="preserve"> </w:t>
      </w:r>
      <w:r>
        <w:t xml:space="preserve">generalised the affected rules myself rather than adopting the specific</w:t>
      </w:r>
      <w:r>
        <w:t xml:space="preserve"> </w:t>
      </w:r>
      <w:r>
        <w:t xml:space="preserve">replacement suggested, and I re-evaluated on held-out seeds rather than on the</w:t>
      </w:r>
      <w:r>
        <w:t xml:space="preserve"> </w:t>
      </w:r>
      <w:r>
        <w:t xml:space="preserve">data the coupling had been fitted to.</w:t>
      </w:r>
    </w:p>
    <w:p>
      <w:pPr>
        <w:pStyle w:val="BodyText"/>
      </w:pPr>
      <w:r>
        <w:rPr>
          <w:b/>
          <w:bCs/>
        </w:rPr>
        <w:t xml:space="preserve">Rejected.</w:t>
      </w:r>
      <w:r>
        <w:t xml:space="preserve"> </w:t>
      </w:r>
      <w:r>
        <w:t xml:space="preserve">The entropy threshold correction motivated by the August</w:t>
      </w:r>
      <w:r>
        <w:t xml:space="preserve"> </w:t>
      </w:r>
      <w:r>
        <w:t xml:space="preserve">diagnostic raises fabricated per-class recall from 0.70 to 1.00 and drops the</w:t>
      </w:r>
      <w:r>
        <w:t xml:space="preserve"> </w:t>
      </w:r>
      <w:r>
        <w:t xml:space="preserve">lowest precision anywhere in the round from 0.9570 to 0.8333. I developed it,</w:t>
      </w:r>
      <w:r>
        <w:t xml:space="preserve"> </w:t>
      </w:r>
      <w:r>
        <w:t xml:space="preserve">froze it, evaluated it once, and decided not to make it the default, for the</w:t>
      </w:r>
      <w:r>
        <w:t xml:space="preserve"> </w:t>
      </w:r>
      <w:r>
        <w:t xml:space="preserve">reasons argued in section 7 of the report: the cost concentrates at low</w:t>
      </w:r>
      <w:r>
        <w:t xml:space="preserve"> </w:t>
      </w:r>
      <w:r>
        <w:t xml:space="preserve">prevalence, which is the condition that most resembles deployment. It ships on</w:t>
      </w:r>
      <w:r>
        <w:t xml:space="preserve"> </w:t>
      </w:r>
      <w:r>
        <w:rPr>
          <w:rStyle w:val="VerbatimChar"/>
        </w:rPr>
        <w:t xml:space="preserve">main</w:t>
      </w:r>
      <w:r>
        <w:t xml:space="preserve"> </w:t>
      </w:r>
      <w:r>
        <w:t xml:space="preserve">as the option</w:t>
      </w:r>
      <w:r>
        <w:t xml:space="preserve"> </w:t>
      </w:r>
      <w:r>
        <w:rPr>
          <w:rStyle w:val="VerbatimChar"/>
        </w:rPr>
        <w:t xml:space="preserve">entropy_fence_scale</w:t>
      </w:r>
      <w:r>
        <w:t xml:space="preserve">, off by default. Every figure in the</w:t>
      </w:r>
      <w:r>
        <w:t xml:space="preserve"> </w:t>
      </w:r>
      <w:r>
        <w:t xml:space="preserve">report describes the detector with it off.</w:t>
      </w:r>
    </w:p>
    <w:p>
      <w:pPr>
        <w:pStyle w:val="BodyText"/>
      </w:pPr>
      <w:r>
        <w:rPr>
          <w:b/>
          <w:bCs/>
        </w:rPr>
        <w:t xml:space="preserve">Disclosed.</w:t>
      </w:r>
      <w:r>
        <w:t xml:space="preserve"> </w:t>
      </w:r>
      <w:r>
        <w:t xml:space="preserve">The revision of September 2026 used AI assistance more</w:t>
      </w:r>
      <w:r>
        <w:t xml:space="preserve"> </w:t>
      </w:r>
      <w:r>
        <w:t xml:space="preserve">extensively than any earlier episode, and the extent is stated here rather</w:t>
      </w:r>
      <w:r>
        <w:t xml:space="preserve"> </w:t>
      </w:r>
      <w:r>
        <w:t xml:space="preserve">than left to the table. The tool checked every reference against its primary</w:t>
      </w:r>
      <w:r>
        <w:t xml:space="preserve"> </w:t>
      </w:r>
      <w:r>
        <w:t xml:space="preserve">source, obtained and read the sources that were publicly available, rebuilt</w:t>
      </w:r>
      <w:r>
        <w:t xml:space="preserve"> </w:t>
      </w:r>
      <w:r>
        <w:t xml:space="preserve">section 2 of the report from them, drafted the comparison in section 7,</w:t>
      </w:r>
      <w:r>
        <w:t xml:space="preserve"> </w:t>
      </w:r>
      <w:r>
        <w:t xml:space="preserve">appendices E and F and the reflection in section 9.1, wrote the three analysis</w:t>
      </w:r>
      <w:r>
        <w:t xml:space="preserve"> </w:t>
      </w:r>
      <w:r>
        <w:t xml:space="preserve">scripts and the regression tests added in section 4, and applied the</w:t>
      </w:r>
      <w:r>
        <w:t xml:space="preserve"> </w:t>
      </w:r>
      <w:r>
        <w:t xml:space="preserve">corrections the supervisor's review listed. Two boundaries were held</w:t>
      </w:r>
      <w:r>
        <w:t xml:space="preserve"> </w:t>
      </w:r>
      <w:r>
        <w:t xml:space="preserve">throughout. No claim was written about a source that had not been read: where</w:t>
      </w:r>
      <w:r>
        <w:t xml:space="preserve"> </w:t>
      </w:r>
      <w:r>
        <w:t xml:space="preserve">a source could not be obtained, Appendix E says so and the claim is held at</w:t>
      </w:r>
      <w:r>
        <w:t xml:space="preserve"> </w:t>
      </w:r>
      <w:r>
        <w:t xml:space="preserve">the level the abstract or publisher record supports. And no number was taken</w:t>
      </w:r>
      <w:r>
        <w:t xml:space="preserve"> </w:t>
      </w:r>
      <w:r>
        <w:t xml:space="preserve">on trust: every figure in the new tables is reproduced from a file under</w:t>
      </w:r>
      <w:r>
        <w:t xml:space="preserve"> </w:t>
      </w:r>
      <w:r>
        <w:rPr>
          <w:rStyle w:val="VerbatimChar"/>
        </w:rPr>
        <w:t xml:space="preserve">output/</w:t>
      </w:r>
      <w:r>
        <w:t xml:space="preserve">, and the whole of Appendix D was re-run in a clean environment to</w:t>
      </w:r>
      <w:r>
        <w:t xml:space="preserve"> </w:t>
      </w:r>
      <w:r>
        <w:t xml:space="preserve">confirm it. What remains mine is the obligation to read the drafted prose,</w:t>
      </w:r>
      <w:r>
        <w:t xml:space="preserve"> </w:t>
      </w:r>
      <w:r>
        <w:t xml:space="preserve">confirm that it says what I am prepared to defend, and obtain the nine sources</w:t>
      </w:r>
      <w:r>
        <w:t xml:space="preserve"> </w:t>
      </w:r>
      <w:r>
        <w:t xml:space="preserve">still listed in Appendix E as unread.</w:t>
      </w:r>
    </w:p>
    <w:p>
      <w:pPr>
        <w:pStyle w:val="BodyText"/>
      </w:pPr>
      <w:r>
        <w:rPr>
          <w:b/>
          <w:bCs/>
        </w:rPr>
        <w:t xml:space="preserve">A note on the entropy branch.</w:t>
      </w:r>
      <w:r>
        <w:t xml:space="preserve"> </w:t>
      </w:r>
      <w:r>
        <w:t xml:space="preserve">The branch that held the entropy fence</w:t>
      </w:r>
      <w:r>
        <w:t xml:space="preserve"> </w:t>
      </w:r>
      <w:r>
        <w:t xml:space="preserve">correction,</w:t>
      </w:r>
      <w:r>
        <w:t xml:space="preserve"> </w:t>
      </w:r>
      <w:r>
        <w:rPr>
          <w:rStyle w:val="VerbatimChar"/>
        </w:rPr>
        <w:t xml:space="preserve">fix/entropy-threshold-relative</w:t>
      </w:r>
      <w:r>
        <w:t xml:space="preserve">, was created from a rewritten</w:t>
      </w:r>
      <w:r>
        <w:t xml:space="preserve"> </w:t>
      </w:r>
      <w:r>
        <w:t xml:space="preserve">history and shares no commit with</w:t>
      </w:r>
      <w:r>
        <w:t xml:space="preserve"> </w:t>
      </w:r>
      <w:r>
        <w:rPr>
          <w:rStyle w:val="VerbatimChar"/>
        </w:rPr>
        <w:t xml:space="preserve">main</w:t>
      </w:r>
      <w:r>
        <w:t xml:space="preserve">, so it could not be merged. Its change</w:t>
      </w:r>
      <w:r>
        <w:t xml:space="preserve"> </w:t>
      </w:r>
      <w:r>
        <w:t xml:space="preserve">was carried onto</w:t>
      </w:r>
      <w:r>
        <w:t xml:space="preserve"> </w:t>
      </w:r>
      <w:r>
        <w:rPr>
          <w:rStyle w:val="VerbatimChar"/>
        </w:rPr>
        <w:t xml:space="preserve">main</w:t>
      </w:r>
      <w:r>
        <w:t xml:space="preserve"> </w:t>
      </w:r>
      <w:r>
        <w:t xml:space="preserve">instead, as the</w:t>
      </w:r>
      <w:r>
        <w:t xml:space="preserve"> </w:t>
      </w:r>
      <w:r>
        <w:rPr>
          <w:rStyle w:val="VerbatimChar"/>
        </w:rPr>
        <w:t xml:space="preserve">entropy_fence_scale</w:t>
      </w:r>
      <w:r>
        <w:t xml:space="preserve"> </w:t>
      </w:r>
      <w:r>
        <w:t xml:space="preserve">option, off by</w:t>
      </w:r>
      <w:r>
        <w:t xml:space="preserve"> </w:t>
      </w:r>
      <w:r>
        <w:t xml:space="preserve">default, with a regression test and the design note</w:t>
      </w:r>
      <w:r>
        <w:t xml:space="preserve"> </w:t>
      </w:r>
      <w:r>
        <w:rPr>
          <w:rStyle w:val="VerbatimChar"/>
        </w:rPr>
        <w:t xml:space="preserve">docs/entropy_fence_change.md</w:t>
      </w:r>
      <w:r>
        <w:t xml:space="preserve">; with the option set to 3.0 the held-out figures</w:t>
      </w:r>
      <w:r>
        <w:t xml:space="preserve"> </w:t>
      </w:r>
      <w:r>
        <w:t xml:space="preserve">reproduce exactly. The branch was then retired, and its history is preserved</w:t>
      </w:r>
      <w:r>
        <w:t xml:space="preserve"> </w:t>
      </w:r>
      <w:r>
        <w:t xml:space="preserve">under the tag</w:t>
      </w:r>
      <w:r>
        <w:t xml:space="preserve"> </w:t>
      </w:r>
      <w:r>
        <w:rPr>
          <w:rStyle w:val="VerbatimChar"/>
        </w:rPr>
        <w:t xml:space="preserve">archive/entropy-fence</w:t>
      </w:r>
      <w:r>
        <w:t xml:space="preserve">. Its code comment and design note claimed</w:t>
      </w:r>
      <w:r>
        <w:t xml:space="preserve"> </w:t>
      </w:r>
      <w:r>
        <w:t xml:space="preserve">that the correction reduces to Tukey's fence for a symmetric distribution; that</w:t>
      </w:r>
      <w:r>
        <w:t xml:space="preserve"> </w:t>
      </w:r>
      <w:r>
        <w:t xml:space="preserve">is wrong, for the reason given in section 7 of the report, and both have been</w:t>
      </w:r>
      <w:r>
        <w:t xml:space="preserve"> </w:t>
      </w:r>
      <w:r>
        <w:t xml:space="preserve">corrected.</w:t>
      </w:r>
    </w:p>
    <w:bookmarkEnd w:id="13"/>
    <w:bookmarkStart w:id="14" w:name="X3d000b5d521f197acf5a00f474342b34dc38515"/>
    <w:p>
      <w:pPr>
        <w:pStyle w:val="Heading1"/>
      </w:pPr>
      <w:r>
        <w:t xml:space="preserve">6. Tests attached to significant outputs</w:t>
      </w:r>
    </w:p>
    <w:p>
      <w:pPr>
        <w:pStyle w:val="FirstParagraph"/>
      </w:pPr>
      <w:r>
        <w:t xml:space="preserve">No code-level suggestion entered the submitted work without a test or a recorded</w:t>
      </w:r>
      <w:r>
        <w:t xml:space="preserve"> </w:t>
      </w:r>
      <w:r>
        <w:t xml:space="preserve">output check behind it. The five defects described in section 4 of the report</w:t>
      </w:r>
      <w:r>
        <w:t xml:space="preserve"> </w:t>
      </w:r>
      <w:r>
        <w:t xml:space="preserve">are each covered by a test in the suite of forty-three, which passes in full</w:t>
      </w:r>
      <w:r>
        <w:t xml:space="preserve"> </w:t>
      </w:r>
      <w:r>
        <w:t xml:space="preserve">on Python 3.14.0. The first submission made that claim of a suite of thirty-</w:t>
      </w:r>
      <w:r>
        <w:t xml:space="preserve"> </w:t>
      </w:r>
      <w:r>
        <w:t xml:space="preserve">seven, and it was wrong: two of the five fixes, the ODK placeholder and the</w:t>
      </w:r>
      <w:r>
        <w:t xml:space="preserve"> </w:t>
      </w:r>
      <w:r>
        <w:t xml:space="preserve">exclusion of administrative events from section statistics, had no test at</w:t>
      </w:r>
      <w:r>
        <w:t xml:space="preserve"> </w:t>
      </w:r>
      <w:r>
        <w:t xml:space="preserve">all, and a third covered the preserved integrity flag only indirectly. The</w:t>
      </w:r>
      <w:r>
        <w:t xml:space="preserve"> </w:t>
      </w:r>
      <w:r>
        <w:t xml:space="preserve">three tests added in September, named in section 4 of the report, make the</w:t>
      </w:r>
      <w:r>
        <w:t xml:space="preserve"> </w:t>
      </w:r>
      <w:r>
        <w:t xml:space="preserve">statement true. Every quantitative claim in the report resolves</w:t>
      </w:r>
      <w:r>
        <w:t xml:space="preserve"> </w:t>
      </w:r>
      <w:r>
        <w:t xml:space="preserve">to a file under</w:t>
      </w:r>
      <w:r>
        <w:t xml:space="preserve"> </w:t>
      </w:r>
      <w:r>
        <w:rPr>
          <w:rStyle w:val="VerbatimChar"/>
        </w:rPr>
        <w:t xml:space="preserve">output/</w:t>
      </w:r>
      <w:r>
        <w:t xml:space="preserve">, and the commands that regenerate those files are in</w:t>
      </w:r>
      <w:r>
        <w:t xml:space="preserve"> </w:t>
      </w:r>
      <w:r>
        <w:t xml:space="preserve">Appendix D of the report. The feature coverage table is generated by</w:t>
      </w:r>
      <w:r>
        <w:t xml:space="preserve"> </w:t>
      </w:r>
      <w:r>
        <w:rPr>
          <w:rStyle w:val="VerbatimChar"/>
        </w:rPr>
        <w:t xml:space="preserve">scripts/build_feature_coverage.py</w:t>
      </w:r>
      <w:r>
        <w:t xml:space="preserve"> </w:t>
      </w:r>
      <w:r>
        <w:t xml:space="preserve">rather than maintained by hand, so it cannot</w:t>
      </w:r>
      <w:r>
        <w:t xml:space="preserve"> </w:t>
      </w:r>
      <w:r>
        <w:t xml:space="preserve">drift from the code. The component breakdown is recomputed from recorded</w:t>
      </w:r>
      <w:r>
        <w:t xml:space="preserve"> </w:t>
      </w:r>
      <w:r>
        <w:t xml:space="preserve">predictions rather than from a fresh run, so it describes exactly the runs</w:t>
      </w:r>
      <w:r>
        <w:t xml:space="preserve"> </w:t>
      </w:r>
      <w:r>
        <w:t xml:space="preserve">reported elsewhere.</w:t>
      </w:r>
    </w:p>
    <w:bookmarkEnd w:id="14"/>
    <w:bookmarkStart w:id="15" w:name="X02a9b49722d48ea4bbf4252e5cf254f10ac76fd"/>
    <w:p>
      <w:pPr>
        <w:pStyle w:val="Heading1"/>
      </w:pPr>
      <w:r>
        <w:t xml:space="preserve">7. Limitations of this disclosure</w:t>
      </w:r>
    </w:p>
    <w:p>
      <w:pPr>
        <w:pStyle w:val="FirstParagraph"/>
      </w:pPr>
      <w:r>
        <w:t xml:space="preserve">Three limitations should be stated. First, entries before 6 July 2026 are</w:t>
      </w:r>
      <w:r>
        <w:t xml:space="preserve"> </w:t>
      </w:r>
      <w:r>
        <w:t xml:space="preserve">reconstructed from the development history rather than recorded at the time, so</w:t>
      </w:r>
      <w:r>
        <w:t xml:space="preserve"> </w:t>
      </w:r>
      <w:r>
        <w:t xml:space="preserve">their dates are approximate and their prompt summaries are reconstructions of</w:t>
      </w:r>
      <w:r>
        <w:t xml:space="preserve"> </w:t>
      </w:r>
      <w:r>
        <w:t xml:space="preserve">substance rather than transcripts. Second, hosted assistant products do not</w:t>
      </w:r>
      <w:r>
        <w:t xml:space="preserve"> </w:t>
      </w:r>
      <w:r>
        <w:t xml:space="preserve">expose a stable version identifier, so the tool versions for those entries are</w:t>
      </w:r>
      <w:r>
        <w:t xml:space="preserve"> </w:t>
      </w:r>
      <w:r>
        <w:t xml:space="preserve">not recoverable and this log says so rather than inventing a number. Third, a</w:t>
      </w:r>
      <w:r>
        <w:t xml:space="preserve"> </w:t>
      </w:r>
      <w:r>
        <w:t xml:space="preserve">log of this kind records episodes of use rather than every keystroke; inline</w:t>
      </w:r>
      <w:r>
        <w:t xml:space="preserve"> </w:t>
      </w:r>
      <w:r>
        <w:t xml:space="preserve">editor completions in particular are continuous and were not individually</w:t>
      </w:r>
      <w:r>
        <w:t xml:space="preserve"> </w:t>
      </w:r>
      <w:r>
        <w:t xml:space="preserve">recorded, and section 4 characterises them as a class rather than enumerating</w:t>
      </w:r>
      <w:r>
        <w:t xml:space="preserve"> </w:t>
      </w:r>
      <w:r>
        <w:t xml:space="preserve">them. Where the record is uncertain I have preferred to say so.</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Usage Log</dc:title>
  <dc:creator/>
  <cp:keywords/>
  <dcterms:created xsi:type="dcterms:W3CDTF">2026-09-22T07:42:23Z</dcterms:created>
  <dcterms:modified xsi:type="dcterms:W3CDTF">2026-09-22T07:42:23Z</dcterms:modified>
</cp:coreProperties>
</file>

<file path=docProps/custom.xml><?xml version="1.0" encoding="utf-8"?>
<Properties xmlns="http://schemas.openxmlformats.org/officeDocument/2006/custom-properties" xmlns:vt="http://schemas.openxmlformats.org/officeDocument/2006/docPropsVTypes"/>
</file>