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Usage Log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Automated Extraction and Analysis of Timing-Based Paradata Features for Survey Quality Assurance</w:t>
      </w:r>
      <w:r>
        <w:br/>
      </w:r>
      <w:r>
        <w:rPr>
          <w:b/>
          <w:bCs/>
        </w:rPr>
        <w:t xml:space="preserve">Student:</w:t>
      </w:r>
      <w:r>
        <w:t xml:space="preserve"> </w:t>
      </w:r>
      <w:r>
        <w:t xml:space="preserve">Samuel Kaoma, student number 2022016530</w:t>
      </w:r>
      <w:r>
        <w:br/>
      </w:r>
      <w:r>
        <w:rPr>
          <w:b/>
          <w:bCs/>
        </w:rPr>
        <w:t xml:space="preserve">Course:</w:t>
      </w:r>
      <w:r>
        <w:t xml:space="preserve"> </w:t>
      </w:r>
      <w:r>
        <w:t xml:space="preserve">CSC 4004</w:t>
      </w:r>
      <w:r>
        <w:br/>
      </w:r>
      <w:r>
        <w:rPr>
          <w:b/>
          <w:bCs/>
        </w:rPr>
        <w:t xml:space="preserve">Supervisor:</w:t>
      </w:r>
      <w:r>
        <w:t xml:space="preserve"> </w:t>
      </w:r>
      <w:r>
        <w:t xml:space="preserve">Mr. Mofya Phiri</w:t>
      </w:r>
    </w:p>
    <w:p>
      <w:pPr>
        <w:pStyle w:val="BodyText"/>
      </w:pPr>
      <w:r>
        <w:t xml:space="preserve">This log is required by section 9.4 of the project proposal. It is reproduced as</w:t>
      </w:r>
      <w:r>
        <w:t xml:space="preserve"> </w:t>
      </w:r>
      <w:r>
        <w:rPr>
          <w:b/>
          <w:bCs/>
        </w:rPr>
        <w:t xml:space="preserve">Appendix A of the final academic report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report/final_academic_report.md</w:t>
      </w:r>
      <w:r>
        <w:t xml:space="preserve">,</w:t>
      </w:r>
      <w:r>
        <w:t xml:space="preserve"> </w:t>
      </w:r>
      <w:r>
        <w:t xml:space="preserve">and the two are kept identical. The log was started on 6 July 2026; entries</w:t>
      </w:r>
      <w:r>
        <w:t xml:space="preserve"> </w:t>
      </w:r>
      <w:r>
        <w:t xml:space="preserve">before that date are reconstructed from the development history and the version</w:t>
      </w:r>
      <w:r>
        <w:t xml:space="preserve"> </w:t>
      </w:r>
      <w:r>
        <w:t xml:space="preserve">control record and are marked as reconstructed, which is a limitation discussed</w:t>
      </w:r>
      <w:r>
        <w:t xml:space="preserve"> </w:t>
      </w:r>
      <w:r>
        <w:t xml:space="preserve">in section 7 below.</w:t>
      </w:r>
    </w:p>
    <w:bookmarkStart w:id="9" w:name="X4666c8db187a468bd7c4d1efd69e1ca31a62544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The intellectual content of this project is my own. The research question, the</w:t>
      </w:r>
      <w:r>
        <w:t xml:space="preserve"> </w:t>
      </w:r>
      <w:r>
        <w:t xml:space="preserve">literature review and the argument it makes, the forty-feature taxonomy, the</w:t>
      </w:r>
      <w:r>
        <w:t xml:space="preserve"> </w:t>
      </w:r>
      <w:r>
        <w:t xml:space="preserve">common intermediate representation, the parser design, the choice of</w:t>
      </w:r>
      <w:r>
        <w:t xml:space="preserve"> </w:t>
      </w:r>
      <w:r>
        <w:t xml:space="preserve">interquartile and rule-based detection, the thresholds shipped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synthetic generator and its anomaly profiles, the success criteria, the</w:t>
      </w:r>
      <w:r>
        <w:t xml:space="preserve"> </w:t>
      </w:r>
      <w:r>
        <w:t xml:space="preserve">interpretation of every result, and the decision to report weaker per-class</w:t>
      </w:r>
      <w:r>
        <w:t xml:space="preserve"> </w:t>
      </w:r>
      <w:r>
        <w:t xml:space="preserve">results transparently are mine.</w:t>
      </w:r>
    </w:p>
    <w:bookmarkEnd w:id="9"/>
    <w:bookmarkStart w:id="10" w:name="X5cebb5b2e56507c0300743fa7841ad38c6a8bb3"/>
    <w:p>
      <w:pPr>
        <w:pStyle w:val="Heading1"/>
      </w:pPr>
      <w:r>
        <w:t xml:space="preserve">2. What was provided to external tools, and what was not</w:t>
      </w:r>
    </w:p>
    <w:p>
      <w:pPr>
        <w:pStyle w:val="FirstParagraph"/>
      </w:pPr>
      <w:r>
        <w:rPr>
          <w:b/>
          <w:bCs/>
        </w:rPr>
        <w:t xml:space="preserve">No respondent data, personal data, or third-party data of any kind was</w:t>
      </w:r>
      <w:r>
        <w:rPr>
          <w:b/>
          <w:bCs/>
        </w:rPr>
        <w:t xml:space="preserve"> </w:t>
      </w:r>
      <w:r>
        <w:rPr>
          <w:b/>
          <w:bCs/>
        </w:rPr>
        <w:t xml:space="preserve">uploaded to any external tool at any point in this project.</w:t>
      </w:r>
      <w:r>
        <w:t xml:space="preserve"> </w:t>
      </w:r>
      <w:r>
        <w:t xml:space="preserve">This is not a</w:t>
      </w:r>
      <w:r>
        <w:t xml:space="preserve"> </w:t>
      </w:r>
      <w:r>
        <w:t xml:space="preserve">matter of policy alone: all evaluation data in this project is synthetic,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tests/generate_benchmark_datasets.py</w:t>
      </w:r>
      <w:r>
        <w:t xml:space="preserve"> </w:t>
      </w:r>
      <w:r>
        <w:t xml:space="preserve">from recorded random seeds,</w:t>
      </w:r>
      <w:r>
        <w:t xml:space="preserve"> </w:t>
      </w:r>
      <w:r>
        <w:t xml:space="preserve">and describes interviews that never took place with people who do not exist.</w:t>
      </w:r>
      <w:r>
        <w:t xml:space="preserve"> </w:t>
      </w:r>
      <w:r>
        <w:t xml:space="preserve">There is no real survey data anywhere in the repository or in the evaluation.</w:t>
      </w:r>
    </w:p>
    <w:p>
      <w:pPr>
        <w:pStyle w:val="BodyText"/>
      </w:pPr>
      <w:r>
        <w:t xml:space="preserve">The categories of material provided to tools were the following, and no others: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378"/>
        <w:gridCol w:w="4296"/>
        <w:gridCol w:w="2685"/>
      </w:tblGrid>
      <w:tr>
        <w:trPr>
          <w:tblHeader w:val="on"/>
        </w:trPr>
        <w:tc>
          <w:tcPr>
            <w:tcW w:type="dxa" w:w="2378"/>
          </w:tcPr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>
            <w:tcW w:type="dxa" w:w="4296"/>
          </w:tcPr>
          <w:p>
            <w:pPr>
              <w:pStyle w:val="Compact"/>
              <w:jc w:val="left"/>
            </w:pPr>
            <w:r>
              <w:t xml:space="preserve">Examples</w:t>
            </w:r>
          </w:p>
        </w:tc>
        <w:tc>
          <w:tcPr>
            <w:tcW w:type="dxa" w:w="2685"/>
          </w:tcPr>
          <w:p>
            <w:pPr>
              <w:pStyle w:val="Compact"/>
              <w:jc w:val="left"/>
            </w:pPr>
            <w:r>
              <w:t xml:space="preserve">Sensitivity</w:t>
            </w:r>
          </w:p>
        </w:tc>
      </w:tr>
      <w:tr>
        <w:tc>
          <w:tcPr>
            <w:tcW w:type="dxa" w:w="2378"/>
          </w:tcPr>
          <w:p>
            <w:pPr>
              <w:pStyle w:val="Compact"/>
              <w:jc w:val="left"/>
            </w:pPr>
            <w:r>
              <w:t xml:space="preserve">Project source code</w:t>
            </w:r>
          </w:p>
        </w:tc>
        <w:tc>
          <w:tcPr>
            <w:tcW w:type="dxa" w:w="4296"/>
          </w:tcPr>
          <w:p>
            <w:pPr>
              <w:pStyle w:val="Compact"/>
              <w:jc w:val="left"/>
            </w:pPr>
            <w:r>
              <w:t xml:space="preserve">Parser classes, feature extractors, detector, test files</w:t>
            </w:r>
          </w:p>
        </w:tc>
        <w:tc>
          <w:tcPr>
            <w:tcW w:type="dxa" w:w="2685"/>
          </w:tcPr>
          <w:p>
            <w:pPr>
              <w:pStyle w:val="Compact"/>
              <w:jc w:val="left"/>
            </w:pPr>
            <w:r>
              <w:t xml:space="preserve">Mine; public in the repository</w:t>
            </w:r>
          </w:p>
        </w:tc>
      </w:tr>
      <w:tr>
        <w:tc>
          <w:tcPr>
            <w:tcW w:type="dxa" w:w="2378"/>
          </w:tcPr>
          <w:p>
            <w:pPr>
              <w:pStyle w:val="Compact"/>
              <w:jc w:val="left"/>
            </w:pPr>
            <w:r>
              <w:t xml:space="preserve">Project documentation</w:t>
            </w:r>
          </w:p>
        </w:tc>
        <w:tc>
          <w:tcPr>
            <w:tcW w:type="dxa" w:w="4296"/>
          </w:tcPr>
          <w:p>
            <w:pPr>
              <w:pStyle w:val="Compact"/>
              <w:jc w:val="left"/>
            </w:pPr>
            <w:r>
              <w:t xml:space="preserve">Draft report and validation text, progress reports</w:t>
            </w:r>
          </w:p>
        </w:tc>
        <w:tc>
          <w:tcPr>
            <w:tcW w:type="dxa" w:w="2685"/>
          </w:tcPr>
          <w:p>
            <w:pPr>
              <w:pStyle w:val="Compact"/>
              <w:jc w:val="left"/>
            </w:pPr>
            <w:r>
              <w:t xml:space="preserve">Mine; public in the repository</w:t>
            </w:r>
          </w:p>
        </w:tc>
      </w:tr>
      <w:tr>
        <w:tc>
          <w:tcPr>
            <w:tcW w:type="dxa" w:w="2378"/>
          </w:tcPr>
          <w:p>
            <w:pPr>
              <w:pStyle w:val="Compact"/>
              <w:jc w:val="left"/>
            </w:pPr>
            <w:r>
              <w:t xml:space="preserve">Synthetic output files</w:t>
            </w:r>
          </w:p>
        </w:tc>
        <w:tc>
          <w:tcPr>
            <w:tcW w:type="dxa" w:w="4296"/>
          </w:tcPr>
          <w:p>
            <w:pPr>
              <w:pStyle w:val="Compact"/>
              <w:jc w:val="left"/>
            </w:pPr>
            <w:r>
              <w:t xml:space="preserve">Metrics CSVs, confusion counts, feature datasets</w:t>
            </w:r>
          </w:p>
        </w:tc>
        <w:tc>
          <w:tcPr>
            <w:tcW w:type="dxa" w:w="2685"/>
          </w:tcPr>
          <w:p>
            <w:pPr>
              <w:pStyle w:val="Compact"/>
              <w:jc w:val="left"/>
            </w:pPr>
            <w:r>
              <w:t xml:space="preserve">Machine generated; no human subject</w:t>
            </w:r>
          </w:p>
        </w:tc>
      </w:tr>
      <w:tr>
        <w:tc>
          <w:tcPr>
            <w:tcW w:type="dxa" w:w="2378"/>
          </w:tcPr>
          <w:p>
            <w:pPr>
              <w:pStyle w:val="Compact"/>
              <w:jc w:val="left"/>
            </w:pPr>
            <w:r>
              <w:t xml:space="preserve">Error messages and stack traces</w:t>
            </w:r>
          </w:p>
        </w:tc>
        <w:tc>
          <w:tcPr>
            <w:tcW w:type="dxa" w:w="4296"/>
          </w:tcPr>
          <w:p>
            <w:pPr>
              <w:pStyle w:val="Compact"/>
              <w:jc w:val="left"/>
            </w:pPr>
            <w:r>
              <w:t xml:space="preserve">pandas and pytest output</w:t>
            </w:r>
          </w:p>
        </w:tc>
        <w:tc>
          <w:tcPr>
            <w:tcW w:type="dxa" w:w="2685"/>
          </w:tcPr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>
            <w:tcW w:type="dxa" w:w="2378"/>
          </w:tcPr>
          <w:p>
            <w:pPr>
              <w:pStyle w:val="Compact"/>
              <w:jc w:val="left"/>
            </w:pPr>
            <w:r>
              <w:t xml:space="preserve">Published literature summaries</w:t>
            </w:r>
          </w:p>
        </w:tc>
        <w:tc>
          <w:tcPr>
            <w:tcW w:type="dxa" w:w="4296"/>
          </w:tcPr>
          <w:p>
            <w:pPr>
              <w:pStyle w:val="Compact"/>
              <w:jc w:val="left"/>
            </w:pPr>
            <w:r>
              <w:t xml:space="preserve">My own paraphrases of cited works</w:t>
            </w:r>
          </w:p>
        </w:tc>
        <w:tc>
          <w:tcPr>
            <w:tcW w:type="dxa" w:w="2685"/>
          </w:tcPr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bookmarkEnd w:id="10"/>
    <w:bookmarkStart w:id="11" w:name="X15f6cc91c129d76b40484ea12fb9d25bf276b24"/>
    <w:p>
      <w:pPr>
        <w:pStyle w:val="Heading1"/>
      </w:pPr>
      <w:r>
        <w:t xml:space="preserve">3. Tools and versions</w:t>
      </w:r>
    </w:p>
    <w:p>
      <w:pPr>
        <w:pStyle w:val="FirstParagraph"/>
      </w:pPr>
      <w:r>
        <w:t xml:space="preserve">Version identifiers are recorded where they are recoverable. Hosted assistant</w:t>
      </w:r>
      <w:r>
        <w:t xml:space="preserve"> </w:t>
      </w:r>
      <w:r>
        <w:t xml:space="preserve">products do not expose a stable version string to the user and were not pinned</w:t>
      </w:r>
      <w:r>
        <w:t xml:space="preserve"> </w:t>
      </w:r>
      <w:r>
        <w:t xml:space="preserve">at the time of use, so those entries state the product and the period of use</w:t>
      </w:r>
      <w:r>
        <w:t xml:space="preserve"> </w:t>
      </w:r>
      <w:r>
        <w:t xml:space="preserve">rather than a version number, which is the most precise honest statement</w:t>
      </w:r>
      <w:r>
        <w:t xml:space="preserve"> </w:t>
      </w:r>
      <w:r>
        <w:t xml:space="preserve">available.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46"/>
        <w:gridCol w:w="3774"/>
        <w:gridCol w:w="1690"/>
        <w:gridCol w:w="1950"/>
      </w:tblGrid>
      <w:tr>
        <w:trPr>
          <w:tblHeader w:val="on"/>
        </w:trPr>
        <w:tc>
          <w:tcPr>
            <w:tcW w:type="dxa" w:w="1946"/>
          </w:tcPr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>
            <w:tcW w:type="dxa" w:w="3774"/>
          </w:tcPr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Recoverable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Period of use</w:t>
            </w:r>
          </w:p>
        </w:tc>
      </w:tr>
      <w:tr>
        <w:tc>
          <w:tcPr>
            <w:tcW w:type="dxa" w:w="1946"/>
          </w:tcPr>
          <w:p>
            <w:pPr>
              <w:pStyle w:val="Compact"/>
              <w:jc w:val="left"/>
            </w:pPr>
            <w:r>
              <w:t xml:space="preserve">GitHub Copilot</w:t>
            </w:r>
          </w:p>
        </w:tc>
        <w:tc>
          <w:tcPr>
            <w:tcW w:type="dxa" w:w="3774"/>
          </w:tcPr>
          <w:p>
            <w:pPr>
              <w:pStyle w:val="Compact"/>
              <w:jc w:val="left"/>
            </w:pPr>
            <w:r>
              <w:t xml:space="preserve">Visual Studio Code extension, version not recorded at time of use</w:t>
            </w:r>
          </w:p>
        </w:tc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March to April 2026</w:t>
            </w:r>
          </w:p>
        </w:tc>
      </w:tr>
      <w:tr>
        <w:tc>
          <w:tcPr>
            <w:tcW w:type="dxa" w:w="1946"/>
          </w:tcPr>
          <w:p>
            <w:pPr>
              <w:pStyle w:val="Compact"/>
              <w:jc w:val="left"/>
            </w:pPr>
            <w:r>
              <w:t xml:space="preserve">Claude (hosted assistant)</w:t>
            </w:r>
          </w:p>
        </w:tc>
        <w:tc>
          <w:tcPr>
            <w:tcW w:type="dxa" w:w="3774"/>
          </w:tcPr>
          <w:p>
            <w:pPr>
              <w:pStyle w:val="Compact"/>
              <w:jc w:val="left"/>
            </w:pPr>
            <w:r>
              <w:t xml:space="preserve">Product version not exposed to the user; not pinned</w:t>
            </w:r>
          </w:p>
        </w:tc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March to September 2026</w:t>
            </w:r>
          </w:p>
        </w:tc>
      </w:tr>
      <w:tr>
        <w:tc>
          <w:tcPr>
            <w:tcW w:type="dxa" w:w="1946"/>
          </w:tcPr>
          <w:p>
            <w:pPr>
              <w:pStyle w:val="Compact"/>
              <w:jc w:val="left"/>
            </w:pPr>
            <w:r>
              <w:t xml:space="preserve">ChatGPT (hosted assistant)</w:t>
            </w:r>
          </w:p>
        </w:tc>
        <w:tc>
          <w:tcPr>
            <w:tcW w:type="dxa" w:w="3774"/>
          </w:tcPr>
          <w:p>
            <w:pPr>
              <w:pStyle w:val="Compact"/>
              <w:jc w:val="left"/>
            </w:pPr>
            <w:r>
              <w:t xml:space="preserve">Product version not exposed to the user; not pinned</w:t>
            </w:r>
          </w:p>
        </w:tc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April 2026</w:t>
            </w:r>
          </w:p>
        </w:tc>
      </w:tr>
      <w:tr>
        <w:tc>
          <w:tcPr>
            <w:tcW w:type="dxa" w:w="1946"/>
          </w:tcPr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>
            <w:tcW w:type="dxa" w:w="3774"/>
          </w:tcPr>
          <w:p>
            <w:pPr>
              <w:pStyle w:val="Compact"/>
              <w:jc w:val="left"/>
            </w:pPr>
            <w:r>
              <w:t xml:space="preserve">3.14.0</w:t>
            </w:r>
          </w:p>
        </w:tc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Final validation runs</w:t>
            </w:r>
          </w:p>
        </w:tc>
      </w:tr>
      <w:tr>
        <w:tc>
          <w:tcPr>
            <w:tcW w:type="dxa" w:w="1946"/>
          </w:tcPr>
          <w:p>
            <w:pPr>
              <w:pStyle w:val="Compact"/>
              <w:jc w:val="left"/>
            </w:pPr>
            <w:r>
              <w:t xml:space="preserve">pandas</w:t>
            </w:r>
          </w:p>
        </w:tc>
        <w:tc>
          <w:tcPr>
            <w:tcW w:type="dxa" w:w="3774"/>
          </w:tcPr>
          <w:p>
            <w:pPr>
              <w:pStyle w:val="Compact"/>
              <w:jc w:val="left"/>
            </w:pPr>
            <w:r>
              <w:t xml:space="preserve">3.0.1</w:t>
            </w:r>
          </w:p>
        </w:tc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Final validation runs</w:t>
            </w:r>
          </w:p>
        </w:tc>
      </w:tr>
      <w:tr>
        <w:tc>
          <w:tcPr>
            <w:tcW w:type="dxa" w:w="1946"/>
          </w:tcPr>
          <w:p>
            <w:pPr>
              <w:pStyle w:val="Compact"/>
              <w:jc w:val="left"/>
            </w:pPr>
            <w:r>
              <w:t xml:space="preserve">Full environment</w:t>
            </w:r>
          </w:p>
        </w:tc>
        <w:tc>
          <w:tcPr>
            <w:tcW w:type="dxa" w:w="3774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requirements-validated.txt</w:t>
            </w:r>
            <w:r>
              <w:t xml:space="preserve">, 143 pinned packages</w:t>
            </w:r>
          </w:p>
        </w:tc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Final validation runs</w:t>
            </w:r>
          </w:p>
        </w:tc>
      </w:tr>
    </w:tbl>
    <w:p>
      <w:pPr>
        <w:pStyle w:val="BodyText"/>
      </w:pPr>
      <w:r>
        <w:t xml:space="preserve">The last three rows are not AI tools and are listed because the reproducibility</w:t>
      </w:r>
      <w:r>
        <w:t xml:space="preserve"> </w:t>
      </w:r>
      <w:r>
        <w:t xml:space="preserve">of every figure in the report depends on them, and because two of the five</w:t>
      </w:r>
      <w:r>
        <w:t xml:space="preserve"> </w:t>
      </w:r>
      <w:r>
        <w:t xml:space="preserve">defects recorded in section 4 of the report were caused by a pandas version</w:t>
      </w:r>
      <w:r>
        <w:t xml:space="preserve"> </w:t>
      </w:r>
      <w:r>
        <w:t xml:space="preserve">change rather than by a logic error.</w:t>
      </w:r>
    </w:p>
    <w:bookmarkEnd w:id="11"/>
    <w:bookmarkStart w:id="12" w:name="Xee2fd35fa1c8c0d898a9522bc55b45bc165bc50"/>
    <w:p>
      <w:pPr>
        <w:pStyle w:val="Heading1"/>
      </w:pPr>
      <w:r>
        <w:t xml:space="preserve">4. Log of use, by episode</w:t>
      </w:r>
    </w:p>
    <w:p>
      <w:pPr>
        <w:pStyle w:val="FirstParagraph"/>
      </w:pPr>
      <w:r>
        <w:t xml:space="preserve">Each row records what the tool was asked for in substance, what was given to it,</w:t>
      </w:r>
      <w:r>
        <w:t xml:space="preserve"> </w:t>
      </w:r>
      <w:r>
        <w:t xml:space="preserve">and what happened to the output in the submitted work.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121"/>
        <w:gridCol w:w="1123"/>
        <w:gridCol w:w="1999"/>
        <w:gridCol w:w="1996"/>
        <w:gridCol w:w="2121"/>
      </w:tblGrid>
      <w:tr>
        <w:trPr>
          <w:tblHeader w:val="on"/>
        </w:trPr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Date</w:t>
            </w:r>
          </w:p>
        </w:tc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Tool</w:t>
            </w:r>
          </w:p>
        </w:tc>
        <w:tc>
          <w:tcPr>
            <w:tcW w:type="dxa" w:w="1999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Representative prompt, in substance</w:t>
            </w:r>
          </w:p>
        </w:tc>
        <w:tc>
          <w:tcPr>
            <w:tcW w:type="dxa" w:w="1996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Input provided</w:t>
            </w:r>
          </w:p>
        </w:tc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Outcome in submitted work</w:t>
            </w:r>
          </w:p>
        </w:tc>
      </w:tr>
      <w:tr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Mar 2026 (reconstructed)</w:t>
            </w:r>
          </w:p>
        </w:tc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GitHub Copilot</w:t>
            </w:r>
          </w:p>
        </w:tc>
        <w:tc>
          <w:tcPr>
            <w:tcW w:type="dxa" w:w="1999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Inline completion while writing parser and DataFrame code</w:t>
            </w:r>
          </w:p>
        </w:tc>
        <w:tc>
          <w:tcPr>
            <w:tcW w:type="dxa" w:w="1996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Open source files in the editor</w:t>
            </w:r>
          </w:p>
        </w:tc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b/>
                <w:bCs/>
                <w:sz w:val="21"/>
              </w:rPr>
              <w:t xml:space="preserve">Modified.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Line-level completions only. Logic was written, reviewed and tested by me.</w:t>
            </w:r>
          </w:p>
        </w:tc>
      </w:tr>
      <w:tr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Mar 2026 (reconstructed)</w:t>
            </w:r>
          </w:p>
        </w:tc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Claude</w:t>
            </w:r>
          </w:p>
        </w:tc>
        <w:tc>
          <w:tcPr>
            <w:tcW w:type="dxa" w:w="1999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Clarify the difference between Tukey interquartile fences and the modified z-score for right-skewed data, and which is defensible for response times</w:t>
            </w:r>
          </w:p>
        </w:tc>
        <w:tc>
          <w:tcPr>
            <w:tcW w:type="dxa" w:w="1996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Prose question, no code, no data</w:t>
            </w:r>
          </w:p>
        </w:tc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b/>
                <w:bCs/>
                <w:sz w:val="21"/>
              </w:rPr>
              <w:t xml:space="preserve">Accepted as background.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The method choice is mine and is unchanged. The statement in the first submission that the citations supporting it had been checked against their sources was wrong: two of the references carrying that argument could not be located when they were checked in September 2026, and both have been withdrawn. Appendix E of the report records the checks.</w:t>
            </w:r>
          </w:p>
        </w:tc>
      </w:tr>
      <w:tr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Mar to Apr 2026 (reconstructed)</w:t>
            </w:r>
          </w:p>
        </w:tc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Claude</w:t>
            </w:r>
          </w:p>
        </w:tc>
        <w:tc>
          <w:tcPr>
            <w:tcW w:type="dxa" w:w="1999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Why does timestamp parsing produce different magnitudes for epoch and ISO inputs, and what guard would catch it</w:t>
            </w:r>
          </w:p>
        </w:tc>
        <w:tc>
          <w:tcPr>
            <w:tcW w:type="dxa" w:w="1996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Parser code and an error trace</w:t>
            </w:r>
          </w:p>
        </w:tc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b/>
                <w:bCs/>
                <w:sz w:val="21"/>
              </w:rPr>
              <w:t xml:space="preserve">Modified.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The suggestion of a magnitude-based guard for epoch seconds was useful; I implemented, named and tested the behaviour myself.</w:t>
            </w:r>
          </w:p>
        </w:tc>
      </w:tr>
      <w:tr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Apr 2026 (reconstructed)</w:t>
            </w:r>
          </w:p>
        </w:tc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ChatGPT</w:t>
            </w:r>
          </w:p>
        </w:tc>
        <w:tc>
          <w:tcPr>
            <w:tcW w:type="dxa" w:w="1999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Review the structure of a labelled evaluation for label leakage</w:t>
            </w:r>
          </w:p>
        </w:tc>
        <w:tc>
          <w:tcPr>
            <w:tcW w:type="dxa" w:w="1996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Description of the evaluation join, no data</w:t>
            </w:r>
          </w:p>
        </w:tc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b/>
                <w:bCs/>
                <w:sz w:val="21"/>
              </w:rPr>
              <w:t xml:space="preserve">Accepted as a check.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Confirmed the detector must not see labels. The evaluation code and the strict one-to-one join were written by me.</w:t>
            </w:r>
          </w:p>
        </w:tc>
      </w:tr>
      <w:tr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6 Jul 2026</w:t>
            </w:r>
          </w:p>
        </w:tc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Claude</w:t>
            </w:r>
          </w:p>
        </w:tc>
        <w:tc>
          <w:tcPr>
            <w:tcW w:type="dxa" w:w="1999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Review</w:t>
            </w:r>
            <w:r>
              <w:rPr>
                <w:sz w:val="21"/>
              </w:rPr>
              <w:t xml:space="preserve"> </w:t>
            </w:r>
            <w:r>
              <w:rPr>
                <w:rStyle w:val="VerbatimChar"/>
                <w:sz w:val="21"/>
              </w:rPr>
              <w:t xml:space="preserve">src/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for defects and comment on whether the generator is realistic enough for the claims made</w:t>
            </w:r>
          </w:p>
        </w:tc>
        <w:tc>
          <w:tcPr>
            <w:tcW w:type="dxa" w:w="1996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Source tree and generator code</w:t>
            </w:r>
          </w:p>
        </w:tc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b/>
                <w:bCs/>
                <w:sz w:val="21"/>
              </w:rPr>
              <w:t xml:space="preserve">Accepted in part.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I fixed the confirmed defects, removed detector settings that mirrored the generator, and re-ran on held-out seeds. Comments on realism I judged speculative were rejected.</w:t>
            </w:r>
          </w:p>
        </w:tc>
      </w:tr>
      <w:tr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6 to 14 Jul 2026</w:t>
            </w:r>
          </w:p>
        </w:tc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Claude</w:t>
            </w:r>
          </w:p>
        </w:tc>
        <w:tc>
          <w:tcPr>
            <w:tcW w:type="dxa" w:w="1999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Drafting support for progress documentation; run clean-environment checks and report what breaks</w:t>
            </w:r>
          </w:p>
        </w:tc>
        <w:tc>
          <w:tcPr>
            <w:tcW w:type="dxa" w:w="1996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Documentation drafts, repository</w:t>
            </w:r>
          </w:p>
        </w:tc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b/>
                <w:bCs/>
                <w:sz w:val="21"/>
              </w:rPr>
              <w:t xml:space="preserve">Modified.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All draft text was rewritten by me. The clean-run checks surfaced two real defects, described in section 4 of the report, which I fixed and covered with tests.</w:t>
            </w:r>
          </w:p>
        </w:tc>
      </w:tr>
      <w:tr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19 Aug 2026</w:t>
            </w:r>
          </w:p>
        </w:tc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Claude</w:t>
            </w:r>
          </w:p>
        </w:tc>
        <w:tc>
          <w:tcPr>
            <w:tcW w:type="dxa" w:w="1999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Check every figure quoted in the documentation against the file it claims to come from, and check that tags and links resolve</w:t>
            </w:r>
          </w:p>
        </w:tc>
        <w:tc>
          <w:tcPr>
            <w:tcW w:type="dxa" w:w="1996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Documentation and</w:t>
            </w:r>
            <w:r>
              <w:rPr>
                <w:sz w:val="21"/>
              </w:rPr>
              <w:t xml:space="preserve"> </w:t>
            </w:r>
            <w:r>
              <w:rPr>
                <w:rStyle w:val="VerbatimChar"/>
                <w:sz w:val="21"/>
              </w:rPr>
              <w:t xml:space="preserve">output/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files</w:t>
            </w:r>
          </w:p>
        </w:tc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b/>
                <w:bCs/>
                <w:sz w:val="21"/>
              </w:rPr>
              <w:t xml:space="preserve">Accepted after verification.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Corrections were applied only where I confirmed the discrepancy against the recorded output myself.</w:t>
            </w:r>
          </w:p>
        </w:tc>
      </w:tr>
      <w:tr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19 to 25 Aug 2026</w:t>
            </w:r>
          </w:p>
        </w:tc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Claude</w:t>
            </w:r>
          </w:p>
        </w:tc>
        <w:tc>
          <w:tcPr>
            <w:tcW w:type="dxa" w:w="1999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Identify what the validation documentation is missing relative to the proposal commitments</w:t>
            </w:r>
          </w:p>
        </w:tc>
        <w:tc>
          <w:tcPr>
            <w:tcW w:type="dxa" w:w="1996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Validation documentation,</w:t>
            </w:r>
            <w:r>
              <w:rPr>
                <w:sz w:val="21"/>
              </w:rPr>
              <w:t xml:space="preserve"> </w:t>
            </w:r>
            <w:r>
              <w:rPr>
                <w:rStyle w:val="VerbatimChar"/>
                <w:sz w:val="21"/>
              </w:rPr>
              <w:t xml:space="preserve">output/</w:t>
            </w:r>
          </w:p>
        </w:tc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b/>
                <w:bCs/>
                <w:sz w:val="21"/>
              </w:rPr>
              <w:t xml:space="preserve">Accepted in part.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This identified the absence of aggregate confusion counts, baseline figures, effect sizes and a per-component breakdown. Every value added was recomputed from existing project outputs by scripts in</w:t>
            </w:r>
            <w:r>
              <w:rPr>
                <w:sz w:val="21"/>
              </w:rPr>
              <w:t xml:space="preserve"> </w:t>
            </w:r>
            <w:r>
              <w:rPr>
                <w:rStyle w:val="VerbatimChar"/>
                <w:sz w:val="21"/>
              </w:rPr>
              <w:t xml:space="preserve">scripts/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and checked by me.</w:t>
            </w:r>
          </w:p>
        </w:tc>
      </w:tr>
      <w:tr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19 to 25 Aug 2026</w:t>
            </w:r>
          </w:p>
        </w:tc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Claude</w:t>
            </w:r>
          </w:p>
        </w:tc>
        <w:tc>
          <w:tcPr>
            <w:tcW w:type="dxa" w:w="1999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Bounded diagnostic on the fabricated false negatives: is there a feature that separates them</w:t>
            </w:r>
          </w:p>
        </w:tc>
        <w:tc>
          <w:tcPr>
            <w:tcW w:type="dxa" w:w="1996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Development seeds 11 and 42 only, synthetic</w:t>
            </w:r>
          </w:p>
        </w:tc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b/>
                <w:bCs/>
                <w:sz w:val="21"/>
              </w:rPr>
              <w:t xml:space="preserve">Accepted as diagnosis, rejected as a change.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The finding that entropy separates the missed cases completely is reported in section 6.6 of the report. The threshold correction it motivated was developed, evaluated once, and deliberately not merged; it remains on a separate branch. No threshold on</w:t>
            </w:r>
            <w:r>
              <w:rPr>
                <w:sz w:val="21"/>
              </w:rPr>
              <w:t xml:space="preserve"> </w:t>
            </w:r>
            <w:r>
              <w:rPr>
                <w:rStyle w:val="VerbatimChar"/>
                <w:sz w:val="21"/>
              </w:rPr>
              <w:t xml:space="preserve">main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was changed.</w:t>
            </w:r>
          </w:p>
        </w:tc>
      </w:tr>
      <w:tr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25 Aug to 5 Sep 2026</w:t>
            </w:r>
          </w:p>
        </w:tc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Claude</w:t>
            </w:r>
          </w:p>
        </w:tc>
        <w:tc>
          <w:tcPr>
            <w:tcW w:type="dxa" w:w="1999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Locate stale or contradictory wording across the report, validation document and presentation; assemble front matter, figures and appendices</w:t>
            </w:r>
          </w:p>
        </w:tc>
        <w:tc>
          <w:tcPr>
            <w:tcW w:type="dxa" w:w="1996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Documentation and</w:t>
            </w:r>
            <w:r>
              <w:rPr>
                <w:sz w:val="21"/>
              </w:rPr>
              <w:t xml:space="preserve"> </w:t>
            </w:r>
            <w:r>
              <w:rPr>
                <w:rStyle w:val="VerbatimChar"/>
                <w:sz w:val="21"/>
              </w:rPr>
              <w:t xml:space="preserve">output/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files</w:t>
            </w:r>
          </w:p>
        </w:tc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b/>
                <w:bCs/>
                <w:sz w:val="21"/>
              </w:rPr>
              <w:t xml:space="preserve">Modified.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Corrections were made against recorded outputs. The report figures are generated by</w:t>
            </w:r>
            <w:r>
              <w:rPr>
                <w:sz w:val="21"/>
              </w:rPr>
              <w:t xml:space="preserve"> </w:t>
            </w:r>
            <w:r>
              <w:rPr>
                <w:rStyle w:val="VerbatimChar"/>
                <w:sz w:val="21"/>
              </w:rPr>
              <w:t xml:space="preserve">scripts/build_report_figures.py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from values transcribed from recorded output files, and I checked each plotted value against its source.</w:t>
            </w:r>
          </w:p>
        </w:tc>
      </w:tr>
      <w:tr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10 to 16 Sep 2026</w:t>
            </w:r>
          </w:p>
        </w:tc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Claude Code (Claude Opus 5)</w:t>
            </w:r>
          </w:p>
        </w:tc>
        <w:tc>
          <w:tcPr>
            <w:tcW w:type="dxa" w:w="1999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Check every reference against its primary source, obtain and read the open-access full texts, and rebuild section 2 from them; draft the corrections the supervisor's review required</w:t>
            </w:r>
          </w:p>
        </w:tc>
        <w:tc>
          <w:tcPr>
            <w:tcW w:type="dxa" w:w="1996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The repository, the report, and public sources fetched from the web</w:t>
            </w:r>
          </w:p>
        </w:tc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b/>
                <w:bCs/>
                <w:sz w:val="21"/>
              </w:rPr>
              <w:t xml:space="preserve">Modified.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The tool carried out the bibliographic checks, read the sources that were obtainable, and drafted the rebuilt literature review, the comparison in section 7, appendices E and F and the reflection in section 9.1. Appendix E of the report records how far each source was verified; no claim in section 2 rests on a source listed there as abstract-level or not consulted. The drafted prose is mine to read, correct and endorse before submission.</w:t>
            </w:r>
          </w:p>
        </w:tc>
      </w:tr>
      <w:tr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10 to 16 Sep 2026</w:t>
            </w:r>
          </w:p>
        </w:tc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Claude Code (Claude Opus 5)</w:t>
            </w:r>
          </w:p>
        </w:tc>
        <w:tc>
          <w:tcPr>
            <w:tcW w:type="dxa" w:w="1999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Make the fence multiplier configurable, add the regression tests the review found missing, and build the baseline, platform parity and memory analyses it asked for</w:t>
            </w:r>
          </w:p>
        </w:tc>
        <w:tc>
          <w:tcPr>
            <w:tcW w:type="dxa" w:w="1996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The repository</w:t>
            </w:r>
          </w:p>
        </w:tc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b/>
                <w:bCs/>
                <w:sz w:val="21"/>
              </w:rPr>
              <w:t xml:space="preserve">Accepted after verification.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Every change is covered by a test or reproduces a recorded output: the suite is now forty-two tests, the baseline script reproduces Table 3 of the report exactly, the platform parity check is anchored to a SurveyCTO rendering that is byte-identical to the file the robustness round evaluated, and the whole of Appendix D was run in a clean environment with every recorded number reproducing.</w:t>
            </w:r>
          </w:p>
        </w:tc>
      </w:tr>
    </w:tbl>
    <w:bookmarkEnd w:id="12"/>
    <w:bookmarkStart w:id="13" w:name="X37cb439bef751226cf24ecf917f5fd195e0ac74"/>
    <w:p>
      <w:pPr>
        <w:pStyle w:val="Heading1"/>
      </w:pPr>
      <w:r>
        <w:t xml:space="preserve">5. The decisions that mattered</w:t>
      </w:r>
    </w:p>
    <w:p>
      <w:pPr>
        <w:pStyle w:val="FirstParagraph"/>
      </w:pPr>
      <w:r>
        <w:t xml:space="preserve">Three episodes changed the submitted work in ways worth stating explicitly</w:t>
      </w:r>
      <w:r>
        <w:t xml:space="preserve"> </w:t>
      </w:r>
      <w:r>
        <w:t xml:space="preserve">rather than leaving inside a table.</w:t>
      </w:r>
    </w:p>
    <w:p>
      <w:pPr>
        <w:pStyle w:val="BodyText"/>
      </w:pPr>
      <w:r>
        <w:rPr>
          <w:b/>
          <w:bCs/>
        </w:rPr>
        <w:t xml:space="preserve">Accepted.</w:t>
      </w:r>
      <w:r>
        <w:t xml:space="preserve"> </w:t>
      </w:r>
      <w:r>
        <w:t xml:space="preserve">The clean-environment checks in July 2026 surfaced two defects</w:t>
      </w:r>
      <w:r>
        <w:t xml:space="preserve"> </w:t>
      </w:r>
      <w:r>
        <w:t xml:space="preserve">that would otherwise have reached submission: the ISO 8601 to epoch conversion</w:t>
      </w:r>
      <w:r>
        <w:t xml:space="preserve"> </w:t>
      </w:r>
      <w:r>
        <w:t xml:space="preserve">assumed the nanosecond datetime resolution of earlier pandas versions and</w:t>
      </w:r>
      <w:r>
        <w:t xml:space="preserve"> </w:t>
      </w:r>
      <w:r>
        <w:t xml:space="preserve">silently produced values a thousand times too small under pandas 3, and the</w:t>
      </w:r>
      <w:r>
        <w:t xml:space="preserve"> </w:t>
      </w:r>
      <w:r>
        <w:t xml:space="preserve">question-level response time was being computed as a first-to-last event span</w:t>
      </w:r>
      <w:r>
        <w:t xml:space="preserve"> </w:t>
      </w:r>
      <w:r>
        <w:t xml:space="preserve">rather than as the documented sum of event durations. I accepted the finding,</w:t>
      </w:r>
      <w:r>
        <w:t xml:space="preserve"> </w:t>
      </w:r>
      <w:r>
        <w:t xml:space="preserve">wrote the fixes and the tests, and both are covered by the suite.</w:t>
      </w:r>
    </w:p>
    <w:p>
      <w:pPr>
        <w:pStyle w:val="BodyText"/>
      </w:pPr>
      <w:r>
        <w:rPr>
          <w:b/>
          <w:bCs/>
        </w:rPr>
        <w:t xml:space="preserve">Modified.</w:t>
      </w:r>
      <w:r>
        <w:t xml:space="preserve"> </w:t>
      </w:r>
      <w:r>
        <w:t xml:space="preserve">The review of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in July 2026 identified a coupling between</w:t>
      </w:r>
      <w:r>
        <w:t xml:space="preserve"> </w:t>
      </w:r>
      <w:r>
        <w:t xml:space="preserve">two detector flags that matched the behaviour of an earlier generator. I</w:t>
      </w:r>
      <w:r>
        <w:t xml:space="preserve"> </w:t>
      </w:r>
      <w:r>
        <w:t xml:space="preserve">accepted that the coupling was a form of overfitting and removed it, but I</w:t>
      </w:r>
      <w:r>
        <w:t xml:space="preserve"> </w:t>
      </w:r>
      <w:r>
        <w:t xml:space="preserve">generalised the affected rules myself rather than adopting the specific</w:t>
      </w:r>
      <w:r>
        <w:t xml:space="preserve"> </w:t>
      </w:r>
      <w:r>
        <w:t xml:space="preserve">replacement suggested, and I re-evaluated on held-out seeds rather than on the</w:t>
      </w:r>
      <w:r>
        <w:t xml:space="preserve"> </w:t>
      </w:r>
      <w:r>
        <w:t xml:space="preserve">data the coupling had been fitted to.</w:t>
      </w:r>
    </w:p>
    <w:p>
      <w:pPr>
        <w:pStyle w:val="BodyText"/>
      </w:pPr>
      <w:r>
        <w:rPr>
          <w:b/>
          <w:bCs/>
        </w:rPr>
        <w:t xml:space="preserve">Rejected.</w:t>
      </w:r>
      <w:r>
        <w:t xml:space="preserve"> </w:t>
      </w:r>
      <w:r>
        <w:t xml:space="preserve">The entropy threshold correction motivated by the August</w:t>
      </w:r>
      <w:r>
        <w:t xml:space="preserve"> </w:t>
      </w:r>
      <w:r>
        <w:t xml:space="preserve">diagnostic raises fabricated per-class recall from 0.70 to 1.00 and drops the</w:t>
      </w:r>
      <w:r>
        <w:t xml:space="preserve"> </w:t>
      </w:r>
      <w:r>
        <w:t xml:space="preserve">lowest precision anywhere in the round from 0.9570 to 0.8333. I developed it,</w:t>
      </w:r>
      <w:r>
        <w:t xml:space="preserve"> </w:t>
      </w:r>
      <w:r>
        <w:t xml:space="preserve">froze it, evaluated it once, and decided not to merge it, for the reasons argued</w:t>
      </w:r>
      <w:r>
        <w:t xml:space="preserve"> </w:t>
      </w:r>
      <w:r>
        <w:t xml:space="preserve">in section 7 of the report: the cost concentrates at low prevalence, which is</w:t>
      </w:r>
      <w:r>
        <w:t xml:space="preserve"> </w:t>
      </w:r>
      <w:r>
        <w:t xml:space="preserve">the condition that most resembles deployment. It is unmerged on the branch</w:t>
      </w:r>
      <w:r>
        <w:t xml:space="preserve"> </w:t>
      </w:r>
      <w:r>
        <w:rPr>
          <w:rStyle w:val="VerbatimChar"/>
        </w:rPr>
        <w:t xml:space="preserve">fix/entropy-threshold-relative</w:t>
      </w:r>
      <w:r>
        <w:t xml:space="preserve">. Every figure in the report describes the</w:t>
      </w:r>
      <w:r>
        <w:t xml:space="preserve"> </w:t>
      </w:r>
      <w:r>
        <w:t xml:space="preserve">detector without it.</w:t>
      </w:r>
    </w:p>
    <w:p>
      <w:pPr>
        <w:pStyle w:val="BodyText"/>
      </w:pPr>
      <w:r>
        <w:rPr>
          <w:b/>
          <w:bCs/>
        </w:rPr>
        <w:t xml:space="preserve">Disclosed.</w:t>
      </w:r>
      <w:r>
        <w:t xml:space="preserve"> </w:t>
      </w:r>
      <w:r>
        <w:t xml:space="preserve">The revision of September 2026 used AI assistance more</w:t>
      </w:r>
      <w:r>
        <w:t xml:space="preserve"> </w:t>
      </w:r>
      <w:r>
        <w:t xml:space="preserve">extensively than any earlier episode, and the extent is stated here rather</w:t>
      </w:r>
      <w:r>
        <w:t xml:space="preserve"> </w:t>
      </w:r>
      <w:r>
        <w:t xml:space="preserve">than left to the table. The tool checked every reference against its primary</w:t>
      </w:r>
      <w:r>
        <w:t xml:space="preserve"> </w:t>
      </w:r>
      <w:r>
        <w:t xml:space="preserve">source, obtained and read the sources that were publicly available, rebuilt</w:t>
      </w:r>
      <w:r>
        <w:t xml:space="preserve"> </w:t>
      </w:r>
      <w:r>
        <w:t xml:space="preserve">section 2 of the report from them, drafted the comparison in section 7,</w:t>
      </w:r>
      <w:r>
        <w:t xml:space="preserve"> </w:t>
      </w:r>
      <w:r>
        <w:t xml:space="preserve">appendices E and F and the reflection in section 9.1, wrote the three analysis</w:t>
      </w:r>
      <w:r>
        <w:t xml:space="preserve"> </w:t>
      </w:r>
      <w:r>
        <w:t xml:space="preserve">scripts and the regression tests added in section 4, and applied the</w:t>
      </w:r>
      <w:r>
        <w:t xml:space="preserve"> </w:t>
      </w:r>
      <w:r>
        <w:t xml:space="preserve">corrections the supervisor's review listed. Two boundaries were held</w:t>
      </w:r>
      <w:r>
        <w:t xml:space="preserve"> </w:t>
      </w:r>
      <w:r>
        <w:t xml:space="preserve">throughout. No claim was written about a source that had not been read: where</w:t>
      </w:r>
      <w:r>
        <w:t xml:space="preserve"> </w:t>
      </w:r>
      <w:r>
        <w:t xml:space="preserve">a source could not be obtained, Appendix E says so and the claim is held at</w:t>
      </w:r>
      <w:r>
        <w:t xml:space="preserve"> </w:t>
      </w:r>
      <w:r>
        <w:t xml:space="preserve">the level the abstract or publisher record supports. And no number was taken</w:t>
      </w:r>
      <w:r>
        <w:t xml:space="preserve"> </w:t>
      </w:r>
      <w:r>
        <w:t xml:space="preserve">on trust: every figure in the new tables is reproduced from a file under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, and the whole of Appendix D was re-run in a clean environment to</w:t>
      </w:r>
      <w:r>
        <w:t xml:space="preserve"> </w:t>
      </w:r>
      <w:r>
        <w:t xml:space="preserve">confirm it. What remains mine is the obligation to read the drafted prose,</w:t>
      </w:r>
      <w:r>
        <w:t xml:space="preserve"> </w:t>
      </w:r>
      <w:r>
        <w:t xml:space="preserve">confirm that it says what I am prepared to defend, and obtain the six sources</w:t>
      </w:r>
      <w:r>
        <w:t xml:space="preserve"> </w:t>
      </w:r>
      <w:r>
        <w:t xml:space="preserve">still listed in Appendix E as unread.</w:t>
      </w:r>
    </w:p>
    <w:p>
      <w:pPr>
        <w:pStyle w:val="BodyText"/>
      </w:pPr>
      <w:r>
        <w:rPr>
          <w:b/>
          <w:bCs/>
        </w:rPr>
        <w:t xml:space="preserve">A note on the entropy branch.</w:t>
      </w:r>
      <w:r>
        <w:t xml:space="preserve"> </w:t>
      </w:r>
      <w:r>
        <w:t xml:space="preserve">The branch holding the entropy fence</w:t>
      </w:r>
      <w:r>
        <w:t xml:space="preserve"> </w:t>
      </w:r>
      <w:r>
        <w:t xml:space="preserve">correction,</w:t>
      </w:r>
      <w:r>
        <w:t xml:space="preserve"> </w:t>
      </w:r>
      <w:r>
        <w:rPr>
          <w:rStyle w:val="VerbatimChar"/>
        </w:rPr>
        <w:t xml:space="preserve">fix/entropy-threshold-relative</w:t>
      </w:r>
      <w:r>
        <w:t xml:space="preserve">, was created from a rewritten</w:t>
      </w:r>
      <w:r>
        <w:t xml:space="preserve"> </w:t>
      </w:r>
      <w:r>
        <w:t xml:space="preserve">history and shares no commit 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so it cannot be merged by fast</w:t>
      </w:r>
      <w:r>
        <w:t xml:space="preserve"> </w:t>
      </w:r>
      <w:r>
        <w:t xml:space="preserve">forward and is preserved as a separate line of development. Its code comment</w:t>
      </w:r>
      <w:r>
        <w:t xml:space="preserve"> </w:t>
      </w:r>
      <w:r>
        <w:t xml:space="preserve">claimed that the correction reduces to Tukey's fence for a symmetric</w:t>
      </w:r>
      <w:r>
        <w:t xml:space="preserve"> </w:t>
      </w:r>
      <w:r>
        <w:t xml:space="preserve">distribution; that is wrong, for the reason given in section 7 of the report,</w:t>
      </w:r>
      <w:r>
        <w:t xml:space="preserve"> </w:t>
      </w:r>
      <w:r>
        <w:t xml:space="preserve">and the comment has been corrected.</w:t>
      </w:r>
    </w:p>
    <w:bookmarkEnd w:id="13"/>
    <w:bookmarkStart w:id="14" w:name="X3d000b5d521f197acf5a00f474342b34dc38515"/>
    <w:p>
      <w:pPr>
        <w:pStyle w:val="Heading1"/>
      </w:pPr>
      <w:r>
        <w:t xml:space="preserve">6. Tests attached to significant outputs</w:t>
      </w:r>
    </w:p>
    <w:p>
      <w:pPr>
        <w:pStyle w:val="FirstParagraph"/>
      </w:pPr>
      <w:r>
        <w:t xml:space="preserve">No code-level suggestion entered the submitted work without a test or a recorded</w:t>
      </w:r>
      <w:r>
        <w:t xml:space="preserve"> </w:t>
      </w:r>
      <w:r>
        <w:t xml:space="preserve">output check behind it. The five defects described in section 4 of the report</w:t>
      </w:r>
      <w:r>
        <w:t xml:space="preserve"> </w:t>
      </w:r>
      <w:r>
        <w:t xml:space="preserve">are each covered by a test in the suite of forty-three, which passes in full</w:t>
      </w:r>
      <w:r>
        <w:t xml:space="preserve"> </w:t>
      </w:r>
      <w:r>
        <w:t xml:space="preserve">on Python 3.14.0. The first submission made that claim of a suite of thirty-</w:t>
      </w:r>
      <w:r>
        <w:t xml:space="preserve"> </w:t>
      </w:r>
      <w:r>
        <w:t xml:space="preserve">seven, and it was wrong: two of the five fixes, the ODK placeholder and the</w:t>
      </w:r>
      <w:r>
        <w:t xml:space="preserve"> </w:t>
      </w:r>
      <w:r>
        <w:t xml:space="preserve">exclusion of administrative events from section statistics, had no test at</w:t>
      </w:r>
      <w:r>
        <w:t xml:space="preserve"> </w:t>
      </w:r>
      <w:r>
        <w:t xml:space="preserve">all, and a third covered the preserved integrity flag only indirectly. The</w:t>
      </w:r>
      <w:r>
        <w:t xml:space="preserve"> </w:t>
      </w:r>
      <w:r>
        <w:t xml:space="preserve">three tests added in September, named in section 4 of the report, make the</w:t>
      </w:r>
      <w:r>
        <w:t xml:space="preserve"> </w:t>
      </w:r>
      <w:r>
        <w:t xml:space="preserve">statement true. Every quantitative claim in the report resolves</w:t>
      </w:r>
      <w:r>
        <w:t xml:space="preserve"> </w:t>
      </w:r>
      <w:r>
        <w:t xml:space="preserve">to a file under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, and the commands that regenerate those files are in</w:t>
      </w:r>
      <w:r>
        <w:t xml:space="preserve"> </w:t>
      </w:r>
      <w:r>
        <w:t xml:space="preserve">Appendix D of the report. The feature coverage table is generated by</w:t>
      </w:r>
      <w:r>
        <w:t xml:space="preserve"> </w:t>
      </w:r>
      <w:r>
        <w:rPr>
          <w:rStyle w:val="VerbatimChar"/>
        </w:rPr>
        <w:t xml:space="preserve">scripts/build_feature_coverage.py</w:t>
      </w:r>
      <w:r>
        <w:t xml:space="preserve"> </w:t>
      </w:r>
      <w:r>
        <w:t xml:space="preserve">rather than maintained by hand, so it cannot</w:t>
      </w:r>
      <w:r>
        <w:t xml:space="preserve"> </w:t>
      </w:r>
      <w:r>
        <w:t xml:space="preserve">drift from the code. The component breakdown is recomputed from recorded</w:t>
      </w:r>
      <w:r>
        <w:t xml:space="preserve"> </w:t>
      </w:r>
      <w:r>
        <w:t xml:space="preserve">predictions rather than from a fresh run, so it describes exactly the runs</w:t>
      </w:r>
      <w:r>
        <w:t xml:space="preserve"> </w:t>
      </w:r>
      <w:r>
        <w:t xml:space="preserve">reported elsewhere.</w:t>
      </w:r>
    </w:p>
    <w:bookmarkEnd w:id="14"/>
    <w:bookmarkStart w:id="15" w:name="X02a9b49722d48ea4bbf4252e5cf254f10ac76fd"/>
    <w:p>
      <w:pPr>
        <w:pStyle w:val="Heading1"/>
      </w:pPr>
      <w:r>
        <w:t xml:space="preserve">7. Limitations of this disclosure</w:t>
      </w:r>
    </w:p>
    <w:p>
      <w:pPr>
        <w:pStyle w:val="FirstParagraph"/>
      </w:pPr>
      <w:r>
        <w:t xml:space="preserve">Three limitations should be stated. First, entries before 6 July 2026 are</w:t>
      </w:r>
      <w:r>
        <w:t xml:space="preserve"> </w:t>
      </w:r>
      <w:r>
        <w:t xml:space="preserve">reconstructed from the development history rather than recorded at the time, so</w:t>
      </w:r>
      <w:r>
        <w:t xml:space="preserve"> </w:t>
      </w:r>
      <w:r>
        <w:t xml:space="preserve">their dates are approximate and their prompt summaries are reconstructions of</w:t>
      </w:r>
      <w:r>
        <w:t xml:space="preserve"> </w:t>
      </w:r>
      <w:r>
        <w:t xml:space="preserve">substance rather than transcripts. Second, hosted assistant products do not</w:t>
      </w:r>
      <w:r>
        <w:t xml:space="preserve"> </w:t>
      </w:r>
      <w:r>
        <w:t xml:space="preserve">expose a stable version identifier, so the tool versions for those entries are</w:t>
      </w:r>
      <w:r>
        <w:t xml:space="preserve"> </w:t>
      </w:r>
      <w:r>
        <w:t xml:space="preserve">not recoverable and this log says so rather than inventing a number. Third, a</w:t>
      </w:r>
      <w:r>
        <w:t xml:space="preserve"> </w:t>
      </w:r>
      <w:r>
        <w:t xml:space="preserve">log of this kind records episodes of use rather than every keystroke; inline</w:t>
      </w:r>
      <w:r>
        <w:t xml:space="preserve"> </w:t>
      </w:r>
      <w:r>
        <w:t xml:space="preserve">editor completions in particular are continuous and were not individually</w:t>
      </w:r>
      <w:r>
        <w:t xml:space="preserve"> </w:t>
      </w:r>
      <w:r>
        <w:t xml:space="preserve">recorded, and section 4 characterises them as a class rather than enumerating</w:t>
      </w:r>
      <w:r>
        <w:t xml:space="preserve"> </w:t>
      </w:r>
      <w:r>
        <w:t xml:space="preserve">them. Where the record is uncertain I have preferred to say so.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20" w:before="240" w:line="240" w:lineRule="auto"/>
      <w:contextualSpacing/>
      <w:jc w:val="center"/>
    </w:pPr>
    <w:rPr>
      <w:rFonts w:ascii="Times New Roman" w:cs="Times New Roman" w:hAnsi="Times New Roman"/>
      <w:b/>
      <w:bCs/>
      <w:color w:val="000000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hAnsi="Times New Roman"/>
      <w:b/>
      <w:bCs/>
      <w:color w:val="000000"/>
      <w:sz w:val="32"/>
      <w:szCs w:val="32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360" w:line="240" w:lineRule="auto"/>
      <w:jc w:val="left"/>
      <w:outlineLvl w:val="0"/>
    </w:pPr>
    <w:rPr>
      <w:rFonts w:ascii="Times New Roman" w:cs="Times New Roman" w:hAnsi="Times New Roman"/>
      <w:b/>
      <w:bCs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after="80" w:before="240" w:line="240" w:lineRule="auto"/>
      <w:jc w:val="left"/>
      <w:outlineLvl w:val="1"/>
    </w:pPr>
    <w:rPr>
      <w:rFonts w:ascii="Times New Roman" w:cs="Times New Roman" w:hAnsi="Times New Roman"/>
      <w:b/>
      <w:bCs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after="60" w:before="200" w:line="240" w:lineRule="auto"/>
      <w:jc w:val="left"/>
      <w:outlineLvl w:val="2"/>
    </w:pPr>
    <w:rPr>
      <w:rFonts w:ascii="Times New Roman" w:cs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hAnsi="Times New Roman"/>
      <w:b/>
      <w:bCs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A10FD9"/>
    <w:rPr>
      <w:rFonts w:ascii="Times New Roman" w:cs="Times New Roman" w:hAnsi="Times New Roman"/>
      <w:b/>
      <w:bCs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A10FD9"/>
    <w:rPr>
      <w:rFonts w:ascii="Times New Roman" w:cs="Times New Roman" w:hAnsi="Times New Roman"/>
      <w:b/>
      <w:bCs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val="single" w:sz="8" w:space="0" w:color="auto"/>
        <w:bottom w:val="single" w:sz="8" w:space="0" w:color="auto"/>
        <w:insideH w:val="single" w:sz="2" w:space="0" w:color="BFBFBF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 w:sz="8" w:space="0" w:color="auto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Usage Log</dc:title>
  <dc:creator/>
  <cp:keywords/>
  <dcterms:created xsi:type="dcterms:W3CDTF">2026-09-16T16:38:02Z</dcterms:created>
  <dcterms:modified xsi:type="dcterms:W3CDTF">2026-09-16T16:38:02Z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