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0"/>
      </w:pPr>
      <w:r>
        <w:rPr>
          <w:rFonts w:ascii="Arial" w:cs="Arial" w:eastAsia="Arial" w:hAnsi="Arial"/>
        </w:rPr>
        <w:t xml:space="preserve"/>
      </w:r>
    </w:p>
    <w:p>
      <w:pPr>
        <w:spacing w:after="120"/>
        <w:jc w:val="center"/>
      </w:pPr>
      <w:r>
        <w:rPr>
          <w:rFonts w:ascii="Arial" w:cs="Arial" w:eastAsia="Arial" w:hAnsi="Arial"/>
          <w:b/>
          <w:bCs/>
          <w:color w:val="1F4E79"/>
          <w:sz w:val="36"/>
          <w:szCs w:val="36"/>
        </w:rPr>
        <w:t xml:space="preserve">PARADATA FORMAT GUIDE</w:t>
      </w:r>
    </w:p>
    <w:p>
      <w:pPr>
        <w:spacing w:after="80"/>
        <w:jc w:val="center"/>
      </w:pPr>
      <w:r>
        <w:rPr>
          <w:rFonts w:ascii="Arial" w:cs="Arial" w:eastAsia="Arial" w:hAnsi="Arial"/>
          <w:b/>
          <w:bCs/>
          <w:color w:val="2E75B6"/>
          <w:sz w:val="24"/>
          <w:szCs w:val="24"/>
        </w:rPr>
        <w:t xml:space="preserve">SurveyCTO and ODK Audit Log Structures,</w:t>
      </w:r>
    </w:p>
    <w:p>
      <w:pPr>
        <w:spacing w:after="480"/>
        <w:jc w:val="center"/>
      </w:pPr>
      <w:r>
        <w:rPr>
          <w:rFonts w:ascii="Arial" w:cs="Arial" w:eastAsia="Arial" w:hAnsi="Arial"/>
          <w:b/>
          <w:bCs/>
          <w:color w:val="2E75B6"/>
          <w:sz w:val="24"/>
          <w:szCs w:val="24"/>
        </w:rPr>
        <w:t xml:space="preserve">Field Conventions, and Parsing Strategies</w:t>
      </w:r>
    </w:p>
    <w:p>
      <w:pPr>
        <w:pBdr>
          <w:bottom w:val="single" w:color="2E75B6" w:sz="6" w:space="1"/>
        </w:pBdr>
        <w:spacing w:after="480"/>
      </w:pPr>
      <w:r>
        <w:rPr>
          <w:sz w:val="1"/>
          <w:szCs w:val="1"/>
        </w:rPr>
        <w:t xml:space="preserve"/>
      </w:r>
    </w:p>
    <w:p>
      <w:pPr>
        <w:spacing w:after="120"/>
        <w:jc w:val="center"/>
      </w:pPr>
      <w:r>
        <w:rPr>
          <w:rFonts w:ascii="Arial" w:cs="Arial" w:eastAsia="Arial" w:hAnsi="Arial"/>
          <w:sz w:val="22"/>
          <w:szCs w:val="22"/>
        </w:rPr>
        <w:t xml:space="preserve">Project: Automated Extraction and Analysis of Timing-Based Paradata Features for Survey Quality Assurance</w:t>
      </w:r>
    </w:p>
    <w:p>
      <w:pPr>
        <w:spacing w:after="80"/>
        <w:jc w:val="center"/>
      </w:pPr>
      <w:r>
        <w:rPr>
          <w:rFonts w:ascii="Arial" w:cs="Arial" w:eastAsia="Arial" w:hAnsi="Arial"/>
          <w:color w:val="888888"/>
          <w:sz w:val="20"/>
          <w:szCs w:val="20"/>
        </w:rPr>
        <w:t xml:space="preserve">Samuel Kaoma  •  2022016530  •  CSC 4004  •  UNZA</w:t>
      </w:r>
    </w:p>
    <w:p>
      <w:pPr>
        <w:spacing w:after="80"/>
        <w:jc w:val="center"/>
      </w:pPr>
      <w:r>
        <w:rPr>
          <w:rFonts w:ascii="Arial" w:cs="Arial" w:eastAsia="Arial" w:hAnsi="Arial"/>
          <w:color w:val="888888"/>
          <w:sz w:val="20"/>
          <w:szCs w:val="20"/>
        </w:rPr>
        <w:t xml:space="preserve">Supervisor: Mr. Mofya Phiri</w:t>
      </w:r>
    </w:p>
    <w:p>
      <w:pPr>
        <w:jc w:val="center"/>
      </w:pPr>
      <w:r>
        <w:rPr>
          <w:rFonts w:ascii="Arial" w:cs="Arial" w:eastAsia="Arial" w:hAnsi="Arial"/>
          <w:color w:val="888888"/>
          <w:sz w:val="20"/>
          <w:szCs w:val="20"/>
        </w:rPr>
        <w:t xml:space="preserve">2026</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1. Purpose and Scope</w:t>
      </w:r>
    </w:p>
    <w:p>
      <w:pPr>
        <w:spacing w:before="0" w:after="160" w:line="360" w:lineRule="auto"/>
        <w:jc w:val="both"/>
      </w:pPr>
      <w:r>
        <w:rPr>
          <w:rFonts w:ascii="Arial" w:cs="Arial" w:eastAsia="Arial" w:hAnsi="Arial"/>
          <w:sz w:val="22"/>
          <w:szCs w:val="22"/>
        </w:rPr>
        <w:t xml:space="preserve">This document provides a comprehensive reference for the audit log formats generated by SurveyCTO and Open Data Kit (ODK), the two digital data collection platforms supported by the paradata feature extraction pipeline developed in this project. It documents the exact column structures, timestamp formats, event taxonomies, and field naming conventions used by each platform, and defines the Common Intermediate Representation (CIR) into which both formats are normalized before feature extraction.</w:t>
      </w:r>
    </w:p>
    <w:p>
      <w:pPr>
        <w:spacing w:before="0" w:after="160" w:line="360" w:lineRule="auto"/>
        <w:jc w:val="both"/>
      </w:pPr>
      <w:r>
        <w:rPr>
          <w:rFonts w:ascii="Arial" w:cs="Arial" w:eastAsia="Arial" w:hAnsi="Arial"/>
          <w:sz w:val="22"/>
          <w:szCs w:val="22"/>
        </w:rPr>
        <w:t xml:space="preserve">This guide serves two audiences: (1) developers extending the pipeline to support additional platforms, who need to understand the CIR schema and transformation logic; and (2) survey researchers seeking to work directly with raw paradata, who need a clear reference for what each log column contains and how to interpret it.</w:t>
      </w:r>
    </w:p>
    <w:p>
      <w:pPr>
        <w:spacing w:before="0"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CCCCCC" w:sz="4"/>
              <w:bottom w:val="single" w:color="CCCCCC" w:sz="4"/>
              <w:right w:val="single" w:color="CCCCCC" w:sz="4"/>
            </w:tcBorders>
            <w:shd w:fill="EBF3FB" w:val="clear"/>
            <w:tcMar>
              <w:top w:type="dxa" w:w="120"/>
              <w:left w:type="dxa" w:w="180"/>
              <w:bottom w:type="dxa" w:w="120"/>
              <w:right w:type="dxa" w:w="180"/>
            </w:tcMar>
          </w:tcPr>
          <w:p>
            <w:r>
              <w:rPr>
                <w:rFonts w:ascii="Arial" w:cs="Arial" w:eastAsia="Arial" w:hAnsi="Arial"/>
                <w:b/>
                <w:bCs/>
                <w:color w:val="2E75B6"/>
                <w:sz w:val="20"/>
                <w:szCs w:val="20"/>
              </w:rPr>
              <w:t xml:space="preserve">Scope</w:t>
            </w:r>
          </w:p>
          <w:p>
            <w:pPr>
              <w:spacing w:before="80"/>
              <w:jc w:val="both"/>
            </w:pPr>
            <w:r>
              <w:rPr>
                <w:rFonts w:ascii="Arial" w:cs="Arial" w:eastAsia="Arial" w:hAnsi="Arial"/>
                <w:sz w:val="20"/>
                <w:szCs w:val="20"/>
              </w:rPr>
              <w:t xml:space="preserve">This guide covers SurveyCTO audit logs (CSV format, event-based, millisecond timestamps) and ODK audit logs (CSV format, question-based, ISO 8601 timestamps). Google Forms and other platforms are currently out of scope. The minimum log requirements for pipeline compatibility are documented in Section 5.</w:t>
            </w:r>
          </w:p>
        </w:tc>
      </w:tr>
    </w:tbl>
    <w:p>
      <w:r>
        <w:br/>
      </w:r>
    </w:p>
    <w:p>
      <w:pPr>
        <w:pStyle w:val="Heading1"/>
        <w:pBdr>
          <w:bottom w:val="single" w:color="2E75B6" w:sz="6" w:space="4"/>
        </w:pBdr>
        <w:spacing w:before="480" w:after="240"/>
      </w:pPr>
      <w:r>
        <w:rPr>
          <w:rFonts w:ascii="Arial" w:cs="Arial" w:eastAsia="Arial" w:hAnsi="Arial"/>
          <w:b/>
          <w:bCs/>
          <w:color w:val="1F4E79"/>
          <w:sz w:val="32"/>
          <w:szCs w:val="32"/>
        </w:rPr>
        <w:t xml:space="preserve">2. SurveyCTO Audit Log Format</w:t>
      </w:r>
    </w:p>
    <w:p>
      <w:pPr>
        <w:spacing w:before="0" w:after="160" w:line="360" w:lineRule="auto"/>
        <w:jc w:val="both"/>
      </w:pPr>
      <w:r>
        <w:rPr>
          <w:rFonts w:ascii="Arial" w:cs="Arial" w:eastAsia="Arial" w:hAnsi="Arial"/>
          <w:sz w:val="22"/>
          <w:szCs w:val="22"/>
        </w:rPr>
        <w:t xml:space="preserve">SurveyCTO automatically generates an audit log CSV file for each completed interview when audit logging is enabled in the form definition. The audit log captures every form event at millisecond precision, tied to the XPath identifier of the field involved.</w:t>
      </w:r>
    </w:p>
    <w:p>
      <w:pPr>
        <w:pStyle w:val="Heading2"/>
        <w:spacing w:before="320" w:after="160"/>
      </w:pPr>
      <w:r>
        <w:rPr>
          <w:rFonts w:ascii="Arial" w:cs="Arial" w:eastAsia="Arial" w:hAnsi="Arial"/>
          <w:b/>
          <w:bCs/>
          <w:color w:val="2E75B6"/>
          <w:sz w:val="26"/>
          <w:szCs w:val="26"/>
        </w:rPr>
        <w:t xml:space="preserve">2.1 File Structure</w:t>
      </w:r>
    </w:p>
    <w:p>
      <w:pPr>
        <w:spacing w:before="0" w:after="160" w:line="360" w:lineRule="auto"/>
        <w:jc w:val="both"/>
      </w:pPr>
      <w:r>
        <w:rPr>
          <w:rFonts w:ascii="Arial" w:cs="Arial" w:eastAsia="Arial" w:hAnsi="Arial"/>
          <w:sz w:val="22"/>
          <w:szCs w:val="22"/>
        </w:rPr>
        <w:t xml:space="preserve">The audit log is a plain CSV file with a header row followed by one row per event. The file is named after the submission UUID and is attached to the submission record. Each row represents a single discrete event in the interview session.</w:t>
      </w:r>
    </w:p>
    <w:p>
      <w:pPr>
        <w:pStyle w:val="Heading2"/>
        <w:spacing w:before="320" w:after="160"/>
      </w:pPr>
      <w:r>
        <w:rPr>
          <w:rFonts w:ascii="Arial" w:cs="Arial" w:eastAsia="Arial" w:hAnsi="Arial"/>
          <w:b/>
          <w:bCs/>
          <w:color w:val="2E75B6"/>
          <w:sz w:val="26"/>
          <w:szCs w:val="26"/>
        </w:rPr>
        <w:t xml:space="preserve">2.2 Column Definitions</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c>
          <w:tcPr>
            <w:tcW w:type="dxa" w:w="1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Column Name</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Data Type</w:t>
            </w:r>
          </w:p>
        </w:tc>
        <w:tc>
          <w:tcPr>
            <w:tcW w:type="dxa" w:w="5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Description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event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type of form event recorded. See Section 2.3 for the complete event taxonomy.</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node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XPath identifier of the field associated with this event (e.g., /data/household/q_age). Empty for form-level events such as form-start and form-end.</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start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Integer (ms)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Unix epoch timestamp in milliseconds marking the beginning of the event.</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Integer (ms)</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Unix epoch timestamp in milliseconds marking the end of the event. May be null for instantaneous events.</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latitude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latitude recorded at the time of the event, if location capture is enabled. Not used by this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longitude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GPS longitude. Not used by this pipeline.</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accuracy</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accuracy in metres. Not used by this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altitude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GPS altitude in metres. Not used by this pipeline.</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1. SurveyCTO audit log column definitions.</w:t>
      </w:r>
    </w:p>
    <w:p>
      <w:pPr>
        <w:pStyle w:val="Heading2"/>
        <w:spacing w:before="320" w:after="160"/>
      </w:pPr>
      <w:r>
        <w:rPr>
          <w:rFonts w:ascii="Arial" w:cs="Arial" w:eastAsia="Arial" w:hAnsi="Arial"/>
          <w:b/>
          <w:bCs/>
          <w:color w:val="2E75B6"/>
          <w:sz w:val="26"/>
          <w:szCs w:val="26"/>
        </w:rPr>
        <w:t xml:space="preserve">2.3 Event Taxonomy</w:t>
      </w:r>
    </w:p>
    <w:p>
      <w:pPr>
        <w:spacing w:before="0" w:after="160" w:line="360" w:lineRule="auto"/>
        <w:jc w:val="both"/>
      </w:pPr>
      <w:r>
        <w:rPr>
          <w:rFonts w:ascii="Arial" w:cs="Arial" w:eastAsia="Arial" w:hAnsi="Arial"/>
          <w:sz w:val="22"/>
          <w:szCs w:val="22"/>
        </w:rPr>
        <w:t xml:space="preserve">SurveyCTO records the following event types. Understanding this taxonomy is essential for correct timestamp extraction and duration computation.</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Event Type</w:t>
            </w:r>
          </w:p>
        </w:tc>
        <w:tc>
          <w:tcPr>
            <w:tcW w:type="dxa" w:w="73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Meaning</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form-start</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session began. Marks the absolute start of the interview. The node field is empty.</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form-resume</w:t>
            </w:r>
          </w:p>
        </w:tc>
        <w:tc>
          <w:tcPr>
            <w:tcW w:type="dxa" w:w="7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was resumed after being paused or saved. Indicates an interrupted session.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question</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enumerator navigated to a field. start is when the field became active; end is when they left it.</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constraint</w:t>
            </w:r>
          </w:p>
        </w:tc>
        <w:tc>
          <w:tcPr>
            <w:tcW w:type="dxa" w:w="7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 validation constraint error was triggered on the current field. Indicates incorrect or out-of-range input.</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save</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form was saved (but not submitted). May occur mid-interview if connectivity is lost.</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w:t>
            </w:r>
          </w:p>
        </w:tc>
        <w:tc>
          <w:tcPr>
            <w:tcW w:type="dxa" w:w="7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session ended. Marks the absolute end of the interview. The node field is empty.</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location</w:t>
            </w:r>
          </w:p>
        </w:tc>
        <w:tc>
          <w:tcPr>
            <w:tcW w:type="dxa" w:w="7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GPS location capture event. Not relevant to timing feature extraction.</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2. SurveyCTO event taxonomy.</w:t>
      </w:r>
    </w:p>
    <w:p>
      <w:pPr>
        <w:pStyle w:val="Heading2"/>
        <w:spacing w:before="320" w:after="160"/>
      </w:pPr>
      <w:r>
        <w:rPr>
          <w:rFonts w:ascii="Arial" w:cs="Arial" w:eastAsia="Arial" w:hAnsi="Arial"/>
          <w:b/>
          <w:bCs/>
          <w:color w:val="2E75B6"/>
          <w:sz w:val="26"/>
          <w:szCs w:val="26"/>
        </w:rPr>
        <w:t xml:space="preserve">2.4 Example Log Rows</w:t>
      </w:r>
    </w:p>
    <w:p>
      <w:pPr>
        <w:spacing w:before="0" w:after="160" w:line="360" w:lineRule="auto"/>
        <w:jc w:val="both"/>
      </w:pPr>
      <w:r>
        <w:rPr>
          <w:rFonts w:ascii="Arial" w:cs="Arial" w:eastAsia="Arial" w:hAnsi="Arial"/>
          <w:sz w:val="22"/>
          <w:szCs w:val="22"/>
        </w:rPr>
        <w:t xml:space="preserve">The following illustrates a realistic SurveyCTO audit log excerpt for a short interview:</w:t>
      </w:r>
    </w:p>
    <w:p>
      <w:pPr>
        <w:spacing w:before="0" w:after="60"/>
      </w:pPr>
      <w:r>
        <w:rPr>
          <w:rFonts w:ascii="Arial" w:cs="Arial" w:eastAsia="Arial" w:hAnsi="Arial"/>
        </w:rPr>
        <w:t xml:space="preserve"/>
      </w:r>
    </w:p>
    <w:p>
      <w:pPr>
        <w:shd w:fill="E8EAF6" w:val="clear"/>
        <w:spacing w:before="60" w:after="60"/>
        <w:ind w:left="360"/>
      </w:pPr>
      <w:r>
        <w:rPr>
          <w:rFonts w:ascii="Courier New" w:cs="Courier New" w:eastAsia="Courier New" w:hAnsi="Courier New"/>
          <w:color w:val="1A237E"/>
          <w:sz w:val="18"/>
          <w:szCs w:val="18"/>
        </w:rPr>
        <w:t xml:space="preserve">event,node,start,end</w:t>
      </w:r>
    </w:p>
    <w:p>
      <w:pPr>
        <w:shd w:fill="E8EAF6" w:val="clear"/>
        <w:spacing w:before="60" w:after="60"/>
        <w:ind w:left="360"/>
      </w:pPr>
      <w:r>
        <w:rPr>
          <w:rFonts w:ascii="Courier New" w:cs="Courier New" w:eastAsia="Courier New" w:hAnsi="Courier New"/>
          <w:color w:val="1A237E"/>
          <w:sz w:val="18"/>
          <w:szCs w:val="18"/>
        </w:rPr>
        <w:t xml:space="preserve">form-start,,1711440000000,1711440001200</w:t>
      </w:r>
    </w:p>
    <w:p>
      <w:pPr>
        <w:shd w:fill="E8EAF6" w:val="clear"/>
        <w:spacing w:before="60" w:after="60"/>
        <w:ind w:left="360"/>
      </w:pPr>
      <w:r>
        <w:rPr>
          <w:rFonts w:ascii="Courier New" w:cs="Courier New" w:eastAsia="Courier New" w:hAnsi="Courier New"/>
          <w:color w:val="1A237E"/>
          <w:sz w:val="18"/>
          <w:szCs w:val="18"/>
        </w:rPr>
        <w:t xml:space="preserve">question,/data/consent,1711440001200,1711440009800</w:t>
      </w:r>
    </w:p>
    <w:p>
      <w:pPr>
        <w:shd w:fill="E8EAF6" w:val="clear"/>
        <w:spacing w:before="60" w:after="60"/>
        <w:ind w:left="360"/>
      </w:pPr>
      <w:r>
        <w:rPr>
          <w:rFonts w:ascii="Courier New" w:cs="Courier New" w:eastAsia="Courier New" w:hAnsi="Courier New"/>
          <w:color w:val="1A237E"/>
          <w:sz w:val="18"/>
          <w:szCs w:val="18"/>
        </w:rPr>
        <w:t xml:space="preserve">question,/data/household/q_age,1711440009800,1711440017400</w:t>
      </w:r>
    </w:p>
    <w:p>
      <w:pPr>
        <w:shd w:fill="E8EAF6" w:val="clear"/>
        <w:spacing w:before="60" w:after="60"/>
        <w:ind w:left="360"/>
      </w:pPr>
      <w:r>
        <w:rPr>
          <w:rFonts w:ascii="Courier New" w:cs="Courier New" w:eastAsia="Courier New" w:hAnsi="Courier New"/>
          <w:color w:val="1A237E"/>
          <w:sz w:val="18"/>
          <w:szCs w:val="18"/>
        </w:rPr>
        <w:t xml:space="preserve">constraint,/data/household/q_age,1711440014200,1711440014200</w:t>
      </w:r>
    </w:p>
    <w:p>
      <w:pPr>
        <w:shd w:fill="E8EAF6" w:val="clear"/>
        <w:spacing w:before="60" w:after="60"/>
        <w:ind w:left="360"/>
      </w:pPr>
      <w:r>
        <w:rPr>
          <w:rFonts w:ascii="Courier New" w:cs="Courier New" w:eastAsia="Courier New" w:hAnsi="Courier New"/>
          <w:color w:val="1A237E"/>
          <w:sz w:val="18"/>
          <w:szCs w:val="18"/>
        </w:rPr>
        <w:t xml:space="preserve">question,/data/household/q_age,1711440014200,1711440019600</w:t>
      </w:r>
    </w:p>
    <w:p>
      <w:pPr>
        <w:shd w:fill="E8EAF6" w:val="clear"/>
        <w:spacing w:before="60" w:after="60"/>
        <w:ind w:left="360"/>
      </w:pPr>
      <w:r>
        <w:rPr>
          <w:rFonts w:ascii="Courier New" w:cs="Courier New" w:eastAsia="Courier New" w:hAnsi="Courier New"/>
          <w:color w:val="1A237E"/>
          <w:sz w:val="18"/>
          <w:szCs w:val="18"/>
        </w:rPr>
        <w:t xml:space="preserve">question,/data/income/q_monthly,1711440019600,1711440038200</w:t>
      </w:r>
    </w:p>
    <w:p>
      <w:pPr>
        <w:shd w:fill="E8EAF6" w:val="clear"/>
        <w:spacing w:before="60" w:after="60"/>
        <w:ind w:left="360"/>
      </w:pPr>
      <w:r>
        <w:rPr>
          <w:rFonts w:ascii="Courier New" w:cs="Courier New" w:eastAsia="Courier New" w:hAnsi="Courier New"/>
          <w:color w:val="1A237E"/>
          <w:sz w:val="18"/>
          <w:szCs w:val="18"/>
        </w:rPr>
        <w:t xml:space="preserve">end,,1711440038200,1711440039000</w:t>
      </w:r>
    </w:p>
    <w:p>
      <w:pPr>
        <w:spacing w:before="0" w:after="120"/>
      </w:pPr>
      <w:r>
        <w:rPr>
          <w:rFonts w:ascii="Arial" w:cs="Arial" w:eastAsia="Arial" w:hAnsi="Arial"/>
        </w:rPr>
        <w:t xml:space="preserve"/>
      </w:r>
    </w:p>
    <w:p>
      <w:pPr>
        <w:pStyle w:val="Heading2"/>
        <w:spacing w:before="320" w:after="160"/>
      </w:pPr>
      <w:r>
        <w:rPr>
          <w:rFonts w:ascii="Arial" w:cs="Arial" w:eastAsia="Arial" w:hAnsi="Arial"/>
          <w:b/>
          <w:bCs/>
          <w:color w:val="2E75B6"/>
          <w:sz w:val="26"/>
          <w:szCs w:val="26"/>
        </w:rPr>
        <w:t xml:space="preserve">2.5 Known Quirks and Edge Cases</w:t>
      </w:r>
    </w:p>
    <w:p>
      <w:pPr>
        <w:pStyle w:val="ListParagraph"/>
        <w:numPr>
          <w:ilvl w:val="0"/>
          <w:numId w:val="2"/>
        </w:numPr>
        <w:spacing w:before="60" w:after="60" w:line="320" w:lineRule="auto"/>
      </w:pPr>
      <w:r>
        <w:rPr>
          <w:rFonts w:ascii="Arial" w:cs="Arial" w:eastAsia="Arial" w:hAnsi="Arial"/>
          <w:sz w:val="22"/>
          <w:szCs w:val="22"/>
        </w:rPr>
        <w:t xml:space="preserve">Some SurveyCTO versions record duplicate event rows for the same field when the enumerator navigates back. The parser deduplicates by keeping the last event for each field visit.</w:t>
      </w:r>
    </w:p>
    <w:p>
      <w:pPr>
        <w:pStyle w:val="ListParagraph"/>
        <w:numPr>
          <w:ilvl w:val="0"/>
          <w:numId w:val="2"/>
        </w:numPr>
        <w:spacing w:before="60" w:after="60" w:line="320" w:lineRule="auto"/>
      </w:pPr>
      <w:r>
        <w:rPr>
          <w:rFonts w:ascii="Arial" w:cs="Arial" w:eastAsia="Arial" w:hAnsi="Arial"/>
          <w:sz w:val="22"/>
          <w:szCs w:val="22"/>
        </w:rPr>
        <w:t xml:space="preserve">The end timestamp of one event and the start timestamp of the next event are typically identical, this is by design and does not represent a gap.</w:t>
      </w:r>
    </w:p>
    <w:p>
      <w:pPr>
        <w:pStyle w:val="ListParagraph"/>
        <w:numPr>
          <w:ilvl w:val="0"/>
          <w:numId w:val="2"/>
        </w:numPr>
        <w:spacing w:before="60" w:after="60" w:line="320" w:lineRule="auto"/>
      </w:pPr>
      <w:r>
        <w:rPr>
          <w:rFonts w:ascii="Arial" w:cs="Arial" w:eastAsia="Arial" w:hAnsi="Arial"/>
          <w:sz w:val="22"/>
          <w:szCs w:val="22"/>
        </w:rPr>
        <w:t xml:space="preserve">If the form is saved and resumed, a form-resume event appears between question events. The pipeline treats the gap between save and form-resume as a session pause, not question-level idle time.</w:t>
      </w:r>
    </w:p>
    <w:p>
      <w:pPr>
        <w:pStyle w:val="ListParagraph"/>
        <w:numPr>
          <w:ilvl w:val="0"/>
          <w:numId w:val="2"/>
        </w:numPr>
        <w:spacing w:before="60" w:after="60" w:line="320" w:lineRule="auto"/>
      </w:pPr>
      <w:r>
        <w:rPr>
          <w:rFonts w:ascii="Arial" w:cs="Arial" w:eastAsia="Arial" w:hAnsi="Arial"/>
          <w:sz w:val="22"/>
          <w:szCs w:val="22"/>
        </w:rPr>
        <w:t xml:space="preserve">The node field uses XPath notation (/data/group/field). The parser extracts the final path component as the field_name in the CIR.</w:t>
      </w:r>
    </w:p>
    <w:p>
      <w:pPr>
        <w:pStyle w:val="ListParagraph"/>
        <w:numPr>
          <w:ilvl w:val="0"/>
          <w:numId w:val="2"/>
        </w:numPr>
        <w:spacing w:before="60" w:after="60" w:line="320" w:lineRule="auto"/>
      </w:pPr>
      <w:r>
        <w:rPr>
          <w:rFonts w:ascii="Arial" w:cs="Arial" w:eastAsia="Arial" w:hAnsi="Arial"/>
          <w:sz w:val="22"/>
          <w:szCs w:val="22"/>
        </w:rPr>
        <w:t xml:space="preserve">GPS columns are always present in the CSV header even when location capture is disabled. They will be null for all rows in such cases.</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3. ODK Audit Log Format</w:t>
      </w:r>
    </w:p>
    <w:p>
      <w:pPr>
        <w:spacing w:before="0" w:after="160" w:line="360" w:lineRule="auto"/>
        <w:jc w:val="both"/>
      </w:pPr>
      <w:r>
        <w:rPr>
          <w:rFonts w:ascii="Arial" w:cs="Arial" w:eastAsia="Arial" w:hAnsi="Arial"/>
          <w:sz w:val="22"/>
          <w:szCs w:val="22"/>
        </w:rPr>
        <w:t xml:space="preserve">Open Data Kit (ODK) Collect generates an audit log CSV when audit logging is configured in the XLSForm. ODK's event taxonomy and timestamp format differ meaningfully from SurveyCTO, requiring distinct parsing logic before the data can be normalized into the CIR.</w:t>
      </w:r>
    </w:p>
    <w:p>
      <w:pPr>
        <w:pStyle w:val="Heading2"/>
        <w:spacing w:before="320" w:after="160"/>
      </w:pPr>
      <w:r>
        <w:rPr>
          <w:rFonts w:ascii="Arial" w:cs="Arial" w:eastAsia="Arial" w:hAnsi="Arial"/>
          <w:b/>
          <w:bCs/>
          <w:color w:val="2E75B6"/>
          <w:sz w:val="26"/>
          <w:szCs w:val="26"/>
        </w:rPr>
        <w:t xml:space="preserve">3.1 File Structure</w:t>
      </w:r>
    </w:p>
    <w:p>
      <w:pPr>
        <w:spacing w:before="0" w:after="160" w:line="360" w:lineRule="auto"/>
        <w:jc w:val="both"/>
      </w:pPr>
      <w:r>
        <w:rPr>
          <w:rFonts w:ascii="Arial" w:cs="Arial" w:eastAsia="Arial" w:hAnsi="Arial"/>
          <w:sz w:val="22"/>
          <w:szCs w:val="22"/>
        </w:rPr>
        <w:t xml:space="preserve">The ODK audit log is a CSV file stored within the submission package. Unlike SurveyCTO, ODK uses a question-centric event model rather than a granular event-type model, each row typically represents a question view rather than a discrete form action.</w:t>
      </w:r>
    </w:p>
    <w:p>
      <w:pPr>
        <w:pStyle w:val="Heading2"/>
        <w:spacing w:before="320" w:after="160"/>
      </w:pPr>
      <w:r>
        <w:rPr>
          <w:rFonts w:ascii="Arial" w:cs="Arial" w:eastAsia="Arial" w:hAnsi="Arial"/>
          <w:b/>
          <w:bCs/>
          <w:color w:val="2E75B6"/>
          <w:sz w:val="26"/>
          <w:szCs w:val="26"/>
        </w:rPr>
        <w:t xml:space="preserve">3.2 Column Definitions</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760"/>
      </w:tblGrid>
      <w:tr>
        <w:tc>
          <w:tcPr>
            <w:tcW w:type="dxa" w:w="1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Column Name</w:t>
            </w:r>
          </w:p>
        </w:tc>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Data Type</w:t>
            </w:r>
          </w:p>
        </w:tc>
        <w:tc>
          <w:tcPr>
            <w:tcW w:type="dxa" w:w="5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Description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event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type of event. ODK uses a different taxonomy from SurveyCTO. See Section 3.3.</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node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XPath field identifier. Same format as SurveyCTO (/data/group/field).</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start</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 (ISO 8601)</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Timestamp in ISO 8601 format (YYYY-MM-DDTHH:MM:SS.sss). Must be converted to epoch milliseconds by the parser.</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 (ISO 8601)</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End timestamp in ISO 8601 format. May be absent for instantaneous events.</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latitude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latitude if location capture enabled. Not used by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longitude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GPS longitude. Not used by pipeline.</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accuracy</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Float</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GPS accuracy in metres. Not used by pipeline.</w:t>
            </w:r>
          </w:p>
        </w:tc>
      </w:tr>
      <w:tr>
        <w:tc>
          <w:tcPr>
            <w:tcW w:type="dxa" w:w="1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old-value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Previous value of a field before edit. Only present in some ODK versions.</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new-value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New value after edit. Only present in some ODK versions.</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3. ODK audit log column definitions.</w:t>
      </w:r>
    </w:p>
    <w:p>
      <w:pPr>
        <w:pStyle w:val="Heading2"/>
        <w:spacing w:before="320" w:after="160"/>
      </w:pPr>
      <w:r>
        <w:rPr>
          <w:rFonts w:ascii="Arial" w:cs="Arial" w:eastAsia="Arial" w:hAnsi="Arial"/>
          <w:b/>
          <w:bCs/>
          <w:color w:val="2E75B6"/>
          <w:sz w:val="26"/>
          <w:szCs w:val="26"/>
        </w:rPr>
        <w:t xml:space="preserve">3.3 ODK Event Taxonomy</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Event Type</w:t>
            </w:r>
          </w:p>
        </w:tc>
        <w:tc>
          <w:tcPr>
            <w:tcW w:type="dxa" w:w="71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Meaning</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 start</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interview session began. Equivalent to SurveyCTO form-start.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question</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enumerator viewed a question field. This is the primary event for timing extraction.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group questions</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group of fields was displayed simultaneously (e.g., a repeat group header).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jump</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enumerator used the jump/go-to feature to navigate to a specific field.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 screen</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end-of-form confirmation screen was displayed.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save</w:t>
            </w:r>
          </w:p>
        </w:tc>
        <w:tc>
          <w:tcPr>
            <w:tcW w:type="dxa" w:w="7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form was saved. Equivalent to SurveyCTO save event.</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finalize</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form was finalized and submitted.</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4. ODK event taxonomy.</w:t>
      </w:r>
    </w:p>
    <w:p>
      <w:pPr>
        <w:pStyle w:val="Heading2"/>
        <w:spacing w:before="320" w:after="160"/>
      </w:pPr>
      <w:r>
        <w:rPr>
          <w:rFonts w:ascii="Arial" w:cs="Arial" w:eastAsia="Arial" w:hAnsi="Arial"/>
          <w:b/>
          <w:bCs/>
          <w:color w:val="2E75B6"/>
          <w:sz w:val="26"/>
          <w:szCs w:val="26"/>
        </w:rPr>
        <w:t xml:space="preserve">3.4 Example Log Rows</w:t>
      </w:r>
    </w:p>
    <w:p>
      <w:pPr>
        <w:shd w:fill="E8EAF6" w:val="clear"/>
        <w:spacing w:before="60" w:after="60"/>
        <w:ind w:left="360"/>
      </w:pPr>
      <w:r>
        <w:rPr>
          <w:rFonts w:ascii="Courier New" w:cs="Courier New" w:eastAsia="Courier New" w:hAnsi="Courier New"/>
          <w:color w:val="1A237E"/>
          <w:sz w:val="18"/>
          <w:szCs w:val="18"/>
        </w:rPr>
        <w:t xml:space="preserve">event,node,start,end</w:t>
      </w:r>
    </w:p>
    <w:p>
      <w:pPr>
        <w:shd w:fill="E8EAF6" w:val="clear"/>
        <w:spacing w:before="60" w:after="60"/>
        <w:ind w:left="360"/>
      </w:pPr>
      <w:r>
        <w:rPr>
          <w:rFonts w:ascii="Courier New" w:cs="Courier New" w:eastAsia="Courier New" w:hAnsi="Courier New"/>
          <w:color w:val="1A237E"/>
          <w:sz w:val="18"/>
          <w:szCs w:val="18"/>
        </w:rPr>
        <w:t xml:space="preserve">form start,,2024-03-26T10:00:00.000,2024-03-26T10:00:01.200</w:t>
      </w:r>
    </w:p>
    <w:p>
      <w:pPr>
        <w:shd w:fill="E8EAF6" w:val="clear"/>
        <w:spacing w:before="60" w:after="60"/>
        <w:ind w:left="360"/>
      </w:pPr>
      <w:r>
        <w:rPr>
          <w:rFonts w:ascii="Courier New" w:cs="Courier New" w:eastAsia="Courier New" w:hAnsi="Courier New"/>
          <w:color w:val="1A237E"/>
          <w:sz w:val="18"/>
          <w:szCs w:val="18"/>
        </w:rPr>
        <w:t xml:space="preserve">question,/data/consent,2024-03-26T10:00:01.200,2024-03-26T10:00:09.800</w:t>
      </w:r>
    </w:p>
    <w:p>
      <w:pPr>
        <w:shd w:fill="E8EAF6" w:val="clear"/>
        <w:spacing w:before="60" w:after="60"/>
        <w:ind w:left="360"/>
      </w:pPr>
      <w:r>
        <w:rPr>
          <w:rFonts w:ascii="Courier New" w:cs="Courier New" w:eastAsia="Courier New" w:hAnsi="Courier New"/>
          <w:color w:val="1A237E"/>
          <w:sz w:val="18"/>
          <w:szCs w:val="18"/>
        </w:rPr>
        <w:t xml:space="preserve">question,/data/household/q_age,2024-03-26T10:00:09.800,2024-03-26T10:00:19.600</w:t>
      </w:r>
    </w:p>
    <w:p>
      <w:pPr>
        <w:shd w:fill="E8EAF6" w:val="clear"/>
        <w:spacing w:before="60" w:after="60"/>
        <w:ind w:left="360"/>
      </w:pPr>
      <w:r>
        <w:rPr>
          <w:rFonts w:ascii="Courier New" w:cs="Courier New" w:eastAsia="Courier New" w:hAnsi="Courier New"/>
          <w:color w:val="1A237E"/>
          <w:sz w:val="18"/>
          <w:szCs w:val="18"/>
        </w:rPr>
        <w:t xml:space="preserve">question,/data/income/q_monthly,2024-03-26T10:00:19.600,2024-03-26T10:00:38.200</w:t>
      </w:r>
    </w:p>
    <w:p>
      <w:pPr>
        <w:shd w:fill="E8EAF6" w:val="clear"/>
        <w:spacing w:before="60" w:after="60"/>
        <w:ind w:left="360"/>
      </w:pPr>
      <w:r>
        <w:rPr>
          <w:rFonts w:ascii="Courier New" w:cs="Courier New" w:eastAsia="Courier New" w:hAnsi="Courier New"/>
          <w:color w:val="1A237E"/>
          <w:sz w:val="18"/>
          <w:szCs w:val="18"/>
        </w:rPr>
        <w:t xml:space="preserve">end screen,,2024-03-26T10:00:38.200,2024-03-26T10:00:39.000</w:t>
      </w:r>
    </w:p>
    <w:p>
      <w:pPr>
        <w:spacing w:before="0" w:after="120"/>
      </w:pPr>
      <w:r>
        <w:rPr>
          <w:rFonts w:ascii="Arial" w:cs="Arial" w:eastAsia="Arial" w:hAnsi="Arial"/>
        </w:rPr>
        <w:t xml:space="preserve"/>
      </w:r>
    </w:p>
    <w:p>
      <w:pPr>
        <w:pStyle w:val="Heading2"/>
        <w:spacing w:before="320" w:after="160"/>
      </w:pPr>
      <w:r>
        <w:rPr>
          <w:rFonts w:ascii="Arial" w:cs="Arial" w:eastAsia="Arial" w:hAnsi="Arial"/>
          <w:b/>
          <w:bCs/>
          <w:color w:val="2E75B6"/>
          <w:sz w:val="26"/>
          <w:szCs w:val="26"/>
        </w:rPr>
        <w:t xml:space="preserve">3.5 Critical Differences from SurveyCTO</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12"/>
              <w:left w:val="single" w:color="CCCCCC" w:sz="4"/>
              <w:bottom w:val="single" w:color="CCCCCC" w:sz="4"/>
              <w:right w:val="single" w:color="CCCCCC" w:sz="4"/>
            </w:tcBorders>
            <w:shd w:fill="FFF3E0" w:val="clear"/>
            <w:tcMar>
              <w:top w:type="dxa" w:w="120"/>
              <w:left w:type="dxa" w:w="180"/>
              <w:bottom w:type="dxa" w:w="120"/>
              <w:right w:type="dxa" w:w="180"/>
            </w:tcMar>
          </w:tcPr>
          <w:p>
            <w:r>
              <w:rPr>
                <w:rFonts w:ascii="Arial" w:cs="Arial" w:eastAsia="Arial" w:hAnsi="Arial"/>
                <w:b/>
                <w:bCs/>
                <w:color w:val="E65100"/>
                <w:sz w:val="20"/>
                <w:szCs w:val="20"/>
              </w:rPr>
              <w:t xml:space="preserve">Important</w:t>
            </w:r>
          </w:p>
          <w:p>
            <w:pPr>
              <w:spacing w:before="80"/>
              <w:jc w:val="both"/>
            </w:pPr>
            <w:r>
              <w:rPr>
                <w:rFonts w:ascii="Arial" w:cs="Arial" w:eastAsia="Arial" w:hAnsi="Arial"/>
                <w:sz w:val="20"/>
                <w:szCs w:val="20"/>
              </w:rPr>
              <w:t xml:space="preserve">ODK timestamps are ISO 8601 strings, not epoch integers. The ODKParser must convert these to milliseconds using datetime parsing before computing durations. Failure to do this will result in incorrect or null duration_ms values in the CIR.</w:t>
            </w:r>
          </w:p>
        </w:tc>
      </w:tr>
    </w:tbl>
    <w:p>
      <w:pPr>
        <w:spacing w:before="0" w:after="120"/>
      </w:pPr>
      <w:r>
        <w:rPr>
          <w:rFonts w:ascii="Arial" w:cs="Arial" w:eastAsia="Arial" w:hAnsi="Arial"/>
        </w:rPr>
        <w:t xml:space="preserve"/>
      </w:r>
    </w:p>
    <w:p>
      <w:pPr>
        <w:pStyle w:val="ListParagraph"/>
        <w:numPr>
          <w:ilvl w:val="0"/>
          <w:numId w:val="2"/>
        </w:numPr>
        <w:spacing w:before="60" w:after="60" w:line="320" w:lineRule="auto"/>
      </w:pPr>
      <w:r>
        <w:rPr>
          <w:rFonts w:ascii="Arial" w:cs="Arial" w:eastAsia="Arial" w:hAnsi="Arial"/>
          <w:sz w:val="22"/>
          <w:szCs w:val="22"/>
        </w:rPr>
        <w:t xml:space="preserve">ODK does not record constraint events. The constraint_trigger_count feature (Q-09) cannot be computed from ODK logs and will be set to null for ODK-sourced interviews.</w:t>
      </w:r>
    </w:p>
    <w:p>
      <w:pPr>
        <w:pStyle w:val="ListParagraph"/>
        <w:numPr>
          <w:ilvl w:val="0"/>
          <w:numId w:val="2"/>
        </w:numPr>
        <w:spacing w:before="60" w:after="60" w:line="320" w:lineRule="auto"/>
      </w:pPr>
      <w:r>
        <w:rPr>
          <w:rFonts w:ascii="Arial" w:cs="Arial" w:eastAsia="Arial" w:hAnsi="Arial"/>
          <w:sz w:val="22"/>
          <w:szCs w:val="22"/>
        </w:rPr>
        <w:t xml:space="preserve">ODK's 'question' event covers what SurveyCTO splits into multiple event types. This means some granular behavioral signals available in SurveyCTO are not recoverable from ODK logs.</w:t>
      </w:r>
    </w:p>
    <w:p>
      <w:pPr>
        <w:pStyle w:val="ListParagraph"/>
        <w:numPr>
          <w:ilvl w:val="0"/>
          <w:numId w:val="2"/>
        </w:numPr>
        <w:spacing w:before="60" w:after="60" w:line="320" w:lineRule="auto"/>
      </w:pPr>
      <w:r>
        <w:rPr>
          <w:rFonts w:ascii="Arial" w:cs="Arial" w:eastAsia="Arial" w:hAnsi="Arial"/>
          <w:sz w:val="22"/>
          <w:szCs w:val="22"/>
        </w:rPr>
        <w:t xml:space="preserve">ODK timestamps have coarser granularity in some versions, second-level rather than millisecond-level. This affects the precision of time_to_first_interaction (Q-02) and idle_time_ms (Q-07).</w:t>
      </w:r>
    </w:p>
    <w:p>
      <w:pPr>
        <w:pStyle w:val="ListParagraph"/>
        <w:numPr>
          <w:ilvl w:val="0"/>
          <w:numId w:val="2"/>
        </w:numPr>
        <w:spacing w:before="60" w:after="60" w:line="320" w:lineRule="auto"/>
      </w:pPr>
      <w:r>
        <w:rPr>
          <w:rFonts w:ascii="Arial" w:cs="Arial" w:eastAsia="Arial" w:hAnsi="Arial"/>
          <w:sz w:val="22"/>
          <w:szCs w:val="22"/>
        </w:rPr>
        <w:t xml:space="preserve">The old-value and new-value columns, when present, allow edit_count (Q-03) to be computed. When absent, edit_count defaults to null for ODK logs.</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4. Platform Comparison</w:t>
      </w:r>
    </w:p>
    <w:p>
      <w:pPr>
        <w:spacing w:before="0" w:after="160" w:line="360" w:lineRule="auto"/>
        <w:jc w:val="both"/>
      </w:pPr>
      <w:r>
        <w:rPr>
          <w:rFonts w:ascii="Arial" w:cs="Arial" w:eastAsia="Arial" w:hAnsi="Arial"/>
          <w:sz w:val="22"/>
          <w:szCs w:val="22"/>
        </w:rPr>
        <w:t xml:space="preserve">The following table summarises the key differences between SurveyCTO and ODK audit log formats relevant to the pipeline.</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Attribute</w:t>
            </w:r>
          </w:p>
        </w:tc>
        <w:tc>
          <w:tcPr>
            <w:tcW w:type="dxa" w:w="318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SurveyCTO</w:t>
            </w:r>
          </w:p>
        </w:tc>
        <w:tc>
          <w:tcPr>
            <w:tcW w:type="dxa" w:w="318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ODK</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Timestamp format</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Epoch milliseconds (integer)</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ISO 8601 string (must convert)</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Timestamp precision</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Millisecond</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Millisecond (some versions: second only)</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Event model</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Granular event-type model</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Question-centric model</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Constraint events</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Yes, constraint event type</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No, not recorded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Edit tracking</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Via repeated question events</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Via old-value/new-value (version-dependent)</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Form-start event</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form-start</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form start (with space, no hyphen)</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Form-end event</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end</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end screen or finalize</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GPS columns</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Always present (may be null)</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Present when location enabled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9"/>
                <w:szCs w:val="19"/>
              </w:rPr>
              <w:t xml:space="preserve">Back-navigation</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Detectable via repeated question events</w:t>
            </w:r>
          </w:p>
        </w:tc>
        <w:tc>
          <w:tcPr>
            <w:tcW w:type="dxa" w:w="31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Detectable via repeated question events</w:t>
            </w:r>
          </w:p>
        </w:tc>
      </w:tr>
      <w:tr>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9"/>
                <w:szCs w:val="19"/>
              </w:rPr>
              <w:t xml:space="preserve">CIR compatibility</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Full, all 40 features computable</w:t>
            </w:r>
          </w:p>
        </w:tc>
        <w:tc>
          <w:tcPr>
            <w:tcW w:type="dxa" w:w="31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Partial, Q-09 and Q-03 may be null</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5. SurveyCTO vs ODK audit log format comparison.</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5. Common Intermediate Representation (CIR)</w:t>
      </w:r>
    </w:p>
    <w:p>
      <w:pPr>
        <w:spacing w:before="0" w:after="160" w:line="360" w:lineRule="auto"/>
        <w:jc w:val="both"/>
      </w:pPr>
      <w:r>
        <w:rPr>
          <w:rFonts w:ascii="Arial" w:cs="Arial" w:eastAsia="Arial" w:hAnsi="Arial"/>
          <w:sz w:val="22"/>
          <w:szCs w:val="22"/>
        </w:rPr>
        <w:t xml:space="preserve">The CIR is a standardised Pandas DataFrame produced by both parsers. All feature extraction and anomaly detection modules operate exclusively on the CIR, they are never exposed to raw SurveyCTO or ODK log formats. This separation ensures that new platform parsers can be added without modifying any downstream component.</w:t>
      </w:r>
    </w:p>
    <w:p>
      <w:pPr>
        <w:pStyle w:val="Heading2"/>
        <w:spacing w:before="320" w:after="160"/>
      </w:pPr>
      <w:r>
        <w:rPr>
          <w:rFonts w:ascii="Arial" w:cs="Arial" w:eastAsia="Arial" w:hAnsi="Arial"/>
          <w:b/>
          <w:bCs/>
          <w:color w:val="2E75B6"/>
          <w:sz w:val="26"/>
          <w:szCs w:val="26"/>
        </w:rPr>
        <w:t xml:space="preserve">5.1 CIR Schema</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Column</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Type</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Nullable</w:t>
            </w:r>
          </w:p>
        </w:tc>
        <w:tc>
          <w:tcPr>
            <w:tcW w:type="dxa" w:w="3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Description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interview_id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No</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Unique identifier for the interview session. Derived from the submission UUID or filename.</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field_name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Yes</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The field identifier extracted from the XPath node (final path component). Null for form-level events.</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event_type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String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No</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Normalised event type. One of: form_start, question, constraint, save, form_resume, form_end.</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start_ms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Integer</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No</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Event start time in milliseconds since Unix epoch. Always an integer after normalisation.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end_ms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404040"/>
                <w:sz w:val="19"/>
                <w:szCs w:val="19"/>
              </w:rPr>
              <w:t xml:space="preserve">Integer</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E65100"/>
                <w:sz w:val="19"/>
                <w:szCs w:val="19"/>
              </w:rPr>
              <w:t xml:space="preserve">Yes</w:t>
            </w:r>
          </w:p>
        </w:tc>
        <w:tc>
          <w:tcPr>
            <w:tcW w:type="dxa" w:w="3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Event end time in milliseconds since Unix epoch. Null for instantaneous events.</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duration_ms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404040"/>
                <w:sz w:val="19"/>
                <w:szCs w:val="19"/>
              </w:rPr>
              <w:t xml:space="preserve">Integer</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Yes</w:t>
            </w:r>
          </w:p>
        </w:tc>
        <w:tc>
          <w:tcPr>
            <w:tcW w:type="dxa" w:w="3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Computed as end_ms minus start_ms. Null when end_ms is null or end_ms &lt; start_ms.</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6. Common Intermediate Representation schema.</w:t>
      </w:r>
    </w:p>
    <w:p>
      <w:pPr>
        <w:pStyle w:val="Heading2"/>
        <w:spacing w:before="320" w:after="160"/>
      </w:pPr>
      <w:r>
        <w:rPr>
          <w:rFonts w:ascii="Arial" w:cs="Arial" w:eastAsia="Arial" w:hAnsi="Arial"/>
          <w:b/>
          <w:bCs/>
          <w:color w:val="2E75B6"/>
          <w:sz w:val="26"/>
          <w:szCs w:val="26"/>
        </w:rPr>
        <w:t xml:space="preserve">5.2 Normalised Event Types</w:t>
      </w:r>
    </w:p>
    <w:p>
      <w:pPr>
        <w:spacing w:before="0" w:after="160" w:line="360" w:lineRule="auto"/>
        <w:jc w:val="both"/>
      </w:pPr>
      <w:r>
        <w:rPr>
          <w:rFonts w:ascii="Arial" w:cs="Arial" w:eastAsia="Arial" w:hAnsi="Arial"/>
          <w:sz w:val="22"/>
          <w:szCs w:val="22"/>
        </w:rPr>
        <w:t xml:space="preserve">Both parsers map their platform-specific event names to a common set of normalised event_type values used in the CIR:</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CIR event_type</w:t>
            </w:r>
          </w:p>
        </w:tc>
        <w:tc>
          <w:tcPr>
            <w:tcW w:type="dxa" w:w="30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SurveyCTO source</w:t>
            </w:r>
          </w:p>
        </w:tc>
        <w:tc>
          <w:tcPr>
            <w:tcW w:type="dxa" w:w="3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ODK source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form_start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form-start</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form start</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question</w:t>
            </w:r>
          </w:p>
        </w:tc>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question</w:t>
            </w:r>
          </w:p>
        </w:tc>
        <w:tc>
          <w:tcPr>
            <w:tcW w:type="dxa" w:w="3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question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constraint</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constraint</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(not available, null)</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save</w:t>
            </w:r>
          </w:p>
        </w:tc>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save</w:t>
            </w:r>
          </w:p>
        </w:tc>
        <w:tc>
          <w:tcPr>
            <w:tcW w:type="dxa" w:w="3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save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form_resume</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form-resume</w:t>
            </w:r>
          </w:p>
        </w:tc>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(not available)</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2E75B6"/>
                <w:sz w:val="18"/>
                <w:szCs w:val="18"/>
              </w:rPr>
              <w:t xml:space="preserve">form_end</w:t>
            </w:r>
          </w:p>
        </w:tc>
        <w:tc>
          <w:tcPr>
            <w:tcW w:type="dxa" w:w="3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end</w:t>
            </w:r>
          </w:p>
        </w:tc>
        <w:tc>
          <w:tcPr>
            <w:tcW w:type="dxa" w:w="3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end screen, finalize</w:t>
            </w:r>
          </w:p>
        </w:tc>
      </w:tr>
    </w:tbl>
    <w:p>
      <w:pPr>
        <w:spacing w:before="0" w:after="100"/>
      </w:pPr>
      <w:r>
        <w:rPr>
          <w:rFonts w:ascii="Arial" w:cs="Arial" w:eastAsia="Arial" w:hAnsi="Arial"/>
        </w:rPr>
        <w:t xml:space="preserve"/>
      </w:r>
    </w:p>
    <w:p>
      <w:pPr>
        <w:spacing w:after="200"/>
        <w:jc w:val="center"/>
      </w:pPr>
      <w:r>
        <w:rPr>
          <w:rFonts w:ascii="Arial" w:cs="Arial" w:eastAsia="Arial" w:hAnsi="Arial"/>
          <w:i/>
          <w:iCs/>
          <w:color w:val="404040"/>
          <w:sz w:val="18"/>
          <w:szCs w:val="18"/>
        </w:rPr>
        <w:t xml:space="preserve">Table 7. Normalised event type mapping.</w:t>
      </w:r>
    </w:p>
    <w:p>
      <w:pPr>
        <w:pStyle w:val="Heading2"/>
        <w:spacing w:before="320" w:after="160"/>
      </w:pPr>
      <w:r>
        <w:rPr>
          <w:rFonts w:ascii="Arial" w:cs="Arial" w:eastAsia="Arial" w:hAnsi="Arial"/>
          <w:b/>
          <w:bCs/>
          <w:color w:val="2E75B6"/>
          <w:sz w:val="26"/>
          <w:szCs w:val="26"/>
        </w:rPr>
        <w:t xml:space="preserve">5.3 Example CIR Output</w:t>
      </w:r>
    </w:p>
    <w:p>
      <w:pPr>
        <w:spacing w:before="0" w:after="160" w:line="360" w:lineRule="auto"/>
        <w:jc w:val="both"/>
      </w:pPr>
      <w:r>
        <w:rPr>
          <w:rFonts w:ascii="Arial" w:cs="Arial" w:eastAsia="Arial" w:hAnsi="Arial"/>
          <w:sz w:val="22"/>
          <w:szCs w:val="22"/>
        </w:rPr>
        <w:t xml:space="preserve">The following shows a correctly formed CIR DataFrame for one interview:</w:t>
      </w:r>
    </w:p>
    <w:p>
      <w:pPr>
        <w:spacing w:before="0" w:after="60"/>
      </w:pPr>
      <w:r>
        <w:rPr>
          <w:rFonts w:ascii="Arial" w:cs="Arial" w:eastAsia="Arial" w:hAnsi="Arial"/>
        </w:rPr>
        <w:t xml:space="preserve"/>
      </w:r>
    </w:p>
    <w:p>
      <w:pPr>
        <w:shd w:fill="E8EAF6" w:val="clear"/>
        <w:spacing w:before="60" w:after="60"/>
        <w:ind w:left="360"/>
      </w:pPr>
      <w:r>
        <w:rPr>
          <w:rFonts w:ascii="Courier New" w:cs="Courier New" w:eastAsia="Courier New" w:hAnsi="Courier New"/>
          <w:color w:val="1A237E"/>
          <w:sz w:val="18"/>
          <w:szCs w:val="18"/>
        </w:rPr>
        <w:t xml:space="preserve">interview_id  field_name    event_type  start_ms       end_ms         duration_ms</w:t>
      </w:r>
    </w:p>
    <w:p>
      <w:pPr>
        <w:shd w:fill="E8EAF6" w:val="clear"/>
        <w:spacing w:before="60" w:after="60"/>
        <w:ind w:left="360"/>
      </w:pPr>
      <w:r>
        <w:rPr>
          <w:rFonts w:ascii="Courier New" w:cs="Courier New" w:eastAsia="Courier New" w:hAnsi="Courier New"/>
          <w:color w:val="1A237E"/>
          <w:sz w:val="18"/>
          <w:szCs w:val="18"/>
        </w:rPr>
        <w:t xml:space="preserve">INT-0042      null          form_start  1711440000000  1711440001200  1200</w:t>
      </w:r>
    </w:p>
    <w:p>
      <w:pPr>
        <w:shd w:fill="E8EAF6" w:val="clear"/>
        <w:spacing w:before="60" w:after="60"/>
        <w:ind w:left="360"/>
      </w:pPr>
      <w:r>
        <w:rPr>
          <w:rFonts w:ascii="Courier New" w:cs="Courier New" w:eastAsia="Courier New" w:hAnsi="Courier New"/>
          <w:color w:val="1A237E"/>
          <w:sz w:val="18"/>
          <w:szCs w:val="18"/>
        </w:rPr>
        <w:t xml:space="preserve">INT-0042      consent       question    1711440001200  1711440009800  8600</w:t>
      </w:r>
    </w:p>
    <w:p>
      <w:pPr>
        <w:shd w:fill="E8EAF6" w:val="clear"/>
        <w:spacing w:before="60" w:after="60"/>
        <w:ind w:left="360"/>
      </w:pPr>
      <w:r>
        <w:rPr>
          <w:rFonts w:ascii="Courier New" w:cs="Courier New" w:eastAsia="Courier New" w:hAnsi="Courier New"/>
          <w:color w:val="1A237E"/>
          <w:sz w:val="18"/>
          <w:szCs w:val="18"/>
        </w:rPr>
        <w:t xml:space="preserve">INT-0042      q_age         question    1711440009800  1711440017400  7600</w:t>
      </w:r>
    </w:p>
    <w:p>
      <w:pPr>
        <w:shd w:fill="E8EAF6" w:val="clear"/>
        <w:spacing w:before="60" w:after="60"/>
        <w:ind w:left="360"/>
      </w:pPr>
      <w:r>
        <w:rPr>
          <w:rFonts w:ascii="Courier New" w:cs="Courier New" w:eastAsia="Courier New" w:hAnsi="Courier New"/>
          <w:color w:val="1A237E"/>
          <w:sz w:val="18"/>
          <w:szCs w:val="18"/>
        </w:rPr>
        <w:t xml:space="preserve">INT-0042      q_age         constraint  1711440014200  1711440014200  0</w:t>
      </w:r>
    </w:p>
    <w:p>
      <w:pPr>
        <w:shd w:fill="E8EAF6" w:val="clear"/>
        <w:spacing w:before="60" w:after="60"/>
        <w:ind w:left="360"/>
      </w:pPr>
      <w:r>
        <w:rPr>
          <w:rFonts w:ascii="Courier New" w:cs="Courier New" w:eastAsia="Courier New" w:hAnsi="Courier New"/>
          <w:color w:val="1A237E"/>
          <w:sz w:val="18"/>
          <w:szCs w:val="18"/>
        </w:rPr>
        <w:t xml:space="preserve">INT-0042      q_age         question    1711440014200  1711440019600  5400</w:t>
      </w:r>
    </w:p>
    <w:p>
      <w:pPr>
        <w:shd w:fill="E8EAF6" w:val="clear"/>
        <w:spacing w:before="60" w:after="60"/>
        <w:ind w:left="360"/>
      </w:pPr>
      <w:r>
        <w:rPr>
          <w:rFonts w:ascii="Courier New" w:cs="Courier New" w:eastAsia="Courier New" w:hAnsi="Courier New"/>
          <w:color w:val="1A237E"/>
          <w:sz w:val="18"/>
          <w:szCs w:val="18"/>
        </w:rPr>
        <w:t xml:space="preserve">INT-0042      q_monthly     question    1711440019600  1711440038200  18600</w:t>
      </w:r>
    </w:p>
    <w:p>
      <w:pPr>
        <w:shd w:fill="E8EAF6" w:val="clear"/>
        <w:spacing w:before="60" w:after="60"/>
        <w:ind w:left="360"/>
      </w:pPr>
      <w:r>
        <w:rPr>
          <w:rFonts w:ascii="Courier New" w:cs="Courier New" w:eastAsia="Courier New" w:hAnsi="Courier New"/>
          <w:color w:val="1A237E"/>
          <w:sz w:val="18"/>
          <w:szCs w:val="18"/>
        </w:rPr>
        <w:t xml:space="preserve">INT-0042      null          form_end    1711440038200  1711440039000  800</w:t>
      </w:r>
    </w:p>
    <w:p>
      <w:pPr>
        <w:spacing w:before="0" w:after="120"/>
      </w:pPr>
      <w:r>
        <w:rPr>
          <w:rFonts w:ascii="Arial" w:cs="Arial" w:eastAsia="Arial" w:hAnsi="Arial"/>
        </w:rPr>
        <w:t xml:space="preserve"/>
      </w:r>
    </w:p>
    <w:p>
      <w:pPr>
        <w:pStyle w:val="Heading2"/>
        <w:spacing w:before="320" w:after="160"/>
      </w:pPr>
      <w:r>
        <w:rPr>
          <w:rFonts w:ascii="Arial" w:cs="Arial" w:eastAsia="Arial" w:hAnsi="Arial"/>
          <w:b/>
          <w:bCs/>
          <w:color w:val="2E75B6"/>
          <w:sz w:val="26"/>
          <w:szCs w:val="26"/>
        </w:rPr>
        <w:t xml:space="preserve">5.4 Minimum Log Requirements</w:t>
      </w:r>
    </w:p>
    <w:p>
      <w:pPr>
        <w:spacing w:before="0" w:after="160" w:line="360" w:lineRule="auto"/>
        <w:jc w:val="both"/>
      </w:pPr>
      <w:r>
        <w:rPr>
          <w:rFonts w:ascii="Arial" w:cs="Arial" w:eastAsia="Arial" w:hAnsi="Arial"/>
          <w:sz w:val="22"/>
          <w:szCs w:val="22"/>
        </w:rPr>
        <w:t xml:space="preserve">For the pipeline to compute all features correctly, an audit log must satisfy the following minimum requirements:</w:t>
      </w:r>
    </w:p>
    <w:p>
      <w:pPr>
        <w:pStyle w:val="ListParagraph"/>
        <w:numPr>
          <w:ilvl w:val="0"/>
          <w:numId w:val="2"/>
        </w:numPr>
        <w:spacing w:before="60" w:after="60" w:line="320" w:lineRule="auto"/>
      </w:pPr>
      <w:r>
        <w:rPr>
          <w:rFonts w:ascii="Arial" w:cs="Arial" w:eastAsia="Arial" w:hAnsi="Arial"/>
          <w:sz w:val="22"/>
          <w:szCs w:val="22"/>
        </w:rPr>
        <w:t xml:space="preserve">At least one form_start event and one form_end event must be present.</w:t>
      </w:r>
    </w:p>
    <w:p>
      <w:pPr>
        <w:pStyle w:val="ListParagraph"/>
        <w:numPr>
          <w:ilvl w:val="0"/>
          <w:numId w:val="2"/>
        </w:numPr>
        <w:spacing w:before="60" w:after="60" w:line="320" w:lineRule="auto"/>
      </w:pPr>
      <w:r>
        <w:rPr>
          <w:rFonts w:ascii="Arial" w:cs="Arial" w:eastAsia="Arial" w:hAnsi="Arial"/>
          <w:sz w:val="22"/>
          <w:szCs w:val="22"/>
        </w:rPr>
        <w:t xml:space="preserve">At least five question events must be present (fewer makes statistical features unreliable).</w:t>
      </w:r>
    </w:p>
    <w:p>
      <w:pPr>
        <w:pStyle w:val="ListParagraph"/>
        <w:numPr>
          <w:ilvl w:val="0"/>
          <w:numId w:val="2"/>
        </w:numPr>
        <w:spacing w:before="60" w:after="60" w:line="320" w:lineRule="auto"/>
      </w:pPr>
      <w:r>
        <w:rPr>
          <w:rFonts w:ascii="Arial" w:cs="Arial" w:eastAsia="Arial" w:hAnsi="Arial"/>
          <w:sz w:val="22"/>
          <w:szCs w:val="22"/>
        </w:rPr>
        <w:t xml:space="preserve">start_ms must be non-null and positive for all rows.</w:t>
      </w:r>
    </w:p>
    <w:p>
      <w:pPr>
        <w:pStyle w:val="ListParagraph"/>
        <w:numPr>
          <w:ilvl w:val="0"/>
          <w:numId w:val="2"/>
        </w:numPr>
        <w:spacing w:before="60" w:after="60" w:line="320" w:lineRule="auto"/>
      </w:pPr>
      <w:r>
        <w:rPr>
          <w:rFonts w:ascii="Arial" w:cs="Arial" w:eastAsia="Arial" w:hAnsi="Arial"/>
          <w:sz w:val="22"/>
          <w:szCs w:val="22"/>
        </w:rPr>
        <w:t xml:space="preserve">end_ms must be greater than or equal to start_ms for question events (rows where end_ms &lt; start_ms are dropped with a warning).</w:t>
      </w:r>
    </w:p>
    <w:p>
      <w:pPr>
        <w:pStyle w:val="ListParagraph"/>
        <w:numPr>
          <w:ilvl w:val="0"/>
          <w:numId w:val="2"/>
        </w:numPr>
        <w:spacing w:before="60" w:after="60" w:line="320" w:lineRule="auto"/>
      </w:pPr>
      <w:r>
        <w:rPr>
          <w:rFonts w:ascii="Arial" w:cs="Arial" w:eastAsia="Arial" w:hAnsi="Arial"/>
          <w:sz w:val="22"/>
          <w:szCs w:val="22"/>
        </w:rPr>
        <w:t xml:space="preserve">The node/field_name column must be non-null for question events.</w:t>
      </w:r>
    </w:p>
    <w:p>
      <w:pPr>
        <w:spacing w:before="0"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5100" w:sz="12"/>
              <w:left w:val="single" w:color="CCCCCC" w:sz="4"/>
              <w:bottom w:val="single" w:color="CCCCCC" w:sz="4"/>
              <w:right w:val="single" w:color="CCCCCC" w:sz="4"/>
            </w:tcBorders>
            <w:shd w:fill="FFF3E0" w:val="clear"/>
            <w:tcMar>
              <w:top w:type="dxa" w:w="120"/>
              <w:left w:type="dxa" w:w="180"/>
              <w:bottom w:type="dxa" w:w="120"/>
              <w:right w:type="dxa" w:w="180"/>
            </w:tcMar>
          </w:tcPr>
          <w:p>
            <w:r>
              <w:rPr>
                <w:rFonts w:ascii="Arial" w:cs="Arial" w:eastAsia="Arial" w:hAnsi="Arial"/>
                <w:b/>
                <w:bCs/>
                <w:color w:val="E65100"/>
                <w:sz w:val="20"/>
                <w:szCs w:val="20"/>
              </w:rPr>
              <w:t xml:space="preserve">Warning</w:t>
            </w:r>
          </w:p>
          <w:p>
            <w:pPr>
              <w:spacing w:before="80"/>
              <w:jc w:val="both"/>
            </w:pPr>
            <w:r>
              <w:rPr>
                <w:rFonts w:ascii="Arial" w:cs="Arial" w:eastAsia="Arial" w:hAnsi="Arial"/>
                <w:sz w:val="20"/>
                <w:szCs w:val="20"/>
              </w:rPr>
              <w:t xml:space="preserve">Interviews that do not meet the minimum log requirements are not dropped entirely. They are processed as far as possible, and features that cannot be computed are set to null. The interview receives a data_quality_warning flag in the output dataset. This behaviour is configurable.</w:t>
            </w:r>
          </w:p>
        </w:tc>
      </w:tr>
    </w:tbl>
    <w:p>
      <w:r>
        <w:br/>
      </w:r>
    </w:p>
    <w:p>
      <w:pPr>
        <w:pStyle w:val="Heading1"/>
        <w:pBdr>
          <w:bottom w:val="single" w:color="2E75B6" w:sz="6" w:space="4"/>
        </w:pBdr>
        <w:spacing w:before="480" w:after="240"/>
      </w:pPr>
      <w:r>
        <w:rPr>
          <w:rFonts w:ascii="Arial" w:cs="Arial" w:eastAsia="Arial" w:hAnsi="Arial"/>
          <w:b/>
          <w:bCs/>
          <w:color w:val="1F4E79"/>
          <w:sz w:val="32"/>
          <w:szCs w:val="32"/>
        </w:rPr>
        <w:t xml:space="preserve">6. Feature Computability by Platform</w:t>
      </w:r>
    </w:p>
    <w:p>
      <w:pPr>
        <w:spacing w:before="0" w:after="160" w:line="360" w:lineRule="auto"/>
        <w:jc w:val="both"/>
      </w:pPr>
      <w:r>
        <w:rPr>
          <w:rFonts w:ascii="Arial" w:cs="Arial" w:eastAsia="Arial" w:hAnsi="Arial"/>
          <w:sz w:val="22"/>
          <w:szCs w:val="22"/>
        </w:rPr>
        <w:t xml:space="preserve">The following table documents which of the 40 features can be fully computed from SurveyCTO logs, partially computed, or are unavailable due to platform limitations.</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800"/>
        <w:gridCol w:w="1800"/>
        <w:gridCol w:w="2260"/>
      </w:tblGrid>
      <w:tr>
        <w:tc>
          <w:tcPr>
            <w:tcW w:type="dxa" w:w="9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ID</w:t>
            </w:r>
          </w:p>
        </w:tc>
        <w:tc>
          <w:tcPr>
            <w:tcW w:type="dxa" w:w="26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Feature</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SurveyCTO</w:t>
            </w:r>
          </w:p>
        </w:tc>
        <w:tc>
          <w:tcPr>
            <w:tcW w:type="dxa" w:w="18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ODK</w:t>
            </w:r>
          </w:p>
        </w:tc>
        <w:tc>
          <w:tcPr>
            <w:tcW w:type="dxa" w:w="22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Notes</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Q-01</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response_time_ms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time_to_first_interaction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Partial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ODK second-level precision only</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Q-03</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edit_count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E65100"/>
                <w:sz w:val="19"/>
                <w:szCs w:val="19"/>
              </w:rPr>
              <w:t xml:space="preserve">Partial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ODK requires old/new-value columns</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revisit_flag</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Q-05</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revisit_count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field_completion_ratio</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Q-07</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idle_time_ms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E65100"/>
                <w:sz w:val="19"/>
                <w:szCs w:val="19"/>
              </w:rPr>
              <w:t xml:space="preserve">Partial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ODK second-level precision only</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keystroke_count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CC0000"/>
                <w:sz w:val="19"/>
                <w:szCs w:val="19"/>
              </w:rPr>
              <w:t xml:space="preserve">N/A</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ODK does not record keystrokes</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Q-09</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constraint_trigger_count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CC0000"/>
                <w:sz w:val="19"/>
                <w:szCs w:val="19"/>
              </w:rPr>
              <w:t xml:space="preserve">N/A</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ODK does not record constraints</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Q-10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first_to_last_interaction_duration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E65100"/>
                <w:sz w:val="19"/>
                <w:szCs w:val="19"/>
              </w:rPr>
              <w:t xml:space="preserve">Partial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Precision limited in some ODK versions</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S-01 to S-10</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All section-level features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Derived from question events</w:t>
            </w:r>
          </w:p>
        </w:tc>
      </w:tr>
      <w:tr>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V-01 to V-10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All survey-level features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888888"/>
                <w:sz w:val="19"/>
                <w:szCs w:val="19"/>
              </w:rPr>
              <w:t xml:space="preserve">Derived from form_start/form_end</w:t>
            </w:r>
          </w:p>
        </w:tc>
      </w:tr>
      <w:tr>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T-01 to T-10</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Courier New" w:cs="Courier New" w:eastAsia="Courier New" w:hAnsi="Courier New"/>
                <w:color w:val="000000"/>
                <w:sz w:val="18"/>
                <w:szCs w:val="18"/>
              </w:rPr>
              <w:t xml:space="preserve">All statistical features</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1E6B2E"/>
                <w:sz w:val="19"/>
                <w:szCs w:val="19"/>
              </w:rPr>
              <w:t xml:space="preserve">Full</w:t>
            </w:r>
          </w:p>
        </w:tc>
        <w:tc>
          <w:tcPr>
            <w:tcW w:type="dxa" w:w="22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888888"/>
                <w:sz w:val="19"/>
                <w:szCs w:val="19"/>
              </w:rPr>
              <w:t xml:space="preserve">Computed from Q-01 values</w:t>
            </w:r>
          </w:p>
        </w:tc>
      </w:tr>
    </w:tbl>
    <w:p>
      <w:pPr>
        <w:spacing w:before="0" w:after="100"/>
      </w:pPr>
      <w:r>
        <w:rPr>
          <w:rFonts w:ascii="Arial" w:cs="Arial" w:eastAsia="Arial" w:hAnsi="Arial"/>
        </w:rPr>
        <w:t xml:space="preserve"/>
      </w:r>
    </w:p>
    <w:p>
      <w:pPr>
        <w:spacing w:after="240"/>
        <w:jc w:val="center"/>
      </w:pPr>
      <w:r>
        <w:rPr>
          <w:rFonts w:ascii="Arial" w:cs="Arial" w:eastAsia="Arial" w:hAnsi="Arial"/>
          <w:i/>
          <w:iCs/>
          <w:color w:val="404040"/>
          <w:sz w:val="18"/>
          <w:szCs w:val="18"/>
        </w:rPr>
        <w:t xml:space="preserve">Table 8. Feature computability by platform.</w:t>
      </w:r>
    </w:p>
    <w:p>
      <w:r>
        <w:br/>
      </w:r>
    </w:p>
    <w:p>
      <w:pPr>
        <w:pStyle w:val="Heading1"/>
        <w:pBdr>
          <w:bottom w:val="single" w:color="2E75B6" w:sz="6" w:space="4"/>
        </w:pBdr>
        <w:spacing w:before="480" w:after="240"/>
      </w:pPr>
      <w:r>
        <w:rPr>
          <w:rFonts w:ascii="Arial" w:cs="Arial" w:eastAsia="Arial" w:hAnsi="Arial"/>
          <w:b/>
          <w:bCs/>
          <w:color w:val="1F4E79"/>
          <w:sz w:val="32"/>
          <w:szCs w:val="32"/>
        </w:rPr>
        <w:t xml:space="preserve">7. Adding a New Platform Parser</w:t>
      </w:r>
    </w:p>
    <w:p>
      <w:pPr>
        <w:spacing w:before="0" w:after="160" w:line="360" w:lineRule="auto"/>
        <w:jc w:val="both"/>
      </w:pPr>
      <w:r>
        <w:rPr>
          <w:rFonts w:ascii="Arial" w:cs="Arial" w:eastAsia="Arial" w:hAnsi="Arial"/>
          <w:sz w:val="22"/>
          <w:szCs w:val="22"/>
        </w:rPr>
        <w:t xml:space="preserve">The pipeline is designed so that adding support for a new platform requires only a new parser class. No changes to the feature extraction or anomaly detection modules are required, as these operate exclusively on the CIR.</w:t>
      </w:r>
    </w:p>
    <w:p>
      <w:pPr>
        <w:spacing w:before="0" w:after="160" w:line="360" w:lineRule="auto"/>
        <w:jc w:val="both"/>
      </w:pPr>
      <w:r>
        <w:rPr>
          <w:rFonts w:ascii="Arial" w:cs="Arial" w:eastAsia="Arial" w:hAnsi="Arial"/>
          <w:sz w:val="22"/>
          <w:szCs w:val="22"/>
        </w:rPr>
        <w:t xml:space="preserve">To add a new platform parser:</w:t>
      </w:r>
    </w:p>
    <w:p>
      <w:pPr>
        <w:pStyle w:val="ListParagraph"/>
        <w:numPr>
          <w:ilvl w:val="0"/>
          <w:numId w:val="3"/>
        </w:numPr>
        <w:spacing w:before="60" w:after="60" w:line="320" w:lineRule="auto"/>
      </w:pPr>
      <w:r>
        <w:rPr>
          <w:rFonts w:ascii="Arial" w:cs="Arial" w:eastAsia="Arial" w:hAnsi="Arial"/>
          <w:sz w:val="22"/>
          <w:szCs w:val="22"/>
        </w:rPr>
        <w:t xml:space="preserve">Create a new class that inherits from </w:t>
      </w:r>
      <w:r>
        <w:rPr>
          <w:rFonts w:ascii="Courier New" w:cs="Courier New" w:eastAsia="Courier New" w:hAnsi="Courier New"/>
          <w:sz w:val="20"/>
          <w:szCs w:val="20"/>
        </w:rPr>
        <w:t xml:space="preserve">ParadataParser</w:t>
      </w:r>
      <w:r>
        <w:rPr>
          <w:rFonts w:ascii="Arial" w:cs="Arial" w:eastAsia="Arial" w:hAnsi="Arial"/>
          <w:sz w:val="22"/>
          <w:szCs w:val="22"/>
        </w:rPr>
        <w:t xml:space="preserve">.</w:t>
      </w:r>
    </w:p>
    <w:p>
      <w:pPr>
        <w:pStyle w:val="ListParagraph"/>
        <w:numPr>
          <w:ilvl w:val="0"/>
          <w:numId w:val="3"/>
        </w:numPr>
        <w:spacing w:before="60" w:after="60" w:line="320" w:lineRule="auto"/>
      </w:pPr>
      <w:r>
        <w:rPr>
          <w:rFonts w:ascii="Arial" w:cs="Arial" w:eastAsia="Arial" w:hAnsi="Arial"/>
          <w:sz w:val="22"/>
          <w:szCs w:val="22"/>
        </w:rPr>
        <w:t xml:space="preserve">Implement the </w:t>
      </w:r>
      <w:r>
        <w:rPr>
          <w:rFonts w:ascii="Courier New" w:cs="Courier New" w:eastAsia="Courier New" w:hAnsi="Courier New"/>
          <w:sz w:val="20"/>
          <w:szCs w:val="20"/>
        </w:rPr>
        <w:t xml:space="preserve">parse(filepath)</w:t>
      </w:r>
      <w:r>
        <w:rPr>
          <w:rFonts w:ascii="Arial" w:cs="Arial" w:eastAsia="Arial" w:hAnsi="Arial"/>
          <w:sz w:val="22"/>
          <w:szCs w:val="22"/>
        </w:rPr>
        <w:t xml:space="preserve"> method to read the platform-specific CSV and return a CIR-compliant Pandas DataFrame.</w:t>
      </w:r>
    </w:p>
    <w:p>
      <w:pPr>
        <w:pStyle w:val="ListParagraph"/>
        <w:numPr>
          <w:ilvl w:val="0"/>
          <w:numId w:val="3"/>
        </w:numPr>
        <w:spacing w:before="60" w:after="60" w:line="320" w:lineRule="auto"/>
      </w:pPr>
      <w:r>
        <w:rPr>
          <w:rFonts w:ascii="Arial" w:cs="Arial" w:eastAsia="Arial" w:hAnsi="Arial"/>
          <w:sz w:val="22"/>
          <w:szCs w:val="22"/>
        </w:rPr>
        <w:t xml:space="preserve">Map all platform event types to the normalised CIR event_type values defined in Table 7.</w:t>
      </w:r>
    </w:p>
    <w:p>
      <w:pPr>
        <w:pStyle w:val="ListParagraph"/>
        <w:numPr>
          <w:ilvl w:val="0"/>
          <w:numId w:val="3"/>
        </w:numPr>
        <w:spacing w:before="60" w:after="60" w:line="320" w:lineRule="auto"/>
      </w:pPr>
      <w:r>
        <w:rPr>
          <w:rFonts w:ascii="Arial" w:cs="Arial" w:eastAsia="Arial" w:hAnsi="Arial"/>
          <w:sz w:val="22"/>
          <w:szCs w:val="22"/>
        </w:rPr>
        <w:t xml:space="preserve">Convert all timestamps to epoch milliseconds and store in </w:t>
      </w:r>
      <w:r>
        <w:rPr>
          <w:rFonts w:ascii="Courier New" w:cs="Courier New" w:eastAsia="Courier New" w:hAnsi="Courier New"/>
          <w:sz w:val="20"/>
          <w:szCs w:val="20"/>
        </w:rPr>
        <w:t xml:space="preserve">start_ms</w:t>
      </w:r>
      <w:r>
        <w:rPr>
          <w:rFonts w:ascii="Arial" w:cs="Arial" w:eastAsia="Arial" w:hAnsi="Arial"/>
          <w:sz w:val="22"/>
          <w:szCs w:val="22"/>
        </w:rPr>
        <w:t xml:space="preserve"> and </w:t>
      </w:r>
      <w:r>
        <w:rPr>
          <w:rFonts w:ascii="Courier New" w:cs="Courier New" w:eastAsia="Courier New" w:hAnsi="Courier New"/>
          <w:sz w:val="20"/>
          <w:szCs w:val="20"/>
        </w:rPr>
        <w:t xml:space="preserve">end_ms</w:t>
      </w:r>
      <w:r>
        <w:rPr>
          <w:rFonts w:ascii="Arial" w:cs="Arial" w:eastAsia="Arial" w:hAnsi="Arial"/>
          <w:sz w:val="22"/>
          <w:szCs w:val="22"/>
        </w:rPr>
        <w:t xml:space="preserve">.</w:t>
      </w:r>
    </w:p>
    <w:p>
      <w:pPr>
        <w:pStyle w:val="ListParagraph"/>
        <w:numPr>
          <w:ilvl w:val="0"/>
          <w:numId w:val="3"/>
        </w:numPr>
        <w:spacing w:before="60" w:after="60" w:line="320" w:lineRule="auto"/>
      </w:pPr>
      <w:r>
        <w:rPr>
          <w:rFonts w:ascii="Arial" w:cs="Arial" w:eastAsia="Arial" w:hAnsi="Arial"/>
          <w:sz w:val="22"/>
          <w:szCs w:val="22"/>
        </w:rPr>
        <w:t xml:space="preserve">Compute </w:t>
      </w:r>
      <w:r>
        <w:rPr>
          <w:rFonts w:ascii="Courier New" w:cs="Courier New" w:eastAsia="Courier New" w:hAnsi="Courier New"/>
          <w:sz w:val="20"/>
          <w:szCs w:val="20"/>
        </w:rPr>
        <w:t xml:space="preserve">duration_ms</w:t>
      </w:r>
      <w:r>
        <w:rPr>
          <w:rFonts w:ascii="Arial" w:cs="Arial" w:eastAsia="Arial" w:hAnsi="Arial"/>
          <w:sz w:val="22"/>
          <w:szCs w:val="22"/>
        </w:rPr>
        <w:t xml:space="preserve"> as </w:t>
      </w:r>
      <w:r>
        <w:rPr>
          <w:rFonts w:ascii="Courier New" w:cs="Courier New" w:eastAsia="Courier New" w:hAnsi="Courier New"/>
          <w:sz w:val="20"/>
          <w:szCs w:val="20"/>
        </w:rPr>
        <w:t xml:space="preserve">end_ms - start_ms</w:t>
      </w:r>
      <w:r>
        <w:rPr>
          <w:rFonts w:ascii="Arial" w:cs="Arial" w:eastAsia="Arial" w:hAnsi="Arial"/>
          <w:sz w:val="22"/>
          <w:szCs w:val="22"/>
        </w:rPr>
        <w:t xml:space="preserve">. Set to null where </w:t>
      </w:r>
      <w:r>
        <w:rPr>
          <w:rFonts w:ascii="Courier New" w:cs="Courier New" w:eastAsia="Courier New" w:hAnsi="Courier New"/>
          <w:sz w:val="20"/>
          <w:szCs w:val="20"/>
        </w:rPr>
        <w:t xml:space="preserve">end_ms</w:t>
      </w:r>
      <w:r>
        <w:rPr>
          <w:rFonts w:ascii="Arial" w:cs="Arial" w:eastAsia="Arial" w:hAnsi="Arial"/>
          <w:sz w:val="22"/>
          <w:szCs w:val="22"/>
        </w:rPr>
        <w:t xml:space="preserve"> is null or negative.</w:t>
      </w:r>
    </w:p>
    <w:p>
      <w:pPr>
        <w:pStyle w:val="ListParagraph"/>
        <w:numPr>
          <w:ilvl w:val="0"/>
          <w:numId w:val="3"/>
        </w:numPr>
        <w:spacing w:before="60" w:after="60" w:line="320" w:lineRule="auto"/>
      </w:pPr>
      <w:r>
        <w:rPr>
          <w:rFonts w:ascii="Arial" w:cs="Arial" w:eastAsia="Arial" w:hAnsi="Arial"/>
          <w:sz w:val="22"/>
          <w:szCs w:val="22"/>
        </w:rPr>
        <w:t xml:space="preserve">Document any features that cannot be computed from the new platform's logs in this guide under a new section.</w:t>
      </w:r>
    </w:p>
    <w:p>
      <w:pPr>
        <w:spacing w:before="0"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2"/>
              <w:left w:val="single" w:color="CCCCCC" w:sz="4"/>
              <w:bottom w:val="single" w:color="CCCCCC" w:sz="4"/>
              <w:right w:val="single" w:color="CCCCCC" w:sz="4"/>
            </w:tcBorders>
            <w:shd w:fill="EBF3FB" w:val="clear"/>
            <w:tcMar>
              <w:top w:type="dxa" w:w="120"/>
              <w:left w:type="dxa" w:w="180"/>
              <w:bottom w:type="dxa" w:w="120"/>
              <w:right w:type="dxa" w:w="180"/>
            </w:tcMar>
          </w:tcPr>
          <w:p>
            <w:r>
              <w:rPr>
                <w:rFonts w:ascii="Arial" w:cs="Arial" w:eastAsia="Arial" w:hAnsi="Arial"/>
                <w:b/>
                <w:bCs/>
                <w:color w:val="2E75B6"/>
                <w:sz w:val="20"/>
                <w:szCs w:val="20"/>
              </w:rPr>
              <w:t xml:space="preserve">Design Principle</w:t>
            </w:r>
          </w:p>
          <w:p>
            <w:pPr>
              <w:spacing w:before="80"/>
              <w:jc w:val="both"/>
            </w:pPr>
            <w:r>
              <w:rPr>
                <w:rFonts w:ascii="Arial" w:cs="Arial" w:eastAsia="Arial" w:hAnsi="Arial"/>
                <w:sz w:val="20"/>
                <w:szCs w:val="20"/>
              </w:rPr>
              <w:t xml:space="preserve">The CIR is the contract between the parser layer and the feature layer. As long as a parser produces a DataFrame that conforms to the CIR schema in Table 6, all 40 features and both anomaly detection layers will function correctly without any modification.</w:t>
            </w:r>
          </w:p>
        </w:tc>
      </w:tr>
    </w:tbl>
    <w:p>
      <w:r>
        <w:br/>
      </w:r>
    </w:p>
    <w:p>
      <w:pPr>
        <w:pStyle w:val="Heading1"/>
        <w:pBdr>
          <w:bottom w:val="single" w:color="2E75B6" w:sz="6" w:space="4"/>
        </w:pBdr>
        <w:spacing w:before="480" w:after="240"/>
      </w:pPr>
      <w:r>
        <w:rPr>
          <w:rFonts w:ascii="Arial" w:cs="Arial" w:eastAsia="Arial" w:hAnsi="Arial"/>
          <w:b/>
          <w:bCs/>
          <w:color w:val="1F4E79"/>
          <w:sz w:val="32"/>
          <w:szCs w:val="32"/>
        </w:rPr>
        <w:t xml:space="preserve">8. Glossary</w:t>
      </w:r>
    </w:p>
    <w:p>
      <w:pPr>
        <w:spacing w:before="0"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Term</w:t>
            </w:r>
          </w:p>
        </w:tc>
        <w:tc>
          <w:tcPr>
            <w:tcW w:type="dxa" w:w="6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tcPr>
          <w:p>
            <w:pPr>
              <w:jc w:val="left"/>
            </w:pPr>
            <w:r>
              <w:rPr>
                <w:rFonts w:ascii="Arial" w:cs="Arial" w:eastAsia="Arial" w:hAnsi="Arial"/>
                <w:b/>
                <w:bCs/>
                <w:color w:val="FFFFFF"/>
                <w:sz w:val="19"/>
                <w:szCs w:val="19"/>
              </w:rPr>
              <w:t xml:space="preserve">Definition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Audit log</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CSV file automatically generated by SurveyCTO or ODK that records every form interaction event during an interview, including timestamps and field identifiers.</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CIR</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Common Intermediate Representation. The standardised Pandas DataFrame format produced by all parsers and consumed by all feature extraction and detection modules.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Duration_ms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computed duration of an event in milliseconds, calculated as end_ms minus start_ms.</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Epoch milliseconds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 timestamp expressed as the number of milliseconds elapsed since 1 January 1970 00:00:00 UTC. Used natively by SurveyCTO; requires conversion from ISO 8601 for ODK.</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Event taxonomy</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complete set of named event types recorded by a platform. Differs between SurveyCTO and ODK.</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ISO 8601</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An international standard for representing dates and times as strings (e.g., 2024-03-26T10:00:01.200). Used by ODK for timestamps.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Node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The XPath identifier of a form field (e.g., /data/household/q_age). Used by both SurveyCTO and ODK to identify which field an event relates to.</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Paradata</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Process data automatically captured by digital survey platforms during data collection, recording how interviews are conducted rather than the responses themselves.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2E75B6"/>
                <w:sz w:val="19"/>
                <w:szCs w:val="19"/>
              </w:rPr>
              <w:t xml:space="preserve">Parser</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color w:val="000000"/>
                <w:sz w:val="19"/>
                <w:szCs w:val="19"/>
              </w:rPr>
              <w:t xml:space="preserve">A class that reads a platform-specific audit log CSV and produces a CIR-compliant DataFrame.</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2E75B6"/>
                <w:sz w:val="19"/>
                <w:szCs w:val="19"/>
              </w:rPr>
              <w:t xml:space="preserve">XPath</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color w:val="000000"/>
                <w:sz w:val="19"/>
                <w:szCs w:val="19"/>
              </w:rPr>
              <w:t xml:space="preserve">A notation for identifying elements in an XML document structure. Used by SurveyCTO and ODK to address form fields hierarchically.</w:t>
            </w:r>
          </w:p>
        </w:tc>
      </w:tr>
    </w:tbl>
    <w:p>
      <w:pPr>
        <w:spacing w:before="0" w:after="100"/>
      </w:pPr>
      <w:r>
        <w:rPr>
          <w:rFonts w:ascii="Arial" w:cs="Arial" w:eastAsia="Arial" w:hAnsi="Arial"/>
        </w:rPr>
        <w:t xml:space="preserve"/>
      </w:r>
    </w:p>
    <w:p>
      <w:pPr>
        <w:jc w:val="center"/>
      </w:pPr>
      <w:r>
        <w:rPr>
          <w:rFonts w:ascii="Arial" w:cs="Arial" w:eastAsia="Arial" w:hAnsi="Arial"/>
          <w:i/>
          <w:iCs/>
          <w:color w:val="404040"/>
          <w:sz w:val="18"/>
          <w:szCs w:val="18"/>
        </w:rPr>
        <w:t xml:space="preserve">Table 9. Glossary of terms used in this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360"/>
      </w:tabs>
      <w:spacing w:before="0"/>
    </w:pPr>
    <w:r>
      <w:rPr>
        <w:rFonts w:ascii="Arial" w:cs="Arial" w:eastAsia="Arial" w:hAnsi="Arial"/>
        <w:color w:val="888888"/>
        <w:sz w:val="18"/>
        <w:szCs w:val="18"/>
      </w:rPr>
      <w:t xml:space="preserve">Samuel Kaoma  •  2022016530  •  UNZA CSC 4004</w:t>
    </w:r>
    <w:r>
      <w:rPr>
        <w:color w:val="888888"/>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spacing w:after="0"/>
    </w:pPr>
    <w:r>
      <w:rPr>
        <w:rFonts w:ascii="Arial" w:cs="Arial" w:eastAsia="Arial" w:hAnsi="Arial"/>
        <w:b/>
        <w:bCs/>
        <w:color w:val="888888"/>
        <w:sz w:val="18"/>
        <w:szCs w:val="18"/>
      </w:rPr>
      <w:t xml:space="preserve">Paradata Format Guide: SurveyCTO &amp; ODK Audit Log Structures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2026-04-04T08:41:42.963Z</dcterms:created>
  <dcterms:modified xsi:type="dcterms:W3CDTF">2026-04-04T08:41:42.963Z</dcterms:modified>
</cp:coreProperties>
</file>

<file path=docProps/custom.xml><?xml version="1.0" encoding="utf-8"?>
<Properties xmlns="http://schemas.openxmlformats.org/officeDocument/2006/custom-properties" xmlns:vt="http://schemas.openxmlformats.org/officeDocument/2006/docPropsVTypes"/>
</file>