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bd9ec07edeb14c651b913d46402476d938bc99"/>
    <w:p>
      <w:pPr>
        <w:pStyle w:val="Heading1"/>
      </w:pPr>
      <w:r>
        <w:t xml:space="preserve">Automated Extraction and Analysis of Timing-Based Paradata Features for Survey Quality Assurance</w:t>
      </w:r>
    </w:p>
    <w:p>
      <w:pPr>
        <w:pStyle w:val="FirstParagraph"/>
      </w:pPr>
      <w:r>
        <w:t xml:space="preserve">Samuel Kaoma (2022016530) | CSC 4004 | Supervisor: Mr. Mofya Phiri | July 2026</w:t>
      </w:r>
    </w:p>
    <w:bookmarkStart w:id="16" w:name="abstract"/>
    <w:p>
      <w:pPr>
        <w:pStyle w:val="Heading2"/>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Although survey methodology research has repeatedly shown that such timing data can expose fabrication, speeding and disengagement, paradata remains underused in practice because the raw logs differ across platforms and no standard tooling exists to turn them into analytical features.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Across the stress runs speeding was detected in every case, disengagement in 89 percent of cases, and mild fabrication in 70 percent of cases.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16"/>
    <w:bookmarkStart w:id="20" w:name="introduction"/>
    <w:p>
      <w:pPr>
        <w:pStyle w:val="Heading2"/>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17" w:name="problem-statement"/>
    <w:p>
      <w:pPr>
        <w:pStyle w:val="Heading3"/>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the complete absence of the natural navigation errors that human interviewers make (Wenz, Kreuter and Janke, 2019). At the same time, the raw material needed to detect these patterns already exists in the audit logs that both major platforms produce by default. The barrier is the absence of automated, format-aware tools that transform heterogeneous logs into structured features and apply statistically sound detection methods that respect the non-normal distributions typical of response time data (Iglewicz and Hoaglin, 1993).</w:t>
      </w:r>
    </w:p>
    <w:bookmarkEnd w:id="17"/>
    <w:bookmarkStart w:id="18" w:name="aim"/>
    <w:p>
      <w:pPr>
        <w:pStyle w:val="Heading3"/>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8"/>
    <w:bookmarkStart w:id="19" w:name="objectives"/>
    <w:p>
      <w:pPr>
        <w:pStyle w:val="Heading3"/>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r>
        <w:t xml:space="preserve"> </w:t>
      </w:r>
      <w:r>
        <w:t xml:space="preserve">### 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9"/>
    <w:bookmarkEnd w:id="20"/>
    <w:bookmarkStart w:id="21" w:name="literature-review"/>
    <w:p>
      <w:pPr>
        <w:pStyle w:val="Heading2"/>
      </w:pPr>
      <w:r>
        <w:t xml:space="preserve">2. Literature Review</w:t>
      </w:r>
    </w:p>
    <w:p>
      <w:pPr>
        <w:pStyle w:val="FirstParagraph"/>
      </w:pPr>
      <w:r>
        <w:t xml:space="preserve">The Total Survey Error framework developed by Groves et al. (2009) treats data quality as the product of error sources across every stage of the survey process. Within this framework paradata has emerged as a practical mechanism for monitoring error at the interviewing stage. Couper (1998) first demonstrated that process data captured inside computer-assisted instruments could serve as quality indicators, establishing the basis for timing-based analysis.</w:t>
      </w:r>
    </w:p>
    <w:p>
      <w:pPr>
        <w:pStyle w:val="BodyText"/>
      </w:pPr>
      <w:r>
        <w:t xml:space="preserve">Yan and Tourangeau (2008) examined response latency directly and found that question complexity, respondent age and topic familiarity all predict response time. Their central finding for the present work is that questions answered unusually quickly relative to their complexity are associated with reduced cognitive engagement and lower data quality. Answering a survey question requires comprehension, retrieval, judgement and response selection; respondents who satisfice skip the middle stages, and the missing effort is visible in the timing record (Krosnick, 1991). This motivates the question-level response time, time to first interaction and complexity-related pace features in the taxonomy used here.</w:t>
      </w:r>
    </w:p>
    <w:p>
      <w:pPr>
        <w:pStyle w:val="BodyText"/>
      </w:pPr>
      <w:r>
        <w:t xml:space="preserve">Conrad, Tourangeau and Couper (2013) explored adaptive survey designs driven by paradata and showed that behavioural signals observable during the interview, including extended pauses and repeated backward navigation, identify respondent difficulty and disengagement. Their analysis supports the section-level pause frequency, pause duration and back-navigation features adopted in this project.</w:t>
      </w:r>
    </w:p>
    <w:p>
      <w:pPr>
        <w:pStyle w:val="BodyText"/>
      </w:pPr>
      <w:r>
        <w:t xml:space="preserve">The most directly applicable empirical work is that of Wenz, Kreuter and Janke (2019), who investigated data fabrication using paradata from interviewer-administered surveys. Fabricated interviews exhibited compressed response time distributions, with reduced interquartile spread and low variance in question-level durations, together with abnormally low back-navigation counts and unusually uniform section pacing. These findings supply the statistical signature that the anomaly detection component of this project is designed to recognise, and they directly justify the choice of interquartile range thresholding as the primary detection method.</w:t>
      </w:r>
    </w:p>
    <w:p>
      <w:pPr>
        <w:pStyle w:val="BodyText"/>
      </w:pPr>
      <w:r>
        <w:t xml:space="preserve">Kreuter (2013) surveys paradata-driven quality improvement across large survey programmes and reports two findings of practical importance here. First, computational processing of timing data requires platform-specific parsing before any analysis can begin, which motivates the parser layer of this system. Second, survey-level features such as total duration, pace trajectory across the interview and time-of-day effects are robust indicators that survive aggregation across very different instruments.</w:t>
      </w:r>
    </w:p>
    <w:p>
      <w:pPr>
        <w:pStyle w:val="BodyText"/>
      </w:pPr>
      <w:r>
        <w:t xml:space="preserve">On the statistical side, response time distributions are strongly right-skewed, which makes methods that assume normality unreliable for outlier detection (Hawkins, 1980; Iglewicz and Hoaglin, 1993). Interquartile range fences make no distributional assumption and are themselves resistant to the influence of the outliers they are meant to find, which is why they are preferred here over z-score methods. Broader surveys of anomaly detection (Chandola, Banerjee and Kumar, 2009; Hodge and Austin, 2004) distinguish univariate approaches, which examine one feature at a time, from multivariate approaches that model joint structure. Univariate methods are transparent and interpretable, properties valued in survey quality workflows where a flagged interview must be explainable to a field supervisor, but they cannot detect anomalies visible only in combinations of features. This trade-off is accepted explicitly in the present design and revisited in the results.</w:t>
      </w:r>
    </w:p>
    <w:p>
      <w:pPr>
        <w:pStyle w:val="BodyText"/>
      </w:pPr>
      <w:r>
        <w:t xml:space="preserve">Finally, the evaluation strategy draws on the synthetic data literature. Where labelled real-world anomalies are unavailable, controlled injection of known anomaly types into generated data is an established way to benchmark detection systems (Chawla et al., 2002). Evaluation metrics computed on synthetic data are sensitive to class prevalence, so a fixed anomaly ratio can misrepresent operational performance; varying the ratio is the standard mitigation (Japkowicz and Stephen, 2002). Both practices are followed in this study.</w:t>
      </w:r>
    </w:p>
    <w:bookmarkEnd w:id="21"/>
    <w:bookmarkStart w:id="28" w:name="methodology"/>
    <w:p>
      <w:pPr>
        <w:pStyle w:val="Heading2"/>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22" w:name="common-intermediate-representation"/>
    <w:p>
      <w:pPr>
        <w:pStyle w:val="Heading3"/>
      </w:pPr>
      <w:r>
        <w:t xml:space="preserve">3.1 Common intermediate representation</w:t>
      </w:r>
    </w:p>
    <w:p>
      <w:pPr>
        <w:pStyle w:val="FirstParagraph"/>
      </w:pPr>
      <w:r>
        <w:t xml:space="preserve">SurveyCTO and ODK audit logs differ in event taxonomy, field naming and timestamp encoding. SurveyCTO exports event-based CSV files with epoch-millisecond timestamps attached to field identifiers, while ODK exports use ISO 8601 timestamp strings and a different event vocabulary.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 Event vocabularies differ between the platforms: SurveyCTO logs events such as form-start, constraint and end against XPath node identifiers, while ODK uses terms such as form start, question and end screen against instance and name columns. 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22"/>
    <w:bookmarkStart w:id="23" w:name="feature-taxonomy"/>
    <w:p>
      <w:pPr>
        <w:pStyle w:val="Heading3"/>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Identifiers</w:t>
            </w:r>
          </w:p>
        </w:tc>
        <w:tc>
          <w:tcPr/>
          <w:p>
            <w:pPr>
              <w:pStyle w:val="Compact"/>
            </w:pPr>
            <w:r>
              <w:t xml:space="preserve">Content</w:t>
            </w:r>
          </w:p>
        </w:tc>
      </w:tr>
      <w:tr>
        <w:tc>
          <w:tcPr/>
          <w:p>
            <w:pPr>
              <w:pStyle w:val="Compact"/>
            </w:pPr>
            <w:r>
              <w:t xml:space="preserve">Question level</w:t>
            </w:r>
          </w:p>
        </w:tc>
        <w:tc>
          <w:tcPr/>
          <w:p>
            <w:pPr>
              <w:pStyle w:val="Compact"/>
            </w:pPr>
            <w:r>
              <w:t xml:space="preserve">Q-01 to Q-10</w:t>
            </w:r>
          </w:p>
        </w:tc>
        <w:tc>
          <w:tcPr/>
          <w:p>
            <w:pPr>
              <w:pStyle w:val="Compact"/>
            </w:pPr>
            <w:r>
              <w:t xml:space="preserve">Response time, time to first interaction, edit count, revisit flag and count, completion ratio, idle time, event count, constraint triggers, first-to-last interaction span</w:t>
            </w:r>
          </w:p>
        </w:tc>
      </w:tr>
      <w:tr>
        <w:tc>
          <w:tcPr/>
          <w:p>
            <w:pPr>
              <w:pStyle w:val="Compact"/>
            </w:pPr>
            <w:r>
              <w:t xml:space="preserve">Section level</w:t>
            </w:r>
          </w:p>
        </w:tc>
        <w:tc>
          <w:tcPr/>
          <w:p>
            <w:pPr>
              <w:pStyle w:val="Compact"/>
            </w:pPr>
            <w:r>
              <w:t xml:space="preserve">S-01 to S-10</w:t>
            </w:r>
          </w:p>
        </w:tc>
        <w:tc>
          <w:tcPr/>
          <w:p>
            <w:pPr>
              <w:pStyle w:val="Compact"/>
            </w:pPr>
            <w:r>
              <w:t xml:space="preserve">Mean section pace, section duration, within-section variance, pace ratio to survey mean, pause counts above five and thirty seconds, mean and maximum pause, back-navigation count, completion rate</w:t>
            </w:r>
          </w:p>
        </w:tc>
      </w:tr>
      <w:tr>
        <w:tc>
          <w:tcPr/>
          <w:p>
            <w:pPr>
              <w:pStyle w:val="Compact"/>
            </w:pPr>
            <w:r>
              <w:t xml:space="preserve">Survey level</w:t>
            </w:r>
          </w:p>
        </w:tc>
        <w:tc>
          <w:tcPr/>
          <w:p>
            <w:pPr>
              <w:pStyle w:val="Compact"/>
            </w:pPr>
            <w:r>
              <w:t xml:space="preserve">V-01 to V-10</w:t>
            </w:r>
          </w:p>
        </w:tc>
        <w:tc>
          <w:tcPr/>
          <w:p>
            <w:pPr>
              <w:pStyle w:val="Compact"/>
            </w:pPr>
            <w:r>
              <w:t xml:space="preserve">Total duration, early and late pace, pace trajectory ratio, back-navigation rate and total, start hour, day of week, duration relative to sample median, consecutive no-back-navigation flag</w:t>
            </w:r>
          </w:p>
        </w:tc>
      </w:tr>
      <w:tr>
        <w:tc>
          <w:tcPr/>
          <w:p>
            <w:pPr>
              <w:pStyle w:val="Compact"/>
            </w:pPr>
            <w:r>
              <w:t xml:space="preserve">Statistical</w:t>
            </w:r>
          </w:p>
        </w:tc>
        <w:tc>
          <w:tcPr/>
          <w:p>
            <w:pPr>
              <w:pStyle w:val="Compact"/>
            </w:pPr>
            <w:r>
              <w:t xml:space="preserve">T-01 to T-10</w:t>
            </w:r>
          </w:p>
        </w:tc>
        <w:tc>
          <w:tcPr/>
          <w:p>
            <w:pPr>
              <w:pStyle w:val="Compact"/>
            </w:pPr>
            <w:r>
              <w:t xml:space="preserve">Variance, interquartile range, Shannon entropy, skewness, excess kurtosis, mean, median, coefficient of variation, minimum and maximum of the response time distribution</w:t>
            </w:r>
          </w:p>
        </w:tc>
      </w:tr>
    </w:tbl>
    <w:p>
      <w:pPr>
        <w:pStyle w:val="BodyText"/>
      </w:pPr>
      <w:r>
        <w:t xml:space="preserve">Two features are proxies imposed by the source data. The event count per field stands in for keystroke count, because neither platform logs individual keystrokes, and the field completion ratio is derived from whether measurable time was spent on the field, because the audit log does not record answer content. Both proxies are documented in the feature guide so that users do not over-interpret them.</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23"/>
    <w:bookmarkStart w:id="24" w:name="key-statistical-formulations"/>
    <w:p>
      <w:pPr>
        <w:pStyle w:val="Heading3"/>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24"/>
    <w:bookmarkStart w:id="25" w:name="anomaly-detection"/>
    <w:p>
      <w:pPr>
        <w:pStyle w:val="Heading3"/>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1.5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Wherever a threshold could depend on the instrument or population, it is expressed relative to the sample median rather than as an absolute number, and every threshold is a configuration parameter rather than a constant in code.</w:t>
      </w:r>
    </w:p>
    <w:p>
      <w:pPr>
        <w:pStyle w:val="BodyText"/>
      </w:pPr>
      <w:r>
        <w:t xml:space="preserve">Each interview receives an anomaly score equal to the number of active flags, with the four statistical flags contributing at most one point jointly so that a single extreme value cannot dominate the score. Interviews scoring at or above two are categorised as suspicious and at or above five as anomalous.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25"/>
    <w:bookmarkStart w:id="26" w:name="computational-considerations"/>
    <w:p>
      <w:pPr>
        <w:pStyle w:val="Heading3"/>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Memory use is bounded by processing files independently and holding only interview-level summaries for the batch stage. Benchmarking during evaluation confirmed comfortable processing of ten-thousand-interview datasets on commodity hardware.</w:t>
      </w:r>
    </w:p>
    <w:bookmarkEnd w:id="26"/>
    <w:bookmarkStart w:id="27" w:name="ethical-considerations"/>
    <w:p>
      <w:pPr>
        <w:pStyle w:val="Heading3"/>
      </w:pPr>
      <w:r>
        <w:t xml:space="preserve">3.6 Ethical considerations</w:t>
      </w:r>
    </w:p>
    <w:p>
      <w:pPr>
        <w:pStyle w:val="FirstParagraph"/>
      </w:pPr>
      <w:r>
        <w:t xml:space="preserve">The system operates on paradata rather than on survey responses, which substantially reduces privacy risk. All evaluation data in this study is synthetic, so no respondent information of any kind was processed. The use of artificial intelligence tools during development is disclosed in a dedicated usage log appended to the project repository, in line with the supervision framework for the academic year.</w:t>
      </w:r>
    </w:p>
    <w:bookmarkEnd w:id="27"/>
    <w:bookmarkEnd w:id="28"/>
    <w:bookmarkStart w:id="29" w:name="implementation"/>
    <w:p>
      <w:pPr>
        <w:pStyle w:val="Heading2"/>
      </w:pPr>
      <w:r>
        <w:t xml:space="preserve">4. Implementation</w:t>
      </w:r>
    </w:p>
    <w:p>
      <w:pPr>
        <w:pStyle w:val="FirstParagraph"/>
      </w:pPr>
      <w:r>
        <w:t xml:space="preserve">The pipeline is organised as five decoupled layers coordinated by a controller. 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thirty-three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 and all five fixes are covered by the test suite and recorded in version control.</w:t>
      </w:r>
    </w:p>
    <w:bookmarkEnd w:id="29"/>
    <w:bookmarkStart w:id="34" w:name="evaluation-methodology"/>
    <w:p>
      <w:pPr>
        <w:pStyle w:val="Heading2"/>
      </w:pPr>
      <w:r>
        <w:t xml:space="preserve">5. Evaluation Methodology</w:t>
      </w:r>
    </w:p>
    <w:bookmarkStart w:id="30" w:name="synthetic-data-generation"/>
    <w:p>
      <w:pPr>
        <w:pStyle w:val="Heading3"/>
      </w:pPr>
      <w:r>
        <w:t xml:space="preserve">5.1 Synthetic data generation</w:t>
      </w:r>
    </w:p>
    <w:p>
      <w:pPr>
        <w:pStyle w:val="FirstParagraph"/>
      </w:pPr>
      <w:r>
        <w:t xml:space="preserve">Evaluation uses synthetic audit logs with labelled injected anomalies, an established approach where labelled real-world data is unavailable (Chawla et al., 2002). The generator produces structurally realistic logs in both platform formats: interviews open with a form-start row and close with a form-end row carrying blank field identifiers, questions belong to five named sections of four questions each, genuine respondents occasionally trigger validation constraints, and navigation events appear at random positions. Response times for genuine interviews follow a log-normal distribution, consistent with empirical response latency research (Yan and Tourangeau, 2008),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according to the patterns documented in prior work. Fabricated interviews compress the response time distribution, ignore question complexity and suppress back-navigation (Wenz, Kreuter and Janke, 2019). Speeding interviews scale response times below plausible completion thresholds. Disengaged interviews combine slow uniform pacing with elevated pauses and erratic back-navigation (Conrad, Tourangeau and Couper, 2013).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bookmarkEnd w:id="30"/>
    <w:bookmarkStart w:id="31" w:name="design-against-overfitting"/>
    <w:p>
      <w:pPr>
        <w:pStyle w:val="Heading3"/>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bookmarkEnd w:id="31"/>
    <w:bookmarkStart w:id="32" w:name="datasets"/>
    <w:p>
      <w:pPr>
        <w:pStyle w:val="Heading3"/>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Ground truth for every dataset records each interview’s profile and binary anomaly status, and the evaluation join verifies that predictions cover the ground truth exactly.</w:t>
      </w:r>
    </w:p>
    <w:bookmarkEnd w:id="32"/>
    <w:bookmarkStart w:id="33" w:name="metrics-and-baselines"/>
    <w:p>
      <w:pPr>
        <w:pStyle w:val="Heading3"/>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that flags only interviews with zero back-navigation.</w:t>
      </w:r>
    </w:p>
    <w:bookmarkEnd w:id="33"/>
    <w:bookmarkEnd w:id="34"/>
    <w:bookmarkStart w:id="42" w:name="results"/>
    <w:p>
      <w:pPr>
        <w:pStyle w:val="Heading2"/>
      </w:pPr>
      <w:r>
        <w:t xml:space="preserve">6. Results</w:t>
      </w:r>
    </w:p>
    <w:bookmarkStart w:id="35" w:name="canonical-suite"/>
    <w:p>
      <w:pPr>
        <w:pStyle w:val="Heading3"/>
      </w:pPr>
      <w:r>
        <w:t xml:space="preserve">6.1 Canonical suite</w:t>
      </w:r>
    </w:p>
    <w:p>
      <w:pPr>
        <w:pStyle w:val="FirstParagraph"/>
      </w:pPr>
      <w:r>
        <w:t xml:space="preserve">On the canonical suite every interview was assigned its expected category in both platform formats: genuine interviews scored at most one flag, fabricated interviews scored five or more, speeding and disengaged interviews landed at least in the suspicious band, and the degenerate records were routed to the data quality category rather than scored behaviourally. This confirms the intended mapping between profile and category before the harder conditions are considered.</w:t>
      </w:r>
    </w:p>
    <w:bookmarkEnd w:id="35"/>
    <w:bookmarkStart w:id="36" w:name="feature-validity"/>
    <w:p>
      <w:pPr>
        <w:pStyle w:val="Heading3"/>
      </w:pPr>
      <w:r>
        <w:t xml:space="preserve">6.2 Feature validity</w:t>
      </w:r>
    </w:p>
    <w:p>
      <w:pPr>
        <w:pStyle w:val="FirstParagraph"/>
      </w:pPr>
      <w:r>
        <w:t xml:space="preserve">Mann-Whitney U tests found that thirty of the forty features separate normal from anomalous interviews at conventional significance levels, with large effect sizes concentrated in the statistical group, particularly response time variance, interquartile range, entropy and coefficient of variation, and in total duration. Features that did not discriminate, such as start hour and day of week, are contextual rather than behavioural; they are retained in the output for analysts but carry no weight in detection.</w:t>
      </w:r>
    </w:p>
    <w:bookmarkEnd w:id="36"/>
    <w:bookmarkStart w:id="37" w:name="baseline-comparison"/>
    <w:p>
      <w:pPr>
        <w:pStyle w:val="Heading3"/>
      </w:pPr>
      <w:r>
        <w:t xml:space="preserve">6.3 Baseline comparison</w:t>
      </w:r>
    </w:p>
    <w:p>
      <w:pPr>
        <w:pStyle w:val="FirstParagraph"/>
      </w:pPr>
      <w:r>
        <w:t xml:space="preserve">On a five-hundred-interview benchmark in SurveyCTO format, the duration-only baseline achieved precision 0.96 but recall 0.66, missing every anomaly whose total duration lay inside the fences. The zero-back-navigation baseline achieved precision 0.46 and recall 0.66. The full detector achieved precision 1.00 and recall 1.00 on the same data. The comparison confirms the central premise of the project: aggregate duration alone misses a third of injected anomalies that multi-feature analysis captures.</w:t>
      </w:r>
    </w:p>
    <w:bookmarkEnd w:id="37"/>
    <w:bookmarkStart w:id="38" w:name="class-imbalance-sweep"/>
    <w:p>
      <w:pPr>
        <w:pStyle w:val="Heading3"/>
      </w:pPr>
      <w:r>
        <w:t xml:space="preserve">6.4 Class imbalance sweep</w:t>
      </w:r>
    </w:p>
    <w:p>
      <w:pPr>
        <w:pStyle w:val="FirstParagraph"/>
      </w:pPr>
      <w:r>
        <w:t xml:space="preserve">On canonical-difficulty datasets of five hundred interviews generated from a held-out seed, recall remained 1.00 at every prevalence level while precision varied with prevalence as expected.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Anomaly prevalence</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5 percent</w:t>
            </w:r>
          </w:p>
        </w:tc>
        <w:tc>
          <w:tcPr/>
          <w:p>
            <w:pPr>
              <w:pStyle w:val="Compact"/>
            </w:pPr>
            <w:r>
              <w:t xml:space="preserve">0.9615</w:t>
            </w:r>
          </w:p>
        </w:tc>
        <w:tc>
          <w:tcPr/>
          <w:p>
            <w:pPr>
              <w:pStyle w:val="Compact"/>
            </w:pPr>
            <w:r>
              <w:t xml:space="preserve">1.0000</w:t>
            </w:r>
          </w:p>
        </w:tc>
        <w:tc>
          <w:tcPr/>
          <w:p>
            <w:pPr>
              <w:pStyle w:val="Compact"/>
            </w:pPr>
            <w:r>
              <w:t xml:space="preserve">0.9804</w:t>
            </w:r>
          </w:p>
        </w:tc>
      </w:tr>
      <w:tr>
        <w:tc>
          <w:tcPr/>
          <w:p>
            <w:pPr>
              <w:pStyle w:val="Compact"/>
            </w:pPr>
            <w:r>
              <w:t xml:space="preserve">10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20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30 percent</w:t>
            </w:r>
          </w:p>
        </w:tc>
        <w:tc>
          <w:tcPr/>
          <w:p>
            <w:pPr>
              <w:pStyle w:val="Compact"/>
            </w:pPr>
            <w:r>
              <w:t xml:space="preserve">1.0000</w:t>
            </w:r>
          </w:p>
        </w:tc>
        <w:tc>
          <w:tcPr/>
          <w:p>
            <w:pPr>
              <w:pStyle w:val="Compact"/>
            </w:pPr>
            <w:r>
              <w:t xml:space="preserve">1.0000</w:t>
            </w:r>
          </w:p>
        </w:tc>
        <w:tc>
          <w:tcPr/>
          <w:p>
            <w:pPr>
              <w:pStyle w:val="Compact"/>
            </w:pPr>
            <w:r>
              <w:t xml:space="preserve">1.0000</w:t>
            </w:r>
          </w:p>
        </w:tc>
      </w:tr>
    </w:tbl>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the result quantifies the review burden a deployment should expect.</w:t>
      </w:r>
    </w:p>
    <w:bookmarkEnd w:id="38"/>
    <w:bookmarkStart w:id="39" w:name="held-out-stress-evaluation"/>
    <w:p>
      <w:pPr>
        <w:pStyle w:val="Heading3"/>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Seed 7, SurveyCTO</w:t>
            </w:r>
          </w:p>
        </w:tc>
        <w:tc>
          <w:tcPr/>
          <w:p>
            <w:pPr>
              <w:pStyle w:val="Compact"/>
            </w:pPr>
            <w:r>
              <w:t xml:space="preserve">0.9770</w:t>
            </w:r>
          </w:p>
        </w:tc>
        <w:tc>
          <w:tcPr/>
          <w:p>
            <w:pPr>
              <w:pStyle w:val="Compact"/>
            </w:pPr>
            <w:r>
              <w:t xml:space="preserve">0.8500</w:t>
            </w:r>
          </w:p>
        </w:tc>
        <w:tc>
          <w:tcPr/>
          <w:p>
            <w:pPr>
              <w:pStyle w:val="Compact"/>
            </w:pPr>
            <w:r>
              <w:t xml:space="preserve">0.9091</w:t>
            </w:r>
          </w:p>
        </w:tc>
      </w:tr>
      <w:tr>
        <w:tc>
          <w:tcPr/>
          <w:p>
            <w:pPr>
              <w:pStyle w:val="Compact"/>
            </w:pPr>
            <w:r>
              <w:t xml:space="preserve">Seed 7, ODK</w:t>
            </w:r>
          </w:p>
        </w:tc>
        <w:tc>
          <w:tcPr/>
          <w:p>
            <w:pPr>
              <w:pStyle w:val="Compact"/>
            </w:pPr>
            <w:r>
              <w:t xml:space="preserve">0.9570</w:t>
            </w:r>
          </w:p>
        </w:tc>
        <w:tc>
          <w:tcPr/>
          <w:p>
            <w:pPr>
              <w:pStyle w:val="Compact"/>
            </w:pPr>
            <w:r>
              <w:t xml:space="preserve">0.8900</w:t>
            </w:r>
          </w:p>
        </w:tc>
        <w:tc>
          <w:tcPr/>
          <w:p>
            <w:pPr>
              <w:pStyle w:val="Compact"/>
            </w:pPr>
            <w:r>
              <w:t xml:space="preserve">0.9223</w:t>
            </w:r>
          </w:p>
        </w:tc>
      </w:tr>
      <w:tr>
        <w:tc>
          <w:tcPr/>
          <w:p>
            <w:pPr>
              <w:pStyle w:val="Compact"/>
            </w:pPr>
            <w:r>
              <w:t xml:space="preserve">Seed 99, SurveyCTO</w:t>
            </w:r>
          </w:p>
        </w:tc>
        <w:tc>
          <w:tcPr/>
          <w:p>
            <w:pPr>
              <w:pStyle w:val="Compact"/>
            </w:pPr>
            <w:r>
              <w:t xml:space="preserve">1.0000</w:t>
            </w:r>
          </w:p>
        </w:tc>
        <w:tc>
          <w:tcPr/>
          <w:p>
            <w:pPr>
              <w:pStyle w:val="Compact"/>
            </w:pPr>
            <w:r>
              <w:t xml:space="preserve">0.8800</w:t>
            </w:r>
          </w:p>
        </w:tc>
        <w:tc>
          <w:tcPr/>
          <w:p>
            <w:pPr>
              <w:pStyle w:val="Compact"/>
            </w:pPr>
            <w:r>
              <w:t xml:space="preserve">0.9362</w:t>
            </w:r>
          </w:p>
        </w:tc>
      </w:tr>
      <w:tr>
        <w:tc>
          <w:tcPr/>
          <w:p>
            <w:pPr>
              <w:pStyle w:val="Compact"/>
            </w:pPr>
            <w:r>
              <w:t xml:space="preserve">Seed 99, ODK</w:t>
            </w:r>
          </w:p>
        </w:tc>
        <w:tc>
          <w:tcPr/>
          <w:p>
            <w:pPr>
              <w:pStyle w:val="Compact"/>
            </w:pPr>
            <w:r>
              <w:t xml:space="preserve">1.0000</w:t>
            </w:r>
          </w:p>
        </w:tc>
        <w:tc>
          <w:tcPr/>
          <w:p>
            <w:pPr>
              <w:pStyle w:val="Compact"/>
            </w:pPr>
            <w:r>
              <w:t xml:space="preserve">0.8400</w:t>
            </w:r>
          </w:p>
        </w:tc>
        <w:tc>
          <w:tcPr/>
          <w:p>
            <w:pPr>
              <w:pStyle w:val="Compact"/>
            </w:pPr>
            <w:r>
              <w:t xml:space="preserve">0.9130</w:t>
            </w:r>
          </w:p>
        </w:tc>
      </w:tr>
    </w:tbl>
    <w:p>
      <w:pPr>
        <w:pStyle w:val="BodyText"/>
      </w:pPr>
      <w:r>
        <w:t xml:space="preserve">All four runs exceed both success criteria. Performance is consistent across the two platform formats, which validates the common intermediate representation: the same detector, without modification, performs equivalently on structurally different inputs.</w:t>
      </w:r>
    </w:p>
    <w:bookmarkEnd w:id="39"/>
    <w:bookmarkStart w:id="40" w:name="detection-by-anomaly-type"/>
    <w:p>
      <w:pPr>
        <w:pStyle w:val="Heading3"/>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Aggregated across the four stress runs, 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 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the masking phenomenon long recognised in unsupervised outlier detection (Chandola, Banerjee and Kumar, 2009). A related structural limitation applies to the right-skewed non-negative features: for quantities such as response time variance the Tukey lower fence falls below zero and is therefore unreachable, so no low-side outlier can be detected on them at all. These are calibration and fence-construction limitations rather than evidence that univariate analysis is insufficient for this profile, and they are recorded here as the honest account of where the method’s recall is lost.</w:t>
      </w:r>
    </w:p>
    <w:bookmarkEnd w:id="40"/>
    <w:bookmarkStart w:id="41" w:name="scalability-and-regression-checks"/>
    <w:p>
      <w:pPr>
        <w:pStyle w:val="Heading3"/>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sorting over interviews. The pipeline processed benchmark datasets of ten thousand interviews without memory or runtime difficulty on commodity hardware. After all changes made during the robustness round, the canonical benchmark suite continued to score precision 1.00 and recall 1.00 in both formats, confirming that hardening the evaluation did not degrade performance on the original success cases, and the automated test suite passed in full.</w:t>
      </w:r>
    </w:p>
    <w:bookmarkEnd w:id="41"/>
    <w:bookmarkEnd w:id="42"/>
    <w:bookmarkStart w:id="43" w:name="discussion"/>
    <w:p>
      <w:pPr>
        <w:pStyle w:val="Heading2"/>
      </w:pPr>
      <w:r>
        <w:t xml:space="preserve">7. Discussion</w:t>
      </w:r>
    </w:p>
    <w:p>
      <w:pPr>
        <w:pStyle w:val="FirstParagraph"/>
      </w:pPr>
      <w:r>
        <w:t xml:space="preserve">The results support three substantive conclusions. First, the common intermediate representation works as designed. A single detector operating on normalised features performed equivalently on SurveyCTO and ODK inputs across every experiment, and adding a platform requires only a parser. Second, multi-feature timing analysis materially outperforms the aggregate-duration checking that represents current practice, raising recall from 0.66 to between 0.84 and 1.00 depending on condition while holding precision at or near 1.00. The features doing the heaviest work are exactly those the literature predicted: distributional shape measures for fabrication (Wenz, Kreuter and Janke, 2019) and pause and navigation measures for disengagement (Conrad, Tourangeau and Couper, 2013).</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a far more defensible claim. 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 That distinction matters for what should be done next: a corrected threshold is a smaller and better understood change than a move to multivariate modelling, and it should be attempted and evaluated first.</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survey organisations weight heavily in practice (Kreuter, 2013).</w:t>
      </w:r>
    </w:p>
    <w:p>
      <w:pPr>
        <w:pStyle w:val="BodyText"/>
      </w:pPr>
      <w:r>
        <w:t xml:space="preserve">A practical deployment would run the pipeline against each day’s uploaded audit logs, review the anomaly report each morning, and route suspicious interviews to back-checking while quarantining anomalous ones. The imbalance sweep results inform staffing for that workflow: at realistic low prevalence the detector produces roughly one false alarm per five hundred interviews, so review effort scales with genuine problems rather than with noise. The per-flag reporting also supports feedback to enumerators, since a pattern of speeding flags concentrated in one team is actionable in a way that a bare quality score is not.</w:t>
      </w:r>
    </w:p>
    <w:bookmarkEnd w:id="43"/>
    <w:bookmarkStart w:id="44" w:name="limitations"/>
    <w:p>
      <w:pPr>
        <w:pStyle w:val="Heading2"/>
      </w:pPr>
      <w:r>
        <w:t xml:space="preserve">8. Limitations</w:t>
      </w:r>
    </w:p>
    <w:p>
      <w:pPr>
        <w:pStyle w:val="FirstParagraph"/>
      </w:pPr>
      <w:r>
        <w:t xml:space="preserve">Evaluation is synthetic throughout. The generator was built to mimic documented properties of real audit logs, including structural events, complexity-correlated timing and realistic navigation, but no synthetic process reproduces the full variability of field data, and results here estimate an upper bound on operational performance (Chawla et al., 2002). Validation against real interviews with independently verified outcomes remains the most important extension.</w:t>
      </w:r>
    </w:p>
    <w:p>
      <w:pPr>
        <w:pStyle w:val="BodyText"/>
      </w:pPr>
      <w:r>
        <w:t xml:space="preserve">Detection is univariate, and anomalies expressed only in joint feature patterns will evade fence-based flags. The fabrication results are not themselves an instance of that limit, since the diagnostic found a single feature that separates the missed cases cleanly, but the limit remains real for adversaries whose individual features all fall within normal ranges. The thresholds shipped as defaults were chosen from the literature and from calibration data, and although every threshold is configurable and most are median-relative, deployments on instruments very unlike the twenty-question household pattern of the benchmarks should recalibrate.</w:t>
      </w:r>
    </w:p>
    <w:p>
      <w:pPr>
        <w:pStyle w:val="BodyText"/>
      </w:pPr>
      <w:r>
        <w:t xml:space="preserve">Finally, the pipeline depends on the integrity of device clocks and on each platform continuing to emit its current audit schema. Clock drift or schema changes would degrade timestamps or parsing respectively; the parsers detect and mark such records rather than repair them.</w:t>
      </w:r>
    </w:p>
    <w:bookmarkEnd w:id="44"/>
    <w:bookmarkStart w:id="45" w:name="conclusion"/>
    <w:p>
      <w:pPr>
        <w:pStyle w:val="Heading2"/>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four levels of granularity,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All six objectives set at proposal stage are met. Future work should validate the system against real field data with verified outcomes, extend detection with an interpretable multivariate layer, and add parsers for further platforms, each of which the architecture was explicitly designed to accommodate.</w:t>
      </w:r>
    </w:p>
    <w:bookmarkEnd w:id="45"/>
    <w:bookmarkStart w:id="46" w:name="references"/>
    <w:p>
      <w:pPr>
        <w:pStyle w:val="Heading2"/>
      </w:pPr>
      <w:r>
        <w:t xml:space="preserve">References</w:t>
      </w:r>
    </w:p>
    <w:p>
      <w:pPr>
        <w:numPr>
          <w:ilvl w:val="0"/>
          <w:numId w:val="1002"/>
        </w:numPr>
      </w:pPr>
      <w:r>
        <w:t xml:space="preserve">Chandola, V., Banerjee, A. and Kumar, V. (2009)</w:t>
      </w:r>
      <w:r>
        <w:t xml:space="preserve"> </w:t>
      </w:r>
      <w:r>
        <w:t xml:space="preserve">‘Anomaly detection: a survey’</w:t>
      </w:r>
      <w:r>
        <w:t xml:space="preserve">,</w:t>
      </w:r>
      <w:r>
        <w:t xml:space="preserve"> </w:t>
      </w:r>
      <w:r>
        <w:rPr>
          <w:i/>
          <w:iCs/>
        </w:rPr>
        <w:t xml:space="preserve">ACM Computing Surveys</w:t>
      </w:r>
      <w:r>
        <w:t xml:space="preserve">, 41(3), pp. 1-58.</w:t>
      </w:r>
    </w:p>
    <w:p>
      <w:pPr>
        <w:numPr>
          <w:ilvl w:val="0"/>
          <w:numId w:val="1002"/>
        </w:numPr>
      </w:pPr>
      <w:r>
        <w:t xml:space="preserve">Chawla, N.V., Bowyer, K.W., Hall, L.O. and Kegelmeyer, W.P. (2002)</w:t>
      </w:r>
      <w:r>
        <w:t xml:space="preserve"> </w:t>
      </w:r>
      <w:r>
        <w:t xml:space="preserve">‘SMOTE: synthetic minority over-sampling technique’</w:t>
      </w:r>
      <w:r>
        <w:t xml:space="preserve">,</w:t>
      </w:r>
      <w:r>
        <w:t xml:space="preserve"> </w:t>
      </w:r>
      <w:r>
        <w:rPr>
          <w:i/>
          <w:iCs/>
        </w:rPr>
        <w:t xml:space="preserve">Journal of Artificial Intelligence Research</w:t>
      </w:r>
      <w:r>
        <w:t xml:space="preserve">, 16, pp. 321-357.</w:t>
      </w:r>
    </w:p>
    <w:p>
      <w:pPr>
        <w:numPr>
          <w:ilvl w:val="0"/>
          <w:numId w:val="1002"/>
        </w:numPr>
      </w:pPr>
      <w:r>
        <w:t xml:space="preserve">Conrad, F.G., Tourangeau, R. and Couper, M.P. (2013)</w:t>
      </w:r>
      <w:r>
        <w:t xml:space="preserve"> </w:t>
      </w:r>
      <w:r>
        <w:t xml:space="preserve">‘Adaptive survey design and paradata’</w:t>
      </w:r>
      <w:r>
        <w:t xml:space="preserve">,</w:t>
      </w:r>
      <w:r>
        <w:t xml:space="preserve"> </w:t>
      </w:r>
      <w:r>
        <w:rPr>
          <w:i/>
          <w:iCs/>
        </w:rPr>
        <w:t xml:space="preserve">Journal of Official Statistics</w:t>
      </w:r>
      <w:r>
        <w:t xml:space="preserve">, 29(2), pp. 299-320.</w:t>
      </w:r>
    </w:p>
    <w:p>
      <w:pPr>
        <w:numPr>
          <w:ilvl w:val="0"/>
          <w:numId w:val="1002"/>
        </w:numPr>
      </w:pPr>
      <w:r>
        <w:t xml:space="preserve">Couper, M.P. (1998)</w:t>
      </w:r>
      <w:r>
        <w:t xml:space="preserve"> </w:t>
      </w:r>
      <w:r>
        <w:t xml:space="preserve">‘Measuring survey quality in a CASIC environment’</w:t>
      </w:r>
      <w:r>
        <w:t xml:space="preserve">,</w:t>
      </w:r>
      <w:r>
        <w:t xml:space="preserve"> </w:t>
      </w:r>
      <w:r>
        <w:rPr>
          <w:i/>
          <w:iCs/>
        </w:rPr>
        <w:t xml:space="preserve">Proceedings of the Survey Research Methods Section</w:t>
      </w:r>
      <w:r>
        <w:t xml:space="preserve">. Alexandria, VA: American Statistical Association.</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w:t>
      </w:r>
      <w:r>
        <w:t xml:space="preserve"> </w:t>
      </w:r>
      <w:r>
        <w:t xml:space="preserve">‘A survey of outlier detection methodologies’</w:t>
      </w:r>
      <w:r>
        <w:t xml:space="preserve">,</w:t>
      </w:r>
      <w:r>
        <w:t xml:space="preserve"> </w:t>
      </w:r>
      <w:r>
        <w:rPr>
          <w:i/>
          <w:iCs/>
        </w:rPr>
        <w:t xml:space="preserve">Artificial Intelligence Review</w:t>
      </w:r>
      <w:r>
        <w:t xml:space="preserve">, 22(2), pp. 85-126.</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w:t>
      </w:r>
      <w:r>
        <w:t xml:space="preserve"> </w:t>
      </w:r>
      <w:r>
        <w:t xml:space="preserve">‘The class imbalance problem: a systematic study’</w:t>
      </w:r>
      <w:r>
        <w:t xml:space="preserve">,</w:t>
      </w:r>
      <w:r>
        <w:t xml:space="preserve"> </w:t>
      </w:r>
      <w:r>
        <w:rPr>
          <w:i/>
          <w:iCs/>
        </w:rPr>
        <w:t xml:space="preserve">Intelligent Data Analysis</w:t>
      </w:r>
      <w:r>
        <w:t xml:space="preserve">, 6(5), pp. 429-449.</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w:t>
      </w:r>
      <w:r>
        <w:t xml:space="preserve"> </w:t>
      </w:r>
      <w:r>
        <w:t xml:space="preserve">‘Response strategies for coping with the cognitive demands of attitude measures in surveys’</w:t>
      </w:r>
      <w:r>
        <w:t xml:space="preserve">,</w:t>
      </w:r>
      <w:r>
        <w:t xml:space="preserve"> </w:t>
      </w:r>
      <w:r>
        <w:rPr>
          <w:i/>
          <w:iCs/>
        </w:rPr>
        <w:t xml:space="preserve">Applied Cognitive Psychology</w:t>
      </w:r>
      <w:r>
        <w:t xml:space="preserve">, 5(3), pp. 213-236.</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Wenz, M., Kreuter, F. and Janke, S. (2019)</w:t>
      </w:r>
      <w:r>
        <w:t xml:space="preserve"> </w:t>
      </w:r>
      <w:r>
        <w:t xml:space="preserve">‘An investigation of data fabrication using paradata’</w:t>
      </w:r>
      <w:r>
        <w:t xml:space="preserve">,</w:t>
      </w:r>
      <w:r>
        <w:t xml:space="preserve"> </w:t>
      </w:r>
      <w:r>
        <w:rPr>
          <w:i/>
          <w:iCs/>
        </w:rPr>
        <w:t xml:space="preserve">Survey Research Methods</w:t>
      </w:r>
      <w:r>
        <w:t xml:space="preserve">, 13(1), pp. 35-47.</w:t>
      </w:r>
    </w:p>
    <w:p>
      <w:pPr>
        <w:numPr>
          <w:ilvl w:val="0"/>
          <w:numId w:val="1002"/>
        </w:numPr>
      </w:pPr>
      <w:r>
        <w:t xml:space="preserve">Yan, T. and Tourangeau, R. (2008)</w:t>
      </w:r>
      <w:r>
        <w:t xml:space="preserve"> </w:t>
      </w:r>
      <w:r>
        <w:t xml:space="preserve">‘Fast times and easy questions: the effects of age, experience and question complexity on web survey response times’</w:t>
      </w:r>
      <w:r>
        <w:t xml:space="preserve">,</w:t>
      </w:r>
      <w:r>
        <w:t xml:space="preserve"> </w:t>
      </w:r>
      <w:r>
        <w:rPr>
          <w:i/>
          <w:iCs/>
        </w:rPr>
        <w:t xml:space="preserve">Applied Cognitive Psychology</w:t>
      </w:r>
      <w:r>
        <w:t xml:space="preserve">, 22(1), pp. 51-68.</w:t>
      </w:r>
    </w:p>
    <w:bookmarkEnd w:id="46"/>
    <w:bookmarkEnd w:id="47"/>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2026-08-25T18:17:47Z</dcterms:created>
  <dcterms:modified xsi:type="dcterms:W3CDTF">2026-08-25T18:17:47Z</dcterms:modified>
</cp:coreProperties>
</file>

<file path=docProps/custom.xml><?xml version="1.0" encoding="utf-8"?>
<Properties xmlns="http://schemas.openxmlformats.org/officeDocument/2006/custom-properties" xmlns:vt="http://schemas.openxmlformats.org/officeDocument/2006/docPropsVTypes"/>
</file>