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radata-feature-documentation"/>
    <w:p>
      <w:pPr>
        <w:pStyle w:val="Heading1"/>
      </w:pPr>
      <w:r>
        <w:t xml:space="preserve">Paradata Feature Documentation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Automated Extraction and Analysis of Timing-Based Paradata Features for Survey Quality Assurance</w:t>
      </w:r>
      <w:r>
        <w:br/>
      </w:r>
      <w:r>
        <w:rPr>
          <w:b/>
          <w:bCs/>
        </w:rPr>
        <w:t xml:space="preserve">Student:</w:t>
      </w:r>
      <w:r>
        <w:t xml:space="preserve"> </w:t>
      </w:r>
      <w:r>
        <w:t xml:space="preserve">Samuel Kaoma (2022016530) ·</w:t>
      </w:r>
      <w:r>
        <w:t xml:space="preserve"> </w:t>
      </w:r>
      <w:r>
        <w:rPr>
          <w:b/>
          <w:bCs/>
        </w:rPr>
        <w:t xml:space="preserve">Course:</w:t>
      </w:r>
      <w:r>
        <w:t xml:space="preserve"> </w:t>
      </w:r>
      <w:r>
        <w:t xml:space="preserve">CSC 4004 ·</w:t>
      </w:r>
      <w:r>
        <w:t xml:space="preserve"> </w:t>
      </w:r>
      <w:r>
        <w:rPr>
          <w:b/>
          <w:bCs/>
        </w:rPr>
        <w:t xml:space="preserve">Supervisor:</w:t>
      </w:r>
      <w:r>
        <w:t xml:space="preserve"> </w:t>
      </w:r>
      <w:r>
        <w:t xml:space="preserve">Mr. Mofya Phiri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https://github.com/Samuelkaoma-eng/SKACE-TIME-DATA</w:t>
      </w:r>
    </w:p>
    <w:p>
      <w:pPr>
        <w:pStyle w:val="BodyText"/>
      </w:pPr>
      <w:r>
        <w:t xml:space="preserve">This document describes the 40 timing and behavioral features extracted by the automated paradata pipeline, distributed across four granularities: Question, Section, Survey, and Statistical.</w:t>
      </w:r>
    </w:p>
    <w:bookmarkStart w:id="16" w:name="question-level-features-q-level"/>
    <w:p>
      <w:pPr>
        <w:pStyle w:val="Heading2"/>
      </w:pPr>
      <w:r>
        <w:t xml:space="preserve">1. Question-Level Features (Q-Level)</w:t>
      </w:r>
    </w:p>
    <w:p>
      <w:pPr>
        <w:pStyle w:val="FirstParagraph"/>
      </w:pPr>
      <w:r>
        <w:rPr>
          <w:i/>
          <w:iCs/>
        </w:rPr>
        <w:t xml:space="preserve">Extracted per specific survey field (question).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 Name</w:t>
            </w:r>
          </w:p>
        </w:tc>
        <w:tc>
          <w:tcPr/>
          <w:p>
            <w:pPr>
              <w:pStyle w:val="Compact"/>
            </w:pPr>
            <w:r>
              <w:t xml:space="preserve">Definition &amp; Formula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</w:pPr>
            <w:r>
              <w:t xml:space="preserve">Literature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response_time_ms</w:t>
            </w:r>
          </w:p>
        </w:tc>
        <w:tc>
          <w:tcPr/>
          <w:p>
            <w:pPr>
              <w:pStyle w:val="Compact"/>
            </w:pPr>
            <w:r>
              <w:t xml:space="preserve">Sum of</w:t>
            </w:r>
            <w:r>
              <w:t xml:space="preserve"> </w:t>
            </w:r>
            <w:r>
              <w:rPr>
                <w:rStyle w:val="VerbatimChar"/>
              </w:rPr>
              <w:t xml:space="preserve">duration_ms</w:t>
            </w:r>
            <w:r>
              <w:t xml:space="preserve"> </w:t>
            </w:r>
            <w:r>
              <w:t xml:space="preserve">across the field’s non-navigation events (active time on the field; gaps between visits are excluded).</w:t>
            </w:r>
          </w:p>
        </w:tc>
        <w:tc>
          <w:tcPr/>
          <w:p>
            <w:pPr>
              <w:pStyle w:val="Compact"/>
            </w:pPr>
            <w:r>
              <w:t xml:space="preserve">Represents primary cognitive engagement time on a single item.</w:t>
            </w:r>
          </w:p>
        </w:tc>
        <w:tc>
          <w:tcPr/>
          <w:p>
            <w:pPr>
              <w:pStyle w:val="Compact"/>
            </w:pPr>
            <w:r>
              <w:t xml:space="preserve">Yan &amp; Tourangeau (2008)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time_to_first_interaction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duration_ms</w:t>
            </w:r>
            <w:r>
              <w:t xml:space="preserve"> </w:t>
            </w:r>
            <w:r>
              <w:t xml:space="preserve">of the first log event on the field.</w:t>
            </w:r>
          </w:p>
        </w:tc>
        <w:tc>
          <w:tcPr/>
          <w:p>
            <w:pPr>
              <w:pStyle w:val="Compact"/>
            </w:pPr>
            <w:r>
              <w:t xml:space="preserve">Indicates initial reading and comprehension time before action.</w:t>
            </w:r>
          </w:p>
        </w:tc>
        <w:tc>
          <w:tcPr/>
          <w:p>
            <w:pPr>
              <w:pStyle w:val="Compact"/>
            </w:pPr>
            <w:r>
              <w:t xml:space="preserve">Couper (1998)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total_events - 1</w:t>
            </w:r>
          </w:p>
        </w:tc>
        <w:tc>
          <w:tcPr/>
          <w:p>
            <w:pPr>
              <w:pStyle w:val="Compact"/>
            </w:pPr>
            <w:r>
              <w:t xml:space="preserve">Identifies questions requiring repeated changes, indicating item difficulty.</w:t>
            </w:r>
          </w:p>
        </w:tc>
        <w:tc>
          <w:tcPr/>
          <w:p>
            <w:pPr>
              <w:pStyle w:val="Compact"/>
            </w:pPr>
            <w:r>
              <w:t xml:space="preserve">Conrad et al. (2013)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revisit_flag</w:t>
            </w:r>
          </w:p>
        </w:tc>
        <w:tc>
          <w:tcPr/>
          <w:p>
            <w:pPr>
              <w:pStyle w:val="Compact"/>
            </w:pPr>
            <w:r>
              <w:t xml:space="preserve">1 if the field is revisited non-consecutively after the respondent has moved away, else 0.</w:t>
            </w:r>
          </w:p>
        </w:tc>
        <w:tc>
          <w:tcPr/>
          <w:p>
            <w:pPr>
              <w:pStyle w:val="Compact"/>
            </w:pPr>
            <w:r>
              <w:t xml:space="preserve">Binary identifier for genuine non-linear traversal rather than simple multi-event editing.</w:t>
            </w:r>
          </w:p>
        </w:tc>
        <w:tc>
          <w:tcPr/>
          <w:p>
            <w:pPr>
              <w:pStyle w:val="Compact"/>
            </w:pPr>
            <w:r>
              <w:t xml:space="preserve">Wenz et al. (2019)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revisit_count</w:t>
            </w:r>
          </w:p>
        </w:tc>
        <w:tc>
          <w:tcPr/>
          <w:p>
            <w:pPr>
              <w:pStyle w:val="Compact"/>
            </w:pPr>
            <w:r>
              <w:t xml:space="preserve">Number of times the field is re-entered after leaving it.</w:t>
            </w:r>
          </w:p>
        </w:tc>
        <w:tc>
          <w:tcPr/>
          <w:p>
            <w:pPr>
              <w:pStyle w:val="Compact"/>
            </w:pPr>
            <w:r>
              <w:t xml:space="preserve">Indicates significant respondent doubt or survey complexity.</w:t>
            </w:r>
          </w:p>
        </w:tc>
        <w:tc>
          <w:tcPr/>
          <w:p>
            <w:pPr>
              <w:pStyle w:val="Compact"/>
            </w:pPr>
            <w:r>
              <w:t xml:space="preserve">Kreuter (2013)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field_completion_ratio</w:t>
            </w:r>
          </w:p>
        </w:tc>
        <w:tc>
          <w:tcPr/>
          <w:p>
            <w:pPr>
              <w:pStyle w:val="Compact"/>
            </w:pPr>
            <w:r>
              <w:t xml:space="preserve">1.0 if</w:t>
            </w:r>
            <w:r>
              <w:t xml:space="preserve"> </w:t>
            </w:r>
            <w:r>
              <w:rPr>
                <w:rStyle w:val="VerbatimChar"/>
              </w:rPr>
              <w:t xml:space="preserve">response_time_ms &gt; 0</w:t>
            </w:r>
          </w:p>
        </w:tc>
        <w:tc>
          <w:tcPr/>
          <w:p>
            <w:pPr>
              <w:pStyle w:val="Compact"/>
            </w:pPr>
            <w:r>
              <w:t xml:space="preserve">Binary representation of data presence via timing logs.</w:t>
            </w:r>
          </w:p>
        </w:tc>
        <w:tc>
          <w:tcPr/>
          <w:p>
            <w:pPr>
              <w:pStyle w:val="Compact"/>
            </w:pPr>
            <w:r>
              <w:t xml:space="preserve">Groves et al. (2009)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idle_time_ms</w:t>
            </w:r>
          </w:p>
        </w:tc>
        <w:tc>
          <w:tcPr/>
          <w:p>
            <w:pPr>
              <w:pStyle w:val="Compact"/>
            </w:pPr>
            <w:r>
              <w:t xml:space="preserve">Sum of inter-event gaps &gt; 0 for a single field sequence.</w:t>
            </w:r>
          </w:p>
        </w:tc>
        <w:tc>
          <w:tcPr/>
          <w:p>
            <w:pPr>
              <w:pStyle w:val="Compact"/>
            </w:pPr>
            <w:r>
              <w:t xml:space="preserve">Distraction or heavy cognitive load during answering.</w:t>
            </w:r>
          </w:p>
        </w:tc>
        <w:tc>
          <w:tcPr/>
          <w:p>
            <w:pPr>
              <w:pStyle w:val="Compact"/>
            </w:pPr>
            <w:r>
              <w:t xml:space="preserve">Conrad et al. (2013)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keystroke_count</w:t>
            </w:r>
          </w:p>
        </w:tc>
        <w:tc>
          <w:tcPr/>
          <w:p>
            <w:pPr>
              <w:pStyle w:val="Compact"/>
            </w:pPr>
            <w:r>
              <w:t xml:space="preserve">Total number of recorded paradata events for the node.</w:t>
            </w:r>
          </w:p>
        </w:tc>
        <w:tc>
          <w:tcPr/>
          <w:p>
            <w:pPr>
              <w:pStyle w:val="Compact"/>
            </w:pPr>
            <w:r>
              <w:t xml:space="preserve">Proxy for response complexity (open-ended vs categorical).</w:t>
            </w:r>
          </w:p>
        </w:tc>
        <w:tc>
          <w:tcPr/>
          <w:p>
            <w:pPr>
              <w:pStyle w:val="Compact"/>
            </w:pPr>
            <w:r>
              <w:t xml:space="preserve">Yan &amp; Tourangeau (2008)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constraint_trigger_count</w:t>
            </w:r>
          </w:p>
        </w:tc>
        <w:tc>
          <w:tcPr/>
          <w:p>
            <w:pPr>
              <w:pStyle w:val="Compact"/>
            </w:pPr>
            <w:r>
              <w:t xml:space="preserve">Number of events containing</w:t>
            </w:r>
            <w:r>
              <w:t xml:space="preserve"> </w:t>
            </w:r>
            <w:r>
              <w:t xml:space="preserve">‘error’</w:t>
            </w:r>
            <w:r>
              <w:t xml:space="preserve">,</w:t>
            </w:r>
            <w:r>
              <w:t xml:space="preserve"> </w:t>
            </w:r>
            <w:r>
              <w:t xml:space="preserve">‘invalid’</w:t>
            </w:r>
            <w:r>
              <w:t xml:space="preserve">,</w:t>
            </w:r>
            <w:r>
              <w:t xml:space="preserve"> </w:t>
            </w:r>
            <w:r>
              <w:t xml:space="preserve">‘constraint’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Frustration indicators and poor survey validation design.</w:t>
            </w:r>
          </w:p>
        </w:tc>
        <w:tc>
          <w:tcPr/>
          <w:p>
            <w:pPr>
              <w:pStyle w:val="Compact"/>
            </w:pPr>
            <w:r>
              <w:t xml:space="preserve">Couper (1998)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first_to_last_interaction_duration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max(end_ms) - min(start_ms)</w:t>
            </w:r>
            <w:r>
              <w:t xml:space="preserve"> </w:t>
            </w:r>
            <w:r>
              <w:t xml:space="preserve">for a field.</w:t>
            </w:r>
          </w:p>
        </w:tc>
        <w:tc>
          <w:tcPr/>
          <w:p>
            <w:pPr>
              <w:pStyle w:val="Compact"/>
            </w:pPr>
            <w:r>
              <w:t xml:space="preserve">Total temporal footprint of the question including internal pauses.</w:t>
            </w:r>
          </w:p>
        </w:tc>
        <w:tc>
          <w:tcPr/>
          <w:p>
            <w:pPr>
              <w:pStyle w:val="Compact"/>
            </w:pPr>
            <w:r>
              <w:t xml:space="preserve">Wenz et al. (2019)</w:t>
            </w:r>
          </w:p>
        </w:tc>
      </w:tr>
    </w:tbl>
    <w:bookmarkEnd w:id="16"/>
    <w:bookmarkStart w:id="17" w:name="section-level-features-s-level"/>
    <w:p>
      <w:pPr>
        <w:pStyle w:val="Heading2"/>
      </w:pPr>
      <w:r>
        <w:t xml:space="preserve">2. Section-Level Features (S-Level)</w:t>
      </w:r>
    </w:p>
    <w:p>
      <w:pPr>
        <w:pStyle w:val="FirstParagraph"/>
      </w:pPr>
      <w:r>
        <w:rPr>
          <w:i/>
          <w:iCs/>
        </w:rPr>
        <w:t xml:space="preserve">Extracted over logical groupings of questions (sections/modules).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 Name</w:t>
            </w:r>
          </w:p>
        </w:tc>
        <w:tc>
          <w:tcPr/>
          <w:p>
            <w:pPr>
              <w:pStyle w:val="Compact"/>
            </w:pPr>
            <w:r>
              <w:t xml:space="preserve">Definition &amp; Formula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</w:pPr>
            <w:r>
              <w:t xml:space="preserve">Literature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mean_section_pace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  <w:r>
              <w:t xml:space="preserve"> </w:t>
            </w:r>
            <w:r>
              <w:rPr>
                <w:rStyle w:val="VerbatimChar"/>
              </w:rPr>
              <w:t xml:space="preserve">Q-01_response_time_ms</w:t>
            </w:r>
            <w:r>
              <w:t xml:space="preserve"> </w:t>
            </w:r>
            <w:r>
              <w:t xml:space="preserve">within the section.</w:t>
            </w:r>
          </w:p>
        </w:tc>
        <w:tc>
          <w:tcPr/>
          <w:p>
            <w:pPr>
              <w:pStyle w:val="Compact"/>
            </w:pPr>
            <w:r>
              <w:t xml:space="preserve">Identifies if certain modules induce fatigue.</w:t>
            </w:r>
          </w:p>
        </w:tc>
        <w:tc>
          <w:tcPr/>
          <w:p>
            <w:pPr>
              <w:pStyle w:val="Compact"/>
            </w:pPr>
            <w:r>
              <w:t xml:space="preserve">Kreuter (2013)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section_duration_ms</w:t>
            </w:r>
          </w:p>
        </w:tc>
        <w:tc>
          <w:tcPr/>
          <w:p>
            <w:pPr>
              <w:pStyle w:val="Compact"/>
            </w:pPr>
            <w:r>
              <w:t xml:space="preserve">Sum of</w:t>
            </w:r>
            <w:r>
              <w:t xml:space="preserve"> </w:t>
            </w:r>
            <w:r>
              <w:rPr>
                <w:rStyle w:val="VerbatimChar"/>
              </w:rPr>
              <w:t xml:space="preserve">duration_ms</w:t>
            </w:r>
            <w:r>
              <w:t xml:space="preserve"> </w:t>
            </w:r>
            <w:r>
              <w:t xml:space="preserve">for all events in the section.</w:t>
            </w:r>
          </w:p>
        </w:tc>
        <w:tc>
          <w:tcPr/>
          <w:p>
            <w:pPr>
              <w:pStyle w:val="Compact"/>
            </w:pPr>
            <w:r>
              <w:t xml:space="preserve">Total time investment for a specific topical module.</w:t>
            </w:r>
          </w:p>
        </w:tc>
        <w:tc>
          <w:tcPr/>
          <w:p>
            <w:pPr>
              <w:pStyle w:val="Compact"/>
            </w:pPr>
            <w:r>
              <w:t xml:space="preserve">Groves et al. (2009)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within_section_variance</w:t>
            </w:r>
          </w:p>
        </w:tc>
        <w:tc>
          <w:tcPr/>
          <w:p>
            <w:pPr>
              <w:pStyle w:val="Compact"/>
            </w:pPr>
            <w:r>
              <w:t xml:space="preserve">Variance of</w:t>
            </w:r>
            <w:r>
              <w:t xml:space="preserve"> </w:t>
            </w:r>
            <w:r>
              <w:rPr>
                <w:rStyle w:val="VerbatimChar"/>
              </w:rPr>
              <w:t xml:space="preserve">Q-01</w:t>
            </w:r>
            <w:r>
              <w:t xml:space="preserve"> </w:t>
            </w:r>
            <w:r>
              <w:t xml:space="preserve">values within the section.</w:t>
            </w:r>
          </w:p>
        </w:tc>
        <w:tc>
          <w:tcPr/>
          <w:p>
            <w:pPr>
              <w:pStyle w:val="Compact"/>
            </w:pPr>
            <w:r>
              <w:t xml:space="preserve">High variance indicates natural varied cognitive load; low indicates speeding.</w:t>
            </w:r>
          </w:p>
        </w:tc>
        <w:tc>
          <w:tcPr/>
          <w:p>
            <w:pPr>
              <w:pStyle w:val="Compact"/>
            </w:pPr>
            <w:r>
              <w:t xml:space="preserve">Wenz et al. (2019)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section_to_section_pace_ratio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S-01 / Global Mean Pace</w:t>
            </w:r>
          </w:p>
        </w:tc>
        <w:tc>
          <w:tcPr/>
          <w:p>
            <w:pPr>
              <w:pStyle w:val="Compact"/>
            </w:pPr>
            <w:r>
              <w:t xml:space="preserve">Identifies specifically unnatural rapid-answering in sensitive modules.</w:t>
            </w:r>
          </w:p>
        </w:tc>
        <w:tc>
          <w:tcPr/>
          <w:p>
            <w:pPr>
              <w:pStyle w:val="Compact"/>
            </w:pPr>
            <w:r>
              <w:t xml:space="preserve">Conrad et al. (2013)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pause_count_5s</w:t>
            </w:r>
          </w:p>
        </w:tc>
        <w:tc>
          <w:tcPr/>
          <w:p>
            <w:pPr>
              <w:pStyle w:val="Compact"/>
            </w:pPr>
            <w:r>
              <w:t xml:space="preserve">Count of gaps &gt; 5,000ms.</w:t>
            </w:r>
          </w:p>
        </w:tc>
        <w:tc>
          <w:tcPr/>
          <w:p>
            <w:pPr>
              <w:pStyle w:val="Compact"/>
            </w:pPr>
            <w:r>
              <w:t xml:space="preserve">Catching minor distractions or reading heavy text blocks.</w:t>
            </w:r>
          </w:p>
        </w:tc>
        <w:tc>
          <w:tcPr/>
          <w:p>
            <w:pPr>
              <w:pStyle w:val="Compact"/>
            </w:pPr>
            <w:r>
              <w:t xml:space="preserve">Yan &amp; Tourangeau (2008)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pause_count_30s</w:t>
            </w:r>
          </w:p>
        </w:tc>
        <w:tc>
          <w:tcPr/>
          <w:p>
            <w:pPr>
              <w:pStyle w:val="Compact"/>
            </w:pPr>
            <w:r>
              <w:t xml:space="preserve">Count of gaps &gt; 30,000ms.</w:t>
            </w:r>
          </w:p>
        </w:tc>
        <w:tc>
          <w:tcPr/>
          <w:p>
            <w:pPr>
              <w:pStyle w:val="Compact"/>
            </w:pPr>
            <w:r>
              <w:t xml:space="preserve">Catching major interruptions or enumerator breaks.</w:t>
            </w:r>
          </w:p>
        </w:tc>
        <w:tc>
          <w:tcPr/>
          <w:p>
            <w:pPr>
              <w:pStyle w:val="Compact"/>
            </w:pPr>
            <w:r>
              <w:t xml:space="preserve">Kreuter (2013)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mean_pause_duration_ms</w:t>
            </w:r>
          </w:p>
        </w:tc>
        <w:tc>
          <w:tcPr/>
          <w:p>
            <w:pPr>
              <w:pStyle w:val="Compact"/>
            </w:pPr>
            <w:r>
              <w:t xml:space="preserve">Mean of all gap durations.</w:t>
            </w:r>
          </w:p>
        </w:tc>
        <w:tc>
          <w:tcPr/>
          <w:p>
            <w:pPr>
              <w:pStyle w:val="Compact"/>
            </w:pPr>
            <w:r>
              <w:t xml:space="preserve">Quantifies typical distraction length.</w:t>
            </w:r>
          </w:p>
        </w:tc>
        <w:tc>
          <w:tcPr/>
          <w:p>
            <w:pPr>
              <w:pStyle w:val="Compact"/>
            </w:pPr>
            <w:r>
              <w:t xml:space="preserve">Conrad et al. (2013)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max_pause_duration_ms</w:t>
            </w:r>
          </w:p>
        </w:tc>
        <w:tc>
          <w:tcPr/>
          <w:p>
            <w:pPr>
              <w:pStyle w:val="Compact"/>
            </w:pPr>
            <w:r>
              <w:t xml:space="preserve">Maximum gap duration.</w:t>
            </w:r>
          </w:p>
        </w:tc>
        <w:tc>
          <w:tcPr/>
          <w:p>
            <w:pPr>
              <w:pStyle w:val="Compact"/>
            </w:pPr>
            <w:r>
              <w:t xml:space="preserve">Pinpoints the single largest disruption in the section.</w:t>
            </w:r>
          </w:p>
        </w:tc>
        <w:tc>
          <w:tcPr/>
          <w:p>
            <w:pPr>
              <w:pStyle w:val="Compact"/>
            </w:pPr>
            <w:r>
              <w:t xml:space="preserve">Wenz et al. (2019)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back_nav_count_section</w:t>
            </w:r>
          </w:p>
        </w:tc>
        <w:tc>
          <w:tcPr/>
          <w:p>
            <w:pPr>
              <w:pStyle w:val="Compact"/>
            </w:pPr>
            <w:r>
              <w:t xml:space="preserve">Count of</w:t>
            </w:r>
            <w:r>
              <w:t xml:space="preserve"> </w:t>
            </w:r>
            <w:r>
              <w:t xml:space="preserve">‘backward’</w:t>
            </w:r>
            <w:r>
              <w:t xml:space="preserve"> </w:t>
            </w:r>
            <w:r>
              <w:t xml:space="preserve">events.</w:t>
            </w:r>
          </w:p>
        </w:tc>
        <w:tc>
          <w:tcPr/>
          <w:p>
            <w:pPr>
              <w:pStyle w:val="Compact"/>
            </w:pPr>
            <w:r>
              <w:t xml:space="preserve">Module complexity or confusion.</w:t>
            </w:r>
          </w:p>
        </w:tc>
        <w:tc>
          <w:tcPr/>
          <w:p>
            <w:pPr>
              <w:pStyle w:val="Compact"/>
            </w:pPr>
            <w:r>
              <w:t xml:space="preserve">Couper (1998)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section_completion_rate</w:t>
            </w:r>
          </w:p>
        </w:tc>
        <w:tc>
          <w:tcPr/>
          <w:p>
            <w:pPr>
              <w:pStyle w:val="Compact"/>
            </w:pPr>
            <w:r>
              <w:t xml:space="preserve">Questions interacted / Total Questions.</w:t>
            </w:r>
          </w:p>
        </w:tc>
        <w:tc>
          <w:tcPr/>
          <w:p>
            <w:pPr>
              <w:pStyle w:val="Compact"/>
            </w:pPr>
            <w:r>
              <w:t xml:space="preserve">Dropout mapping within surveys.</w:t>
            </w:r>
          </w:p>
        </w:tc>
        <w:tc>
          <w:tcPr/>
          <w:p>
            <w:pPr>
              <w:pStyle w:val="Compact"/>
            </w:pPr>
            <w:r>
              <w:t xml:space="preserve">Groves et al. (2009)</w:t>
            </w:r>
          </w:p>
        </w:tc>
      </w:tr>
    </w:tbl>
    <w:bookmarkEnd w:id="17"/>
    <w:bookmarkStart w:id="18" w:name="survey-level-features-v-level"/>
    <w:p>
      <w:pPr>
        <w:pStyle w:val="Heading2"/>
      </w:pPr>
      <w:r>
        <w:t xml:space="preserve">3. Survey-Level Features (V-Level)</w:t>
      </w:r>
    </w:p>
    <w:p>
      <w:pPr>
        <w:pStyle w:val="FirstParagraph"/>
      </w:pPr>
      <w:r>
        <w:rPr>
          <w:i/>
          <w:iCs/>
        </w:rPr>
        <w:t xml:space="preserve">Extracted over the complete interview session.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 Name</w:t>
            </w:r>
          </w:p>
        </w:tc>
        <w:tc>
          <w:tcPr/>
          <w:p>
            <w:pPr>
              <w:pStyle w:val="Compact"/>
            </w:pPr>
            <w:r>
              <w:t xml:space="preserve">Definition &amp; Formula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</w:pPr>
            <w:r>
              <w:t xml:space="preserve">Literature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total_interview_duration_ms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max(end) - min(start)</w:t>
            </w:r>
          </w:p>
        </w:tc>
        <w:tc>
          <w:tcPr/>
          <w:p>
            <w:pPr>
              <w:pStyle w:val="Compact"/>
            </w:pPr>
            <w:r>
              <w:t xml:space="preserve">The primary macro-indicator of speeding or fabrication.</w:t>
            </w:r>
          </w:p>
        </w:tc>
        <w:tc>
          <w:tcPr/>
          <w:p>
            <w:pPr>
              <w:pStyle w:val="Compact"/>
            </w:pPr>
            <w:r>
              <w:t xml:space="preserve">Yan &amp; Tourangeau (2008)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speed_trajectory_early</w:t>
            </w:r>
          </w:p>
        </w:tc>
        <w:tc>
          <w:tcPr/>
          <w:p>
            <w:pPr>
              <w:pStyle w:val="Compact"/>
            </w:pPr>
            <w:r>
              <w:t xml:space="preserve">Pace of first 33% of events.</w:t>
            </w:r>
          </w:p>
        </w:tc>
        <w:tc>
          <w:tcPr/>
          <w:p>
            <w:pPr>
              <w:pStyle w:val="Compact"/>
            </w:pPr>
            <w:r>
              <w:t xml:space="preserve">Baseline rhythm before fatigue.</w:t>
            </w:r>
          </w:p>
        </w:tc>
        <w:tc>
          <w:tcPr/>
          <w:p>
            <w:pPr>
              <w:pStyle w:val="Compact"/>
            </w:pPr>
            <w:r>
              <w:t xml:space="preserve">Kreuter (2013)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speed_trajectory_late</w:t>
            </w:r>
          </w:p>
        </w:tc>
        <w:tc>
          <w:tcPr/>
          <w:p>
            <w:pPr>
              <w:pStyle w:val="Compact"/>
            </w:pPr>
            <w:r>
              <w:t xml:space="preserve">Pace of final 33% of events.</w:t>
            </w:r>
          </w:p>
        </w:tc>
        <w:tc>
          <w:tcPr/>
          <w:p>
            <w:pPr>
              <w:pStyle w:val="Compact"/>
            </w:pPr>
            <w:r>
              <w:t xml:space="preserve">Usually faster due to satisficing and fatigue.</w:t>
            </w:r>
          </w:p>
        </w:tc>
        <w:tc>
          <w:tcPr/>
          <w:p>
            <w:pPr>
              <w:pStyle w:val="Compact"/>
            </w:pPr>
            <w:r>
              <w:t xml:space="preserve">Conrad et al. (2013)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speed_trajectory_ratio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V-03 / V-02</w:t>
            </w:r>
          </w:p>
        </w:tc>
        <w:tc>
          <w:tcPr/>
          <w:p>
            <w:pPr>
              <w:pStyle w:val="Compact"/>
            </w:pPr>
            <w:r>
              <w:t xml:space="preserve">Ratios far below 1.0 indicate severe satisficing (rushing the end).</w:t>
            </w:r>
          </w:p>
        </w:tc>
        <w:tc>
          <w:tcPr/>
          <w:p>
            <w:pPr>
              <w:pStyle w:val="Compact"/>
            </w:pPr>
            <w:r>
              <w:t xml:space="preserve">Wenz et al. (2019)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back_navigation_rate</w:t>
            </w:r>
          </w:p>
        </w:tc>
        <w:tc>
          <w:tcPr/>
          <w:p>
            <w:pPr>
              <w:pStyle w:val="Compact"/>
            </w:pPr>
            <w:r>
              <w:t xml:space="preserve">Back events / total events.</w:t>
            </w:r>
          </w:p>
        </w:tc>
        <w:tc>
          <w:tcPr/>
          <w:p>
            <w:pPr>
              <w:pStyle w:val="Compact"/>
            </w:pPr>
            <w:r>
              <w:t xml:space="preserve">Global interview difficulty or poor navigation flow.</w:t>
            </w:r>
          </w:p>
        </w:tc>
        <w:tc>
          <w:tcPr/>
          <w:p>
            <w:pPr>
              <w:pStyle w:val="Compact"/>
            </w:pPr>
            <w:r>
              <w:t xml:space="preserve">Couper (1998)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back_navigation_total_count</w:t>
            </w:r>
          </w:p>
        </w:tc>
        <w:tc>
          <w:tcPr/>
          <w:p>
            <w:pPr>
              <w:pStyle w:val="Compact"/>
            </w:pPr>
            <w:r>
              <w:t xml:space="preserve">Sum of back events.</w:t>
            </w:r>
          </w:p>
        </w:tc>
        <w:tc>
          <w:tcPr/>
          <w:p>
            <w:pPr>
              <w:pStyle w:val="Compact"/>
            </w:pPr>
            <w:r>
              <w:t xml:space="preserve">Absolute count of respondent course-corrections.</w:t>
            </w:r>
          </w:p>
        </w:tc>
        <w:tc>
          <w:tcPr/>
          <w:p>
            <w:pPr>
              <w:pStyle w:val="Compact"/>
            </w:pPr>
            <w:r>
              <w:t xml:space="preserve">Groves et al. (2009)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time_of_day_hour</w:t>
            </w:r>
          </w:p>
        </w:tc>
        <w:tc>
          <w:tcPr/>
          <w:p>
            <w:pPr>
              <w:pStyle w:val="Compact"/>
            </w:pPr>
            <w:r>
              <w:t xml:space="preserve">Hour derived from</w:t>
            </w:r>
            <w:r>
              <w:t xml:space="preserve"> </w:t>
            </w:r>
            <w:r>
              <w:rPr>
                <w:rStyle w:val="VerbatimChar"/>
              </w:rPr>
              <w:t xml:space="preserve">min(start)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Fabrication detection (e.g., surveys logged at 2:00 AM).</w:t>
            </w:r>
          </w:p>
        </w:tc>
        <w:tc>
          <w:tcPr/>
          <w:p>
            <w:pPr>
              <w:pStyle w:val="Compact"/>
            </w:pPr>
            <w:r>
              <w:t xml:space="preserve">Wenz et al. (2019)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day_of_week</w:t>
            </w:r>
          </w:p>
        </w:tc>
        <w:tc>
          <w:tcPr/>
          <w:p>
            <w:pPr>
              <w:pStyle w:val="Compact"/>
            </w:pPr>
            <w:r>
              <w:t xml:space="preserve">Day derived from</w:t>
            </w:r>
            <w:r>
              <w:t xml:space="preserve"> </w:t>
            </w:r>
            <w:r>
              <w:rPr>
                <w:rStyle w:val="VerbatimChar"/>
              </w:rPr>
              <w:t xml:space="preserve">min(start)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Helps track expected working hours vs weekend anomalies.</w:t>
            </w:r>
          </w:p>
        </w:tc>
        <w:tc>
          <w:tcPr/>
          <w:p>
            <w:pPr>
              <w:pStyle w:val="Compact"/>
            </w:pPr>
            <w:r>
              <w:t xml:space="preserve">Kreuter (2013)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session_length_vs_median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V-01 / median(V-01_all)</w:t>
            </w:r>
          </w:p>
        </w:tc>
        <w:tc>
          <w:tcPr/>
          <w:p>
            <w:pPr>
              <w:pStyle w:val="Compact"/>
            </w:pPr>
            <w:r>
              <w:t xml:space="preserve">Relative speed compared to the sample population.</w:t>
            </w:r>
          </w:p>
        </w:tc>
        <w:tc>
          <w:tcPr/>
          <w:p>
            <w:pPr>
              <w:pStyle w:val="Compact"/>
            </w:pPr>
            <w:r>
              <w:t xml:space="preserve">Yan &amp; Tourangeau (2008)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zero_back_nav_flag</w:t>
            </w:r>
          </w:p>
        </w:tc>
        <w:tc>
          <w:tcPr/>
          <w:p>
            <w:pPr>
              <w:pStyle w:val="Compact"/>
            </w:pPr>
            <w:r>
              <w:t xml:space="preserve">1 if the interview contains at least 20 consecutive non-back-navigation events.</w:t>
            </w:r>
          </w:p>
        </w:tc>
        <w:tc>
          <w:tcPr/>
          <w:p>
            <w:pPr>
              <w:pStyle w:val="Compact"/>
            </w:pPr>
            <w:r>
              <w:t xml:space="preserve">Flags unnaturally linear progression even if a rare early back-navigation event exists elsewhere in the interview.</w:t>
            </w:r>
          </w:p>
        </w:tc>
        <w:tc>
          <w:tcPr/>
          <w:p>
            <w:pPr>
              <w:pStyle w:val="Compact"/>
            </w:pPr>
            <w:r>
              <w:t xml:space="preserve">Conrad et al. (2013)</w:t>
            </w:r>
          </w:p>
        </w:tc>
      </w:tr>
    </w:tbl>
    <w:bookmarkEnd w:id="18"/>
    <w:bookmarkStart w:id="19" w:name="statistical-features-t-level"/>
    <w:p>
      <w:pPr>
        <w:pStyle w:val="Heading2"/>
      </w:pPr>
      <w:r>
        <w:t xml:space="preserve">4. Statistical Features (T-Level)</w:t>
      </w:r>
    </w:p>
    <w:p>
      <w:pPr>
        <w:pStyle w:val="FirstParagraph"/>
      </w:pPr>
      <w:r>
        <w:rPr>
          <w:i/>
          <w:iCs/>
        </w:rPr>
        <w:t xml:space="preserve">Extracted by summarizing the distribution of Question-Level response times (Q-01).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 Name</w:t>
            </w:r>
          </w:p>
        </w:tc>
        <w:tc>
          <w:tcPr/>
          <w:p>
            <w:pPr>
              <w:pStyle w:val="Compact"/>
            </w:pPr>
            <w:r>
              <w:t xml:space="preserve">Definition &amp; Formula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</w:pPr>
            <w:r>
              <w:t xml:space="preserve">Literature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rt_variance</w:t>
            </w:r>
          </w:p>
        </w:tc>
        <w:tc>
          <w:tcPr/>
          <w:p>
            <w:pPr>
              <w:pStyle w:val="Compact"/>
            </w:pPr>
            <w:r>
              <w:t xml:space="preserve">Variance of</w:t>
            </w:r>
            <w:r>
              <w:t xml:space="preserve"> </w:t>
            </w:r>
            <w:r>
              <w:rPr>
                <w:rStyle w:val="VerbatimChar"/>
              </w:rPr>
              <w:t xml:space="preserve">Q-01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Low variance = robotic answering; High variance = natural.</w:t>
            </w:r>
          </w:p>
        </w:tc>
        <w:tc>
          <w:tcPr/>
          <w:p>
            <w:pPr>
              <w:pStyle w:val="Compact"/>
            </w:pPr>
            <w:r>
              <w:t xml:space="preserve">Wenz et al. (2019)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rt_iqr</w:t>
            </w:r>
          </w:p>
        </w:tc>
        <w:tc>
          <w:tcPr/>
          <w:p>
            <w:pPr>
              <w:pStyle w:val="Compact"/>
            </w:pPr>
            <w:r>
              <w:t xml:space="preserve">75th percentile - 25th percentile.</w:t>
            </w:r>
          </w:p>
        </w:tc>
        <w:tc>
          <w:tcPr/>
          <w:p>
            <w:pPr>
              <w:pStyle w:val="Compact"/>
            </w:pPr>
            <w:r>
              <w:t xml:space="preserve">Robust spread metric insensitive to massive outliers.</w:t>
            </w:r>
          </w:p>
        </w:tc>
        <w:tc>
          <w:tcPr/>
          <w:p>
            <w:pPr>
              <w:pStyle w:val="Compact"/>
            </w:pPr>
            <w:r>
              <w:t xml:space="preserve">Kreuter (2013)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rt_entropy</w:t>
            </w:r>
          </w:p>
        </w:tc>
        <w:tc>
          <w:tcPr/>
          <w:p>
            <w:pPr>
              <w:pStyle w:val="Compact"/>
            </w:pPr>
            <w:r>
              <w:t xml:space="preserve">Shannon Entropy over normalized RT distribution.</w:t>
            </w:r>
          </w:p>
        </w:tc>
        <w:tc>
          <w:tcPr/>
          <w:p>
            <w:pPr>
              <w:pStyle w:val="Compact"/>
            </w:pPr>
            <w:r>
              <w:t xml:space="preserve">Low entropy indicates highly clustered, uniform timing (fabrication).</w:t>
            </w:r>
          </w:p>
        </w:tc>
        <w:tc>
          <w:tcPr/>
          <w:p>
            <w:pPr>
              <w:pStyle w:val="Compact"/>
            </w:pPr>
            <w:r>
              <w:t xml:space="preserve">Conrad et al. (2013)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rt_skewness</w:t>
            </w:r>
          </w:p>
        </w:tc>
        <w:tc>
          <w:tcPr/>
          <w:p>
            <w:pPr>
              <w:pStyle w:val="Compact"/>
            </w:pPr>
            <w:r>
              <w:t xml:space="preserve">Fisher-Pearson coefficient of skewness.</w:t>
            </w:r>
          </w:p>
        </w:tc>
        <w:tc>
          <w:tcPr/>
          <w:p>
            <w:pPr>
              <w:pStyle w:val="Compact"/>
            </w:pPr>
            <w:r>
              <w:t xml:space="preserve">Natural surveys are right-skewed. Left-skew indicates anomaly.</w:t>
            </w:r>
          </w:p>
        </w:tc>
        <w:tc>
          <w:tcPr/>
          <w:p>
            <w:pPr>
              <w:pStyle w:val="Compact"/>
            </w:pPr>
            <w:r>
              <w:t xml:space="preserve">Yan &amp; Tourangeau (2008)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rt_kurtosis</w:t>
            </w:r>
          </w:p>
        </w:tc>
        <w:tc>
          <w:tcPr/>
          <w:p>
            <w:pPr>
              <w:pStyle w:val="Compact"/>
            </w:pPr>
            <w:r>
              <w:t xml:space="preserve">Excess kurtosis.</w:t>
            </w:r>
          </w:p>
        </w:tc>
        <w:tc>
          <w:tcPr/>
          <w:p>
            <w:pPr>
              <w:pStyle w:val="Compact"/>
            </w:pPr>
            <w:r>
              <w:t xml:space="preserve">Leptokurtic (high kurtosis) means answering is heavily clustered.</w:t>
            </w:r>
          </w:p>
        </w:tc>
        <w:tc>
          <w:tcPr/>
          <w:p>
            <w:pPr>
              <w:pStyle w:val="Compact"/>
            </w:pPr>
            <w:r>
              <w:t xml:space="preserve">Wenz et al. (2019)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rt_mean</w:t>
            </w:r>
          </w:p>
        </w:tc>
        <w:tc>
          <w:tcPr/>
          <w:p>
            <w:pPr>
              <w:pStyle w:val="Compact"/>
            </w:pPr>
            <w:r>
              <w:t xml:space="preserve">Average</w:t>
            </w:r>
            <w:r>
              <w:t xml:space="preserve"> </w:t>
            </w:r>
            <w:r>
              <w:rPr>
                <w:rStyle w:val="VerbatimChar"/>
              </w:rPr>
              <w:t xml:space="preserve">Q-01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Basic central tendency comparison.</w:t>
            </w:r>
          </w:p>
        </w:tc>
        <w:tc>
          <w:tcPr/>
          <w:p>
            <w:pPr>
              <w:pStyle w:val="Compact"/>
            </w:pPr>
            <w:r>
              <w:t xml:space="preserve">Groves et al. (2009)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rt_median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  <w:r>
              <w:t xml:space="preserve"> </w:t>
            </w:r>
            <w:r>
              <w:rPr>
                <w:rStyle w:val="VerbatimChar"/>
              </w:rPr>
              <w:t xml:space="preserve">Q-01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Central tendency robust to long reading times.</w:t>
            </w:r>
          </w:p>
        </w:tc>
        <w:tc>
          <w:tcPr/>
          <w:p>
            <w:pPr>
              <w:pStyle w:val="Compact"/>
            </w:pPr>
            <w:r>
              <w:t xml:space="preserve">Yan &amp; Tourangeau (2008)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rt_cv</w:t>
            </w:r>
          </w:p>
        </w:tc>
        <w:tc>
          <w:tcPr/>
          <w:p>
            <w:pPr>
              <w:pStyle w:val="Compact"/>
            </w:pPr>
            <w:r>
              <w:t xml:space="preserve">Coefficient of Variation (Std / Mean).</w:t>
            </w:r>
          </w:p>
        </w:tc>
        <w:tc>
          <w:tcPr/>
          <w:p>
            <w:pPr>
              <w:pStyle w:val="Compact"/>
            </w:pPr>
            <w:r>
              <w:t xml:space="preserve">Scale-invariant measure of timing uniformity.</w:t>
            </w:r>
          </w:p>
        </w:tc>
        <w:tc>
          <w:tcPr/>
          <w:p>
            <w:pPr>
              <w:pStyle w:val="Compact"/>
            </w:pPr>
            <w:r>
              <w:t xml:space="preserve">Wenz et al. (2019)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rt_min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  <w:r>
              <w:t xml:space="preserve"> </w:t>
            </w:r>
            <w:r>
              <w:rPr>
                <w:rStyle w:val="VerbatimChar"/>
              </w:rPr>
              <w:t xml:space="preserve">Q-01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Absolute fastest response limit (flags impossible speeds).</w:t>
            </w:r>
          </w:p>
        </w:tc>
        <w:tc>
          <w:tcPr/>
          <w:p>
            <w:pPr>
              <w:pStyle w:val="Compact"/>
            </w:pPr>
            <w:r>
              <w:t xml:space="preserve">Couper (1998)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rt_max</w:t>
            </w:r>
          </w:p>
        </w:tc>
        <w:tc>
          <w:tcPr/>
          <w:p>
            <w:pPr>
              <w:pStyle w:val="Compact"/>
            </w:pPr>
            <w:r>
              <w:t xml:space="preserve">Maximum</w:t>
            </w:r>
            <w:r>
              <w:t xml:space="preserve"> </w:t>
            </w:r>
            <w:r>
              <w:rPr>
                <w:rStyle w:val="VerbatimChar"/>
              </w:rPr>
              <w:t xml:space="preserve">Q-01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Usually represents the largest distraction.</w:t>
            </w:r>
          </w:p>
        </w:tc>
        <w:tc>
          <w:tcPr/>
          <w:p>
            <w:pPr>
              <w:pStyle w:val="Compact"/>
            </w:pPr>
            <w:r>
              <w:t xml:space="preserve">Conrad et al. (2013)</w:t>
            </w:r>
          </w:p>
        </w:tc>
      </w:tr>
    </w:tbl>
    <w:bookmarkEnd w:id="19"/>
    <w:bookmarkEnd w:id="20"/>
    <w:sectPr>
      <w:footerReference r:id="rId7" w:type="default"/>
      <w:pgSz w:h="16838" w:orient="portrait" w:w="11906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160" w:before="280"/>
    </w:pPr>
    <w:rPr>
      <w:rFonts w:ascii="Calibri Light" w:cs="Calibri Light" w:eastAsia="Calibri Light" w:hAnsi="Calibri Light"/>
      <w:b/>
      <w:bCs/>
      <w:color w:val="1F4E79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20" w:before="240"/>
    </w:pPr>
    <w:rPr>
      <w:rFonts w:ascii="Calibri Light" w:cs="Calibri Light" w:eastAsia="Calibri Light" w:hAnsi="Calibri Light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00" w:before="200"/>
    </w:pPr>
    <w:rPr>
      <w:rFonts w:ascii="Calibri Light" w:cs="Calibri Light" w:eastAsia="Calibri Light" w:hAnsi="Calibri Light"/>
      <w:b/>
      <w:bCs/>
      <w:color w:val="1F3864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Paradata Feature Documentation</dc:title>
  <dc:creator>Samuel Kaoma</dc:creator>
  <cp:lastModifiedBy>Samuel Kaoma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