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Materials and Method </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b w:val="1"/>
          <w:rtl w:val="0"/>
        </w:rPr>
        <w:t xml:space="preserve">Title: Mapping to Reference</w:t>
      </w:r>
      <w:r w:rsidDel="00000000" w:rsidR="00000000" w:rsidRPr="00000000">
        <w:rPr>
          <w:sz w:val="18"/>
          <w:szCs w:val="18"/>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In this study, SNP (Single Nucleotide Polymorphism) analysis was undertaken to scrutinize mutations within the brain cancer sample genome, considering its relevance to the current global landscape of the disease. The entire genome sequences were aligned against the reference genome of human chromosome 10 utilizing Geneious Mapper v9.1.8, chosen for its capability to provide precise alignment and detect structural variants. The alignment process was executed with low sensitivity, ensuring a balance between assembly time and accuracy, consequently generating contigs for further analysis.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Example 2 </w:t>
      </w:r>
    </w:p>
    <w:p w:rsidR="00000000" w:rsidDel="00000000" w:rsidP="00000000" w:rsidRDefault="00000000" w:rsidRPr="00000000" w14:paraId="00000008">
      <w:pPr>
        <w:rPr>
          <w:b w:val="1"/>
          <w:sz w:val="26"/>
          <w:szCs w:val="26"/>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Read mapping and identification of SNPs/InDels</w:t>
      </w:r>
    </w:p>
    <w:p w:rsidR="00000000" w:rsidDel="00000000" w:rsidP="00000000" w:rsidRDefault="00000000" w:rsidRPr="00000000" w14:paraId="0000000A">
      <w:pPr>
        <w:rPr>
          <w:b w:val="1"/>
          <w:sz w:val="26"/>
          <w:szCs w:val="26"/>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Performing read mapping and identifying single nucleotide polymorphisms (SNPs) and insertions/deletions (InDels). The high-quality (HQ) filtered reads of brain cancer samples were aligned to the reference genome chromosome 10 using the geneious software.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Results </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Title: Mapping of brain cancer Genome Reads to Human Chromosome 10 Reference. </w:t>
      </w:r>
    </w:p>
    <w:p w:rsidR="00000000" w:rsidDel="00000000" w:rsidP="00000000" w:rsidRDefault="00000000" w:rsidRPr="00000000" w14:paraId="00000010">
      <w:pPr>
        <w:jc w:val="both"/>
        <w:rPr>
          <w:b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our study, utilizing Geneious software, 13,079 out of  417,364 reads were assembled to the genomic chromosome 10 reference genome, producing one contigs with a total length of 133,803,719 bases, exhibiting 88.9% identical sites and a pairwise % identity of 92.8%; the mean coverage was 0.0x with a standard deviation of 0.6, while the minimum and maximum coverage were 0x and 71x, respectively, and the reference genome coverage was 1.5% (2,059,649bp of 133,797,422); the mean ungapped length of reads was 448.5 bases with a standard deviation of 223.0 the base composition consisted of 29.2% Adenine, 20.7% Cytosine, 20.8% Guanine, and 29.3% Thymine, resulting in a GC c</w:t>
      </w:r>
      <w:r w:rsidDel="00000000" w:rsidR="00000000" w:rsidRPr="00000000">
        <w:rPr>
          <w:rtl w:val="0"/>
        </w:rPr>
        <w:t xml:space="preserve">ontent of 41.5%; no indels were detected, and the molecular weights were calculated as </w:t>
      </w:r>
      <w:r w:rsidDel="00000000" w:rsidR="00000000" w:rsidRPr="00000000">
        <w:rPr>
          <w:rtl w:val="0"/>
        </w:rPr>
        <w:t xml:space="preserve">18,199,450.5 kDa</w:t>
      </w:r>
      <w:r w:rsidDel="00000000" w:rsidR="00000000" w:rsidRPr="00000000">
        <w:rPr>
          <w:rtl w:val="0"/>
        </w:rPr>
        <w:t xml:space="preserve"> for single-stranded DNAand </w:t>
      </w:r>
      <w:r w:rsidDel="00000000" w:rsidR="00000000" w:rsidRPr="00000000">
        <w:rPr>
          <w:rtl w:val="0"/>
        </w:rPr>
        <w:t xml:space="preserve">36,398,901.1 kDa</w:t>
      </w:r>
      <w:r w:rsidDel="00000000" w:rsidR="00000000" w:rsidRPr="00000000">
        <w:rPr>
          <w:rtl w:val="0"/>
        </w:rPr>
        <w:t xml:space="preserve"> for double-stranded DNA.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Figure 1: Reads Mapping: Alignment of Subject Dataset to Reference Genome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