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jc w:val="both"/>
        <w:rPr>
          <w:b w:val="1"/>
          <w:color w:val="000000"/>
          <w:sz w:val="26"/>
          <w:szCs w:val="26"/>
        </w:rPr>
      </w:pPr>
      <w:bookmarkStart w:colFirst="0" w:colLast="0" w:name="_ame4l6lsbm0c" w:id="0"/>
      <w:bookmarkEnd w:id="0"/>
      <w:r w:rsidDel="00000000" w:rsidR="00000000" w:rsidRPr="00000000">
        <w:rPr>
          <w:b w:val="1"/>
          <w:color w:val="000000"/>
          <w:sz w:val="26"/>
          <w:szCs w:val="26"/>
          <w:rtl w:val="0"/>
        </w:rPr>
        <w:t xml:space="preserve">Materials and Methods</w:t>
      </w:r>
    </w:p>
    <w:p w:rsidR="00000000" w:rsidDel="00000000" w:rsidP="00000000" w:rsidRDefault="00000000" w:rsidRPr="00000000" w14:paraId="00000002">
      <w:pPr>
        <w:spacing w:after="240" w:before="240" w:lineRule="auto"/>
        <w:jc w:val="both"/>
        <w:rPr>
          <w:b w:val="1"/>
        </w:rPr>
      </w:pPr>
      <w:r w:rsidDel="00000000" w:rsidR="00000000" w:rsidRPr="00000000">
        <w:rPr>
          <w:b w:val="1"/>
          <w:rtl w:val="0"/>
        </w:rPr>
        <w:t xml:space="preserve">Functional Annotation</w:t>
      </w:r>
    </w:p>
    <w:p w:rsidR="00000000" w:rsidDel="00000000" w:rsidP="00000000" w:rsidRDefault="00000000" w:rsidRPr="00000000" w14:paraId="00000003">
      <w:pPr>
        <w:spacing w:after="240" w:before="240" w:lineRule="auto"/>
        <w:jc w:val="both"/>
        <w:rPr/>
      </w:pPr>
      <w:r w:rsidDel="00000000" w:rsidR="00000000" w:rsidRPr="00000000">
        <w:rPr>
          <w:rtl w:val="0"/>
        </w:rPr>
        <w:t xml:space="preserve">Genome annotation was conducted on the human genome by aligning genes from a reference genome, specifically chromosome 10 from the RefSeq database (in GenBank format), to the subject dataset. The subject dataset consisted of raw data from an SRR14994031 paired-end sequencing run of a brain cancer patient, from which final contig assemblies were derived (Sample 1) .</w:t>
      </w:r>
    </w:p>
    <w:p w:rsidR="00000000" w:rsidDel="00000000" w:rsidP="00000000" w:rsidRDefault="00000000" w:rsidRPr="00000000" w14:paraId="00000004">
      <w:pPr>
        <w:spacing w:after="240" w:before="240" w:lineRule="auto"/>
        <w:jc w:val="both"/>
        <w:rPr/>
      </w:pPr>
      <w:r w:rsidDel="00000000" w:rsidR="00000000" w:rsidRPr="00000000">
        <w:rPr>
          <w:rtl w:val="0"/>
        </w:rPr>
        <w:t xml:space="preserve">The reference mapping facilitated the identification and transfer of genes, enabling the annotation of genomic variants within the annotated human genome features. Annotations included Coding Sequences (CDS), Genes, RNA, and other functional elements, leveraging insights from previous reference mapping analyses.</w:t>
      </w:r>
    </w:p>
    <w:p w:rsidR="00000000" w:rsidDel="00000000" w:rsidP="00000000" w:rsidRDefault="00000000" w:rsidRPr="00000000" w14:paraId="00000005">
      <w:pPr>
        <w:spacing w:after="240" w:before="240" w:lineRule="auto"/>
        <w:jc w:val="both"/>
        <w:rPr/>
      </w:pPr>
      <w:r w:rsidDel="00000000" w:rsidR="00000000" w:rsidRPr="00000000">
        <w:rPr>
          <w:rtl w:val="0"/>
        </w:rPr>
        <w:t xml:space="preserve">Additionally, gene feature predictions and analyses, such as those for promoter regions and regulatory sequences, were performed to provide a comprehensive understanding of the functional landscape of the human genome.</w:t>
      </w:r>
    </w:p>
    <w:p w:rsidR="00000000" w:rsidDel="00000000" w:rsidP="00000000" w:rsidRDefault="00000000" w:rsidRPr="00000000" w14:paraId="00000006">
      <w:pPr>
        <w:spacing w:after="240" w:before="240" w:lineRule="auto"/>
        <w:jc w:val="both"/>
        <w:rPr/>
      </w:pPr>
      <w:r w:rsidDel="00000000" w:rsidR="00000000" w:rsidRPr="00000000">
        <w:rPr>
          <w:rtl w:val="0"/>
        </w:rPr>
        <w:t xml:space="preserve">The results, summarized in Table 1, highlight the abundance and diversity of genomic elements identified within the dataset.</w:t>
      </w:r>
    </w:p>
    <w:p w:rsidR="00000000" w:rsidDel="00000000" w:rsidP="00000000" w:rsidRDefault="00000000" w:rsidRPr="00000000" w14:paraId="00000007">
      <w:pPr>
        <w:jc w:val="both"/>
        <w:rPr/>
      </w:pPr>
      <w:r w:rsidDel="00000000" w:rsidR="00000000" w:rsidRPr="00000000">
        <w:rPr>
          <w:rtl w:val="0"/>
        </w:rPr>
        <w:t xml:space="preserve">Results</w:t>
      </w:r>
    </w:p>
    <w:p w:rsidR="00000000" w:rsidDel="00000000" w:rsidP="00000000" w:rsidRDefault="00000000" w:rsidRPr="00000000" w14:paraId="00000008">
      <w:pPr>
        <w:jc w:val="both"/>
        <w:rPr/>
      </w:pPr>
      <w:r w:rsidDel="00000000" w:rsidR="00000000" w:rsidRPr="00000000">
        <w:rPr>
          <w:rtl w:val="0"/>
        </w:rPr>
        <w:br w:type="textWrapping"/>
      </w:r>
    </w:p>
    <w:p w:rsidR="00000000" w:rsidDel="00000000" w:rsidP="00000000" w:rsidRDefault="00000000" w:rsidRPr="00000000" w14:paraId="00000009">
      <w:pPr>
        <w:jc w:val="both"/>
        <w:rPr/>
      </w:pPr>
      <w:r w:rsidDel="00000000" w:rsidR="00000000" w:rsidRPr="00000000">
        <w:rPr>
          <w:rtl w:val="0"/>
        </w:rPr>
        <w:t xml:space="preserve">Table 1: Chromosome Features for Sample 1 - Human Genome</w:t>
      </w:r>
    </w:p>
    <w:p w:rsidR="00000000" w:rsidDel="00000000" w:rsidP="00000000" w:rsidRDefault="00000000" w:rsidRPr="00000000" w14:paraId="0000000A">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Chromosomal Features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pPr>
            <w:r w:rsidDel="00000000" w:rsidR="00000000" w:rsidRPr="00000000">
              <w:rPr>
                <w:rtl w:val="0"/>
              </w:rPr>
              <w:t xml:space="preserve">Count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6150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pPr>
            <w:r w:rsidDel="00000000" w:rsidR="00000000" w:rsidRPr="00000000">
              <w:rPr>
                <w:rtl w:val="0"/>
              </w:rPr>
              <w:t xml:space="preserve">Centromere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pPr>
            <w:r w:rsidDel="00000000" w:rsidR="00000000" w:rsidRPr="00000000">
              <w:rPr>
                <w:rtl w:val="0"/>
              </w:rPr>
              <w:t xml:space="preserve">Exon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pPr>
            <w:r w:rsidDel="00000000" w:rsidR="00000000" w:rsidRPr="00000000">
              <w:rPr>
                <w:rtl w:val="0"/>
              </w:rPr>
              <w:t xml:space="preserve">Gene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2379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pPr>
            <w:r w:rsidDel="00000000" w:rsidR="00000000" w:rsidRPr="00000000">
              <w:rPr>
                <w:rtl w:val="0"/>
              </w:rPr>
              <w:t xml:space="preserve">Mature Peptide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278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pPr>
            <w:r w:rsidDel="00000000" w:rsidR="00000000" w:rsidRPr="00000000">
              <w:rPr>
                <w:rtl w:val="0"/>
              </w:rPr>
              <w:t xml:space="preserve">Misc 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16661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pPr>
            <w:r w:rsidDel="00000000" w:rsidR="00000000" w:rsidRPr="00000000">
              <w:rPr>
                <w:rtl w:val="0"/>
              </w:rPr>
              <w:t xml:space="preserve">Misc_recomb</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pPr>
            <w:r w:rsidDel="00000000" w:rsidR="00000000" w:rsidRPr="00000000">
              <w:rPr>
                <w:rtl w:val="0"/>
              </w:rPr>
              <w:t xml:space="preserve">Misc_RNA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589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pPr>
            <w:r w:rsidDel="00000000" w:rsidR="00000000" w:rsidRPr="00000000">
              <w:rPr>
                <w:rtl w:val="0"/>
              </w:rPr>
              <w:t xml:space="preserve">Mobile Element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pPr>
            <w:r w:rsidDel="00000000" w:rsidR="00000000" w:rsidRPr="00000000">
              <w:rPr>
                <w:rtl w:val="0"/>
              </w:rPr>
              <w:t xml:space="preserve">mRNA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6150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pPr>
            <w:r w:rsidDel="00000000" w:rsidR="00000000" w:rsidRPr="00000000">
              <w:rPr>
                <w:rtl w:val="0"/>
              </w:rPr>
              <w:t xml:space="preserve">ncRNA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1566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pPr>
            <w:r w:rsidDel="00000000" w:rsidR="00000000" w:rsidRPr="00000000">
              <w:rPr>
                <w:rtl w:val="0"/>
              </w:rPr>
              <w:t xml:space="preserve">Precursor_RNA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pPr>
            <w:r w:rsidDel="00000000" w:rsidR="00000000" w:rsidRPr="00000000">
              <w:rPr>
                <w:rtl w:val="0"/>
              </w:rPr>
              <w:t xml:space="preserve">Protein_bind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pPr>
            <w:r w:rsidDel="00000000" w:rsidR="00000000" w:rsidRPr="00000000">
              <w:rPr>
                <w:rtl w:val="0"/>
              </w:rPr>
              <w:t xml:space="preserve">Regulatory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7006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pPr>
            <w:r w:rsidDel="00000000" w:rsidR="00000000" w:rsidRPr="00000000">
              <w:rPr>
                <w:rtl w:val="0"/>
              </w:rPr>
              <w:t xml:space="preserve">Repeat region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pPr>
            <w:r w:rsidDel="00000000" w:rsidR="00000000" w:rsidRPr="00000000">
              <w:rPr>
                <w:rtl w:val="0"/>
              </w:rPr>
              <w:t xml:space="preserve">Signal Peptide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338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pPr>
            <w:r w:rsidDel="00000000" w:rsidR="00000000" w:rsidRPr="00000000">
              <w:rPr>
                <w:rtl w:val="0"/>
              </w:rPr>
              <w:t xml:space="preserve">Source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pPr>
            <w:r w:rsidDel="00000000" w:rsidR="00000000" w:rsidRPr="00000000">
              <w:rPr>
                <w:rtl w:val="0"/>
              </w:rPr>
              <w:t xml:space="preserve">Transit_peptide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pPr>
            <w:r w:rsidDel="00000000" w:rsidR="00000000" w:rsidRPr="00000000">
              <w:rPr>
                <w:rtl w:val="0"/>
              </w:rPr>
              <w:t xml:space="preserve">tRNA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r>
    </w:tbl>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 Figure 2: Genome Annotated View Containing Chromosomal Features</w:t>
      </w:r>
    </w:p>
    <w:p w:rsidR="00000000" w:rsidDel="00000000" w:rsidP="00000000" w:rsidRDefault="00000000" w:rsidRPr="00000000" w14:paraId="00000039">
      <w:pPr>
        <w:rPr/>
      </w:pPr>
      <w:r w:rsidDel="00000000" w:rsidR="00000000" w:rsidRPr="00000000">
        <w:rPr/>
        <w:drawing>
          <wp:inline distB="114300" distT="114300" distL="114300" distR="114300">
            <wp:extent cx="5734050" cy="2607069"/>
            <wp:effectExtent b="0" l="0" r="0" t="0"/>
            <wp:docPr id="1" name="image1.png"/>
            <a:graphic>
              <a:graphicData uri="http://schemas.openxmlformats.org/drawingml/2006/picture">
                <pic:pic>
                  <pic:nvPicPr>
                    <pic:cNvPr id="0" name="image1.png"/>
                    <pic:cNvPicPr preferRelativeResize="0"/>
                  </pic:nvPicPr>
                  <pic:blipFill>
                    <a:blip r:embed="rId6"/>
                    <a:srcRect b="5062" l="0" r="0" t="0"/>
                    <a:stretch>
                      <a:fillRect/>
                    </a:stretch>
                  </pic:blipFill>
                  <pic:spPr>
                    <a:xfrm>
                      <a:off x="0" y="0"/>
                      <a:ext cx="5734050" cy="2607069"/>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