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00"/>
        <w:jc w:val="center"/>
      </w:pPr>
      <w:r>
        <w:rPr>
          <w:rFonts w:ascii="Arial" w:hAnsi="Arial" w:eastAsia="Arial" w:cs="Arial"/>
          <w:color w:val="000000"/>
        </w:rPr>
        <w:t xml:space="preserve">MetaboTyping AI Workbench: Public-Data Discovery and Evidence Synthesis for Exercise Metabolomics</w:t>
      </w:r>
    </w:p>
    <w:p>
      <w:pPr>
        <w:pStyle w:val="FirstParagraph"/>
        <w:spacing w:after="24"/>
        <w:jc w:val="center"/>
      </w:pPr>
      <w:r>
        <w:rPr>
          <w:rFonts w:ascii="Arial" w:hAnsi="Arial" w:eastAsia="Arial" w:cs="Arial"/>
          <w:b/>
          <w:bCs/>
          <w:color w:val="000000"/>
        </w:rPr>
        <w:t xml:space="preserve">Authors:</w:t>
      </w:r>
      <w:r>
        <w:rPr>
          <w:rFonts w:ascii="Arial" w:hAnsi="Arial" w:eastAsia="Arial" w:cs="Arial"/>
          <w:color w:val="000000"/>
        </w:rPr>
        <w:t xml:space="preserve"> </w:t>
      </w:r>
      <w:r>
        <w:rPr>
          <w:rFonts w:ascii="Arial" w:hAnsi="Arial" w:eastAsia="Arial" w:cs="Arial"/>
          <w:color w:val="000000"/>
        </w:rPr>
        <w:t xml:space="preserve">Samuel Montalvo</w:t>
      </w:r>
      <w:r>
        <w:rPr>
          <w:rFonts w:ascii="Arial" w:hAnsi="Arial" w:eastAsia="Arial" w:cs="Arial"/>
          <w:color w:val="000000"/>
          <w:vertAlign w:val="superscript"/>
        </w:rPr>
        <w:t xml:space="preserve">1,2,3</w:t>
      </w:r>
      <w:r>
        <w:rPr>
          <w:rFonts w:ascii="Arial" w:hAnsi="Arial" w:eastAsia="Arial" w:cs="Arial"/>
          <w:color w:val="000000"/>
        </w:rPr>
        <w:t xml:space="preserve">; Eric Leslie</w:t>
      </w:r>
      <w:r>
        <w:rPr>
          <w:rFonts w:ascii="Arial" w:hAnsi="Arial" w:eastAsia="Arial" w:cs="Arial"/>
          <w:color w:val="000000"/>
          <w:vertAlign w:val="superscript"/>
        </w:rPr>
        <w:t xml:space="preserve">1,2,3</w:t>
      </w:r>
      <w:r>
        <w:rPr>
          <w:rFonts w:ascii="Arial" w:hAnsi="Arial" w:eastAsia="Arial" w:cs="Arial"/>
          <w:color w:val="000000"/>
        </w:rPr>
        <w:t xml:space="preserve">; Laurens van de Wiel</w:t>
      </w:r>
      <w:r>
        <w:rPr>
          <w:rFonts w:ascii="Arial" w:hAnsi="Arial" w:eastAsia="Arial" w:cs="Arial"/>
          <w:color w:val="000000"/>
          <w:vertAlign w:val="superscript"/>
        </w:rPr>
        <w:t xml:space="preserve">1,2,3</w:t>
      </w:r>
      <w:r>
        <w:rPr>
          <w:rFonts w:ascii="Arial" w:hAnsi="Arial" w:eastAsia="Arial" w:cs="Arial"/>
          <w:color w:val="000000"/>
        </w:rPr>
        <w:t xml:space="preserve">; Matthew T. Wheeler</w:t>
      </w:r>
      <w:r>
        <w:rPr>
          <w:rFonts w:ascii="Arial" w:hAnsi="Arial" w:eastAsia="Arial" w:cs="Arial"/>
          <w:color w:val="000000"/>
          <w:vertAlign w:val="superscript"/>
        </w:rPr>
        <w:t xml:space="preserve">1,2,3</w:t>
      </w:r>
    </w:p>
    <w:p>
      <w:pPr>
        <w:pStyle w:val="BodyText"/>
        <w:spacing w:after="24"/>
        <w:jc w:val="center"/>
      </w:pPr>
      <w:r>
        <w:rPr>
          <w:rFonts w:ascii="Arial" w:hAnsi="Arial" w:eastAsia="Arial" w:cs="Arial"/>
          <w:color w:val="000000"/>
          <w:vertAlign w:val="superscript"/>
        </w:rPr>
        <w:t xml:space="preserve">1</w:t>
      </w:r>
      <w:r>
        <w:rPr>
          <w:rFonts w:ascii="Arial" w:hAnsi="Arial" w:eastAsia="Arial" w:cs="Arial"/>
          <w:color w:val="000000"/>
        </w:rPr>
        <w:t xml:space="preserve"> </w:t>
      </w:r>
      <w:r>
        <w:rPr>
          <w:rFonts w:ascii="Arial" w:hAnsi="Arial" w:eastAsia="Arial" w:cs="Arial"/>
          <w:color w:val="000000"/>
        </w:rPr>
        <w:t xml:space="preserve">Division of Cardiovascular Medicine, Department of Medicine, Stanford University School of Medicine, Stanford, CA, USA</w:t>
      </w:r>
      <w:r>
        <w:rPr>
          <w:rFonts w:ascii="Arial" w:hAnsi="Arial" w:eastAsia="Arial" w:cs="Arial"/>
          <w:color w:val="000000"/>
        </w:rPr>
        <w:br/>
      </w:r>
      <w:r>
        <w:rPr>
          <w:rFonts w:ascii="Arial" w:hAnsi="Arial" w:eastAsia="Arial" w:cs="Arial"/>
          <w:color w:val="000000"/>
          <w:vertAlign w:val="superscript"/>
        </w:rPr>
        <w:t xml:space="preserve">2</w:t>
      </w:r>
      <w:r>
        <w:rPr>
          <w:rFonts w:ascii="Arial" w:hAnsi="Arial" w:eastAsia="Arial" w:cs="Arial"/>
          <w:color w:val="000000"/>
        </w:rPr>
        <w:t xml:space="preserve"> </w:t>
      </w:r>
      <w:r>
        <w:rPr>
          <w:rFonts w:ascii="Arial" w:hAnsi="Arial" w:eastAsia="Arial" w:cs="Arial"/>
          <w:color w:val="000000"/>
        </w:rPr>
        <w:t xml:space="preserve">Wu Tsai Human Performance Alliance, Stanford University, Stanford, CA, USA</w:t>
      </w:r>
      <w:r>
        <w:rPr>
          <w:rFonts w:ascii="Arial" w:hAnsi="Arial" w:eastAsia="Arial" w:cs="Arial"/>
          <w:color w:val="000000"/>
        </w:rPr>
        <w:br/>
      </w:r>
      <w:r>
        <w:rPr>
          <w:rFonts w:ascii="Arial" w:hAnsi="Arial" w:eastAsia="Arial" w:cs="Arial"/>
          <w:color w:val="000000"/>
          <w:vertAlign w:val="superscript"/>
        </w:rPr>
        <w:t xml:space="preserve">3</w:t>
      </w:r>
      <w:r>
        <w:rPr>
          <w:rFonts w:ascii="Arial" w:hAnsi="Arial" w:eastAsia="Arial" w:cs="Arial"/>
          <w:color w:val="000000"/>
        </w:rPr>
        <w:t xml:space="preserve"> </w:t>
      </w:r>
      <w:r>
        <w:rPr>
          <w:rFonts w:ascii="Arial" w:hAnsi="Arial" w:eastAsia="Arial" w:cs="Arial"/>
          <w:color w:val="000000"/>
        </w:rPr>
        <w:t xml:space="preserve">Stanford Cardiovascular Institute, Stanford University, Stanford, CA, USA</w:t>
      </w:r>
    </w:p>
    <w:bookmarkStart w:id="9" w:name="purpose"/>
    <w:p>
      <w:pPr>
        <w:pStyle w:val="Heading2"/>
        <w:keepNext/>
        <w:spacing w:before="100" w:after="40"/>
      </w:pPr>
      <w:r>
        <w:rPr>
          <w:rFonts w:ascii="Arial" w:hAnsi="Arial" w:eastAsia="Arial" w:cs="Arial"/>
          <w:color w:val="000000"/>
        </w:rPr>
        <w:t xml:space="preserve">Purpose</w:t>
      </w:r>
    </w:p>
    <w:p>
      <w:pPr>
        <w:pStyle w:val="FirstParagraph"/>
      </w:pPr>
      <w:r>
        <w:rPr>
          <w:rFonts w:ascii="Arial" w:hAnsi="Arial" w:eastAsia="Arial" w:cs="Arial"/>
          <w:color w:val="000000"/>
        </w:rPr>
        <w:t xml:space="preserve">Metabolites provide a time-sensitive readout of the physiological response to exercise. Human studies have identified coordinated changes in circulating carbohydrates, lipids, amino acids, and related pathways after acute exercise, with patterns linked to substrate use, fitness, and cardiometabolic state (Lewis et al., 2010; Contrepois et al., 2020). Metabolite data therefore complement genomic and transcriptomic measurements by connecting an exercise bout to the body’s immediate functional response.</w:t>
      </w:r>
    </w:p>
    <w:p>
      <w:pPr>
        <w:pStyle w:val="BodyText"/>
      </w:pPr>
      <w:r>
        <w:rPr>
          <w:rFonts w:ascii="Arial" w:hAnsi="Arial" w:eastAsia="Arial" w:cs="Arial"/>
          <w:color w:val="000000"/>
        </w:rPr>
        <w:t xml:space="preserve">The main barrier to reuse is harmonization. Studies differ in biospecimen handling, collection timing, assay platform, units, normalization, metabolite naming, and contrast definition. Standards initiatives and interlaboratory studies show that shared metadata, identifiers, and quality-control rules are needed before results can be compared or combined (Sumner et al., 2007; Salek et al., 2015; Siskos et al., 2017).</w:t>
      </w:r>
    </w:p>
    <w:p>
      <w:pPr>
        <w:pStyle w:val="BodyText"/>
      </w:pPr>
      <w:r>
        <w:rPr>
          <w:rFonts w:ascii="Arial" w:hAnsi="Arial" w:eastAsia="Arial" w:cs="Arial"/>
          <w:color w:val="000000"/>
        </w:rPr>
        <w:t xml:space="preserve">We propose to extend the MetaboTyping Agentic Workbench into the MetaboTyping AI Workbench. Its agents and skills will compile public records, clean and standardize metadata, harmonize variables and metabolite names, and package accepted mappings and summary statistics for analysis. The AI component may summarize cited material or draft a reviewer question, but deterministic rules and domain reviewers control what enters the analysis.</w:t>
      </w:r>
    </w:p>
    <w:p>
      <w:pPr>
        <w:pStyle w:val="BodyText"/>
      </w:pPr>
      <w:r>
        <w:rPr>
          <w:rFonts w:ascii="Arial" w:hAnsi="Arial" w:eastAsia="Arial" w:cs="Arial"/>
          <w:b/>
          <w:bCs/>
          <w:color w:val="000000"/>
        </w:rPr>
        <w:t xml:space="preserve">Data boundary.</w:t>
      </w:r>
      <w:r>
        <w:rPr>
          <w:rFonts w:ascii="Arial" w:hAnsi="Arial" w:eastAsia="Arial" w:cs="Arial"/>
          <w:color w:val="000000"/>
        </w:rPr>
        <w:t xml:space="preserve"> </w:t>
      </w:r>
      <w:r>
        <w:rPr>
          <w:rFonts w:ascii="Arial" w:hAnsi="Arial" w:eastAsia="Arial" w:cs="Arial"/>
          <w:color w:val="000000"/>
        </w:rPr>
        <w:t xml:space="preserve">Only synthetic fixtures and already publicly released study-level metadata, documentation, and precomputed aggregate statistics are eligible. A catalog listing or anticipated release is not sufficient. Participant records, sample-level factor tables or matrices, identifiers, controlled-access, embargoed, unpublished, or data-use-agreement materials are prohibited. Public downloadability does not make sample-level data eligible.</w:t>
      </w:r>
    </w:p>
    <w:bookmarkEnd w:id="9"/>
    <w:bookmarkStart w:id="10" w:name="specific-aims"/>
    <w:p>
      <w:pPr>
        <w:pStyle w:val="Heading2"/>
        <w:keepNext/>
        <w:spacing w:before="100" w:after="40"/>
      </w:pPr>
      <w:r>
        <w:rPr>
          <w:rFonts w:ascii="Arial" w:hAnsi="Arial" w:eastAsia="Arial" w:cs="Arial"/>
          <w:color w:val="000000"/>
        </w:rPr>
        <w:t xml:space="preserve">Specific aims</w:t>
      </w:r>
    </w:p>
    <w:p>
      <w:pPr>
        <w:pStyle w:val="FirstParagraph"/>
      </w:pPr>
      <w:r>
        <w:rPr>
          <w:rFonts w:ascii="Arial" w:hAnsi="Arial" w:eastAsia="Arial" w:cs="Arial"/>
          <w:b/>
          <w:bCs/>
          <w:color w:val="000000"/>
        </w:rPr>
        <w:t xml:space="preserve">Aim 1 - Find and rank public exercise metabolomics resources.</w:t>
      </w:r>
      <w:r>
        <w:rPr>
          <w:rFonts w:ascii="Arial" w:hAnsi="Arial" w:eastAsia="Arial" w:cs="Arial"/>
          <w:color w:val="000000"/>
        </w:rPr>
        <w:t xml:space="preserve"> </w:t>
      </w:r>
      <w:r>
        <w:rPr>
          <w:rFonts w:ascii="Arial" w:hAnsi="Arial" w:eastAsia="Arial" w:cs="Arial"/>
          <w:color w:val="000000"/>
        </w:rPr>
        <w:t xml:space="preserve">Each search will use eligibility criteria for human exercise metabolomics, specimen type, timing, assay, phenotype coverage, repository evidence, and access status. Records will be labeled as direct matches, possible enrichment sources, mirages, or exclusions. Each result will retain its source, accession, retrieval date, access statement, and reason for the decision.</w:t>
      </w:r>
    </w:p>
    <w:p>
      <w:pPr>
        <w:pStyle w:val="BodyText"/>
      </w:pPr>
      <w:r>
        <w:rPr>
          <w:rFonts w:ascii="Arial" w:hAnsi="Arial" w:eastAsia="Arial" w:cs="Arial"/>
          <w:b/>
          <w:bCs/>
          <w:color w:val="000000"/>
        </w:rPr>
        <w:t xml:space="preserve">Aim 2 - Build reviewed metadata and summary-effect comparisons.</w:t>
      </w:r>
      <w:r>
        <w:rPr>
          <w:rFonts w:ascii="Arial" w:hAnsi="Arial" w:eastAsia="Arial" w:cs="Arial"/>
          <w:color w:val="000000"/>
        </w:rPr>
        <w:t xml:space="preserve"> </w:t>
      </w:r>
      <w:r>
        <w:rPr>
          <w:rFonts w:ascii="Arial" w:hAnsi="Arial" w:eastAsia="Arial" w:cs="Arial"/>
          <w:color w:val="000000"/>
        </w:rPr>
        <w:t xml:space="preserve">The workbench will create structured study, variable, analyte, and contrast records. Mappings will be labeled</w:t>
      </w:r>
      <w:r>
        <w:rPr>
          <w:rFonts w:ascii="Arial" w:hAnsi="Arial" w:eastAsia="Arial" w:cs="Arial"/>
          <w:color w:val="000000"/>
        </w:rPr>
        <w:t xml:space="preserve"> </w:t>
      </w:r>
      <w:r>
        <w:rPr>
          <w:rStyle w:val="VerbatimChar"/>
          <w:rFonts w:ascii="Arial" w:hAnsi="Arial" w:eastAsia="Arial" w:cs="Arial"/>
          <w:color w:val="000000"/>
        </w:rPr>
        <w:t xml:space="preserve">accepted</w:t>
      </w:r>
      <w:r>
        <w:rPr>
          <w:rFonts w:ascii="Arial" w:hAnsi="Arial" w:eastAsia="Arial" w:cs="Arial"/>
          <w:color w:val="000000"/>
        </w:rPr>
        <w:t xml:space="preserve">,</w:t>
      </w:r>
      <w:r>
        <w:rPr>
          <w:rFonts w:ascii="Arial" w:hAnsi="Arial" w:eastAsia="Arial" w:cs="Arial"/>
          <w:color w:val="000000"/>
        </w:rPr>
        <w:t xml:space="preserve"> </w:t>
      </w:r>
      <w:r>
        <w:rPr>
          <w:rStyle w:val="VerbatimChar"/>
          <w:rFonts w:ascii="Arial" w:hAnsi="Arial" w:eastAsia="Arial" w:cs="Arial"/>
          <w:color w:val="000000"/>
        </w:rPr>
        <w:t xml:space="preserve">requires_human_review</w:t>
      </w:r>
      <w:r>
        <w:rPr>
          <w:rFonts w:ascii="Arial" w:hAnsi="Arial" w:eastAsia="Arial" w:cs="Arial"/>
          <w:color w:val="000000"/>
        </w:rPr>
        <w:t xml:space="preserve">, or</w:t>
      </w:r>
      <w:r>
        <w:rPr>
          <w:rFonts w:ascii="Arial" w:hAnsi="Arial" w:eastAsia="Arial" w:cs="Arial"/>
          <w:color w:val="000000"/>
        </w:rPr>
        <w:t xml:space="preserve"> </w:t>
      </w:r>
      <w:r>
        <w:rPr>
          <w:rStyle w:val="VerbatimChar"/>
          <w:rFonts w:ascii="Arial" w:hAnsi="Arial" w:eastAsia="Arial" w:cs="Arial"/>
          <w:color w:val="000000"/>
        </w:rPr>
        <w:t xml:space="preserve">rejected</w:t>
      </w:r>
      <w:r>
        <w:rPr>
          <w:rFonts w:ascii="Arial" w:hAnsi="Arial" w:eastAsia="Arial" w:cs="Arial"/>
          <w:color w:val="000000"/>
        </w:rPr>
        <w:t xml:space="preserve">; only accepted mappings may enter analysis. Public summary effects will be compared only when metabolite identity, matrix, timing, population, assay, and contrast direction are sufficiently compatible.</w:t>
      </w:r>
    </w:p>
    <w:p>
      <w:pPr>
        <w:pStyle w:val="BodyText"/>
      </w:pPr>
      <w:r>
        <w:rPr>
          <w:rFonts w:ascii="Arial" w:hAnsi="Arial" w:eastAsia="Arial" w:cs="Arial"/>
          <w:b/>
          <w:bCs/>
          <w:color w:val="000000"/>
        </w:rPr>
        <w:t xml:space="preserve">Aim 3 - Test accuracy, safety, reproducibility, and usefulness.</w:t>
      </w:r>
      <w:r>
        <w:rPr>
          <w:rFonts w:ascii="Arial" w:hAnsi="Arial" w:eastAsia="Arial" w:cs="Arial"/>
          <w:color w:val="000000"/>
        </w:rPr>
        <w:t xml:space="preserve"> </w:t>
      </w:r>
      <w:r>
        <w:rPr>
          <w:rFonts w:ascii="Arial" w:hAnsi="Arial" w:eastAsia="Arial" w:cs="Arial"/>
          <w:color w:val="000000"/>
        </w:rPr>
        <w:t xml:space="preserve">Independent reviewers will assess held-out records and mappings without seeing workbench decisions. We will measure discovery and mapping accuracy, provenance completeness, safety errors, and deterministic reproducibility. A small manual-versus-assisted curation pilot may follow institutional review.</w:t>
      </w:r>
    </w:p>
    <w:bookmarkEnd w:id="10"/>
    <w:bookmarkStart w:id="11" w:name="data-and-workflow"/>
    <w:p>
      <w:pPr>
        <w:pStyle w:val="Heading2"/>
        <w:keepNext/>
        <w:pageBreakBefore/>
        <w:spacing w:before="100" w:after="40"/>
      </w:pPr>
      <w:r>
        <w:rPr>
          <w:rFonts w:ascii="Arial" w:hAnsi="Arial" w:eastAsia="Arial" w:cs="Arial"/>
          <w:color w:val="000000"/>
        </w:rPr>
        <w:t xml:space="preserve">Data and workflow</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shd w:fill="FFFFFF"/>
            <w:vAlign w:val="center"/>
          </w:tcPr>
          <w:p>
            <w:pPr>
              <w:pStyle w:val="Compact"/>
              <w:spacing w:after="30"/>
            </w:pPr>
            <w:r>
              <w:rPr>
                <w:rFonts w:ascii="Arial" w:hAnsi="Arial" w:eastAsia="Arial" w:cs="Arial"/>
                <w:b/>
                <w:color w:val="000000"/>
                <w:sz w:val="17"/>
              </w:rPr>
              <w:t xml:space="preserve">Source</w:t>
            </w:r>
          </w:p>
        </w:tc>
        <w:tc>
          <w:tcPr>
            <w:shd w:fill="FFFFFF"/>
            <w:vAlign w:val="center"/>
          </w:tcPr>
          <w:p>
            <w:pPr>
              <w:pStyle w:val="Compact"/>
              <w:spacing w:after="30"/>
            </w:pPr>
            <w:r>
              <w:rPr>
                <w:rFonts w:ascii="Arial" w:hAnsi="Arial" w:eastAsia="Arial" w:cs="Arial"/>
                <w:b/>
                <w:color w:val="000000"/>
                <w:sz w:val="17"/>
              </w:rPr>
              <w:t xml:space="preserve">Use in this project</w:t>
            </w:r>
          </w:p>
        </w:tc>
        <w:tc>
          <w:tcPr>
            <w:shd w:fill="FFFFFF"/>
            <w:vAlign w:val="center"/>
          </w:tcPr>
          <w:p>
            <w:pPr>
              <w:pStyle w:val="Compact"/>
              <w:spacing w:after="30"/>
            </w:pPr>
            <w:r>
              <w:rPr>
                <w:rFonts w:ascii="Arial" w:hAnsi="Arial" w:eastAsia="Arial" w:cs="Arial"/>
                <w:b/>
                <w:color w:val="000000"/>
                <w:sz w:val="17"/>
              </w:rPr>
              <w:t xml:space="preserve">Excluded material</w:t>
            </w:r>
          </w:p>
        </w:tc>
      </w:tr>
      <w:tr>
        <w:trPr>
          <w:cantSplit/>
        </w:trPr>
        <w:tc>
          <w:tcPr>
            <w:vAlign w:val="center"/>
          </w:tcPr>
          <w:p>
            <w:pPr>
              <w:pStyle w:val="Compact"/>
              <w:spacing w:after="30"/>
            </w:pPr>
            <w:r>
              <w:rPr>
                <w:rFonts w:ascii="Arial" w:hAnsi="Arial" w:eastAsia="Arial" w:cs="Arial"/>
                <w:color w:val="000000"/>
                <w:sz w:val="17"/>
              </w:rPr>
              <w:t xml:space="preserve">MoTrPAC Data Hub</w:t>
            </w:r>
          </w:p>
        </w:tc>
        <w:tc>
          <w:tcPr>
            <w:vAlign w:val="center"/>
          </w:tcPr>
          <w:p>
            <w:pPr>
              <w:pStyle w:val="Compact"/>
              <w:spacing w:after="30"/>
            </w:pPr>
            <w:r>
              <w:rPr>
                <w:rFonts w:ascii="Arial" w:hAnsi="Arial" w:eastAsia="Arial" w:cs="Arial"/>
                <w:color w:val="000000"/>
                <w:sz w:val="17"/>
              </w:rPr>
              <w:t xml:space="preserve">Public release documentation and inspected group-level Analysis Results from</w:t>
            </w:r>
            <w:r>
              <w:rPr>
                <w:rFonts w:ascii="Arial" w:hAnsi="Arial" w:eastAsia="Arial" w:cs="Arial"/>
                <w:color w:val="000000"/>
                <w:sz w:val="17"/>
              </w:rPr>
              <w:t xml:space="preserve"> </w:t>
            </w:r>
            <w:r>
              <w:rPr>
                <w:rStyle w:val="VerbatimChar"/>
                <w:rFonts w:ascii="Arial" w:hAnsi="Arial" w:eastAsia="Arial" w:cs="Arial"/>
                <w:color w:val="000000"/>
                <w:sz w:val="17"/>
              </w:rPr>
              <w:t xml:space="preserve">human-precovid-sed-adu</w:t>
            </w:r>
          </w:p>
        </w:tc>
        <w:tc>
          <w:tcPr>
            <w:vAlign w:val="center"/>
          </w:tcPr>
          <w:p>
            <w:pPr>
              <w:pStyle w:val="Compact"/>
              <w:spacing w:after="30"/>
            </w:pPr>
            <w:r>
              <w:rPr>
                <w:rFonts w:ascii="Arial" w:hAnsi="Arial" w:eastAsia="Arial" w:cs="Arial"/>
                <w:color w:val="000000"/>
                <w:sz w:val="17"/>
              </w:rPr>
              <w:t xml:space="preserve">Quant-ID, participant or sample metadata, feature-by-sample files, identifiers, raw trajectories, restricted or unpublished data</w:t>
            </w:r>
          </w:p>
        </w:tc>
      </w:tr>
      <w:tr>
        <w:trPr>
          <w:cantSplit/>
        </w:trPr>
        <w:tc>
          <w:tcPr>
            <w:vAlign w:val="center"/>
          </w:tcPr>
          <w:p>
            <w:pPr>
              <w:pStyle w:val="Compact"/>
              <w:spacing w:after="30"/>
            </w:pPr>
            <w:r>
              <w:rPr>
                <w:rFonts w:ascii="Arial" w:hAnsi="Arial" w:eastAsia="Arial" w:cs="Arial"/>
                <w:color w:val="000000"/>
                <w:sz w:val="17"/>
              </w:rPr>
              <w:t xml:space="preserve">Metabolomics Workbench</w:t>
            </w:r>
          </w:p>
        </w:tc>
        <w:tc>
          <w:tcPr>
            <w:vAlign w:val="center"/>
          </w:tcPr>
          <w:p>
            <w:pPr>
              <w:pStyle w:val="Compact"/>
              <w:spacing w:after="30"/>
            </w:pPr>
            <w:r>
              <w:rPr>
                <w:rFonts w:ascii="Arial" w:hAnsi="Arial" w:eastAsia="Arial" w:cs="Arial"/>
                <w:color w:val="000000"/>
                <w:sz w:val="17"/>
              </w:rPr>
              <w:t xml:space="preserve">Public study summaries, accessions, protocols, assay descriptions, access statements, and deposited aggregate results</w:t>
            </w:r>
          </w:p>
        </w:tc>
        <w:tc>
          <w:tcPr>
            <w:vAlign w:val="center"/>
          </w:tcPr>
          <w:p>
            <w:pPr>
              <w:pStyle w:val="Compact"/>
              <w:spacing w:after="30"/>
            </w:pPr>
            <w:r>
              <w:rPr>
                <w:rStyle w:val="VerbatimChar"/>
                <w:rFonts w:ascii="Arial" w:hAnsi="Arial" w:eastAsia="Arial" w:cs="Arial"/>
                <w:color w:val="000000"/>
                <w:sz w:val="17"/>
              </w:rPr>
              <w:t xml:space="preserve">/factors</w:t>
            </w:r>
            <w:r>
              <w:rPr>
                <w:rFonts w:ascii="Arial" w:hAnsi="Arial" w:eastAsia="Arial" w:cs="Arial"/>
                <w:color w:val="000000"/>
                <w:sz w:val="17"/>
              </w:rPr>
              <w:t xml:space="preserve">,</w:t>
            </w:r>
            <w:r>
              <w:rPr>
                <w:rFonts w:ascii="Arial" w:hAnsi="Arial" w:eastAsia="Arial" w:cs="Arial"/>
                <w:color w:val="000000"/>
                <w:sz w:val="17"/>
              </w:rPr>
              <w:t xml:space="preserve"> </w:t>
            </w:r>
            <w:r>
              <w:rPr>
                <w:rStyle w:val="VerbatimChar"/>
                <w:rFonts w:ascii="Arial" w:hAnsi="Arial" w:eastAsia="Arial" w:cs="Arial"/>
                <w:color w:val="000000"/>
                <w:sz w:val="17"/>
              </w:rPr>
              <w:t xml:space="preserve">/data</w:t>
            </w:r>
            <w:r>
              <w:rPr>
                <w:rFonts w:ascii="Arial" w:hAnsi="Arial" w:eastAsia="Arial" w:cs="Arial"/>
                <w:color w:val="000000"/>
                <w:sz w:val="17"/>
              </w:rPr>
              <w:t xml:space="preserve">, participant rows, sample matrices, and locally calculated summaries from those matrices</w:t>
            </w:r>
          </w:p>
        </w:tc>
      </w:tr>
      <w:tr>
        <w:trPr>
          <w:cantSplit/>
        </w:trPr>
        <w:tc>
          <w:tcPr>
            <w:vAlign w:val="center"/>
          </w:tcPr>
          <w:p>
            <w:pPr>
              <w:pStyle w:val="Compact"/>
              <w:spacing w:after="30"/>
            </w:pPr>
            <w:r>
              <w:rPr>
                <w:rFonts w:ascii="Arial" w:hAnsi="Arial" w:eastAsia="Arial" w:cs="Arial"/>
                <w:color w:val="000000"/>
                <w:sz w:val="17"/>
              </w:rPr>
              <w:t xml:space="preserve">CFDE</w:t>
            </w:r>
          </w:p>
        </w:tc>
        <w:tc>
          <w:tcPr>
            <w:vAlign w:val="center"/>
          </w:tcPr>
          <w:p>
            <w:pPr>
              <w:pStyle w:val="Compact"/>
              <w:spacing w:after="30"/>
            </w:pPr>
            <w:r>
              <w:rPr>
                <w:rFonts w:ascii="Arial" w:hAnsi="Arial" w:eastAsia="Arial" w:cs="Arial"/>
                <w:color w:val="000000"/>
                <w:sz w:val="17"/>
              </w:rPr>
              <w:t xml:space="preserve">Public catalog records, resource descriptions, identifiers, links, and access labels</w:t>
            </w:r>
          </w:p>
        </w:tc>
        <w:tc>
          <w:tcPr>
            <w:vAlign w:val="center"/>
          </w:tcPr>
          <w:p>
            <w:pPr>
              <w:pStyle w:val="Compact"/>
              <w:spacing w:after="30"/>
            </w:pPr>
            <w:r>
              <w:rPr>
                <w:rFonts w:ascii="Arial" w:hAnsi="Arial" w:eastAsia="Arial" w:cs="Arial"/>
                <w:color w:val="000000"/>
                <w:sz w:val="17"/>
              </w:rPr>
              <w:t xml:space="preserve">Controlled workspace data; a catalog entry alone will not establish data eligibility</w:t>
            </w:r>
          </w:p>
        </w:tc>
      </w:tr>
      <w:tr>
        <w:trPr>
          <w:cantSplit/>
        </w:trPr>
        <w:tc>
          <w:tcPr>
            <w:vAlign w:val="center"/>
          </w:tcPr>
          <w:p>
            <w:pPr>
              <w:pStyle w:val="Compact"/>
              <w:spacing w:after="30"/>
            </w:pPr>
            <w:r>
              <w:rPr>
                <w:rFonts w:ascii="Arial" w:hAnsi="Arial" w:eastAsia="Arial" w:cs="Arial"/>
                <w:color w:val="000000"/>
                <w:sz w:val="17"/>
              </w:rPr>
              <w:t xml:space="preserve">MetaboLights, RefMet, and publications</w:t>
            </w:r>
          </w:p>
        </w:tc>
        <w:tc>
          <w:tcPr>
            <w:vAlign w:val="center"/>
          </w:tcPr>
          <w:p>
            <w:pPr>
              <w:pStyle w:val="Compact"/>
              <w:spacing w:after="30"/>
            </w:pPr>
            <w:r>
              <w:rPr>
                <w:rFonts w:ascii="Arial" w:hAnsi="Arial" w:eastAsia="Arial" w:cs="Arial"/>
                <w:color w:val="000000"/>
                <w:sz w:val="17"/>
              </w:rPr>
              <w:t xml:space="preserve">Public study metadata, protocols, nomenclature, accessions, and aggregate results</w:t>
            </w:r>
          </w:p>
        </w:tc>
        <w:tc>
          <w:tcPr>
            <w:vAlign w:val="center"/>
          </w:tcPr>
          <w:p>
            <w:pPr>
              <w:pStyle w:val="Compact"/>
              <w:spacing w:after="30"/>
            </w:pPr>
            <w:r>
              <w:rPr>
                <w:rFonts w:ascii="Arial" w:hAnsi="Arial" w:eastAsia="Arial" w:cs="Arial"/>
                <w:color w:val="000000"/>
                <w:sz w:val="17"/>
              </w:rPr>
              <w:t xml:space="preserve">Participant-level extraction, sample matrices, and unsupported identity assignments</w:t>
            </w:r>
          </w:p>
        </w:tc>
      </w:tr>
    </w:tbl>
    <w:p>
      <w:pPr>
        <w:pStyle w:val="BodyText"/>
      </w:pPr>
      <w:r>
        <w:rPr>
          <w:rFonts w:ascii="Arial" w:hAnsi="Arial" w:eastAsia="Arial" w:cs="Arial"/>
          <w:color w:val="000000"/>
        </w:rPr>
        <w:t xml:space="preserve">MoTrPAC will provide the exercise-centered reference. Before ingestion, each summary table must identify its release, tissue or matrix, assay, time point, exercise group, contrast direction, analyte, and statistic. Files with an unknown aggregation level will be rejected. Metabolomics Workbench access will be limited to allowlisted study-level content and cannot retrieve sample tables. CFDE will be used for discovery and linking, not as permission to access underlying data.</w:t>
      </w:r>
    </w:p>
    <w:p>
      <w:pPr>
        <w:pStyle w:val="BodyText"/>
      </w:pPr>
      <w:r>
        <w:rPr>
          <w:rFonts w:ascii="Arial" w:hAnsi="Arial" w:eastAsia="Arial" w:cs="Arial"/>
          <w:color w:val="000000"/>
        </w:rPr>
        <w:t xml:space="preserve">The workflow has four steps:</w:t>
      </w:r>
    </w:p>
    <w:p>
      <w:pPr>
        <w:pStyle w:val="Compact"/>
        <w:numPr>
          <w:ilvl w:val="0"/>
          <w:numId w:val="1001"/>
        </w:numPr>
      </w:pPr>
      <w:r>
        <w:rPr>
          <w:rFonts w:ascii="Arial" w:hAnsi="Arial" w:eastAsia="Arial" w:cs="Arial"/>
          <w:color w:val="000000"/>
        </w:rPr>
        <w:t xml:space="preserve">Freeze the eligibility rules, source versions, schemas, prompts, scoring rules, and software version.</w:t>
      </w:r>
    </w:p>
    <w:p>
      <w:pPr>
        <w:pStyle w:val="Compact"/>
        <w:numPr>
          <w:ilvl w:val="0"/>
          <w:numId w:val="1001"/>
        </w:numPr>
      </w:pPr>
      <w:r>
        <w:rPr>
          <w:rFonts w:ascii="Arial" w:hAnsi="Arial" w:eastAsia="Arial" w:cs="Arial"/>
          <w:color w:val="000000"/>
        </w:rPr>
        <w:t xml:space="preserve">Search public records, confirm repository access, and flag missing codebooks, unclear timing, uncertain matrices, or inaccessible data.</w:t>
      </w:r>
    </w:p>
    <w:p>
      <w:pPr>
        <w:pStyle w:val="Compact"/>
        <w:numPr>
          <w:ilvl w:val="0"/>
          <w:numId w:val="1001"/>
        </w:numPr>
      </w:pPr>
      <w:r>
        <w:rPr>
          <w:rFonts w:ascii="Arial" w:hAnsi="Arial" w:eastAsia="Arial" w:cs="Arial"/>
          <w:color w:val="000000"/>
        </w:rPr>
        <w:t xml:space="preserve">Create structured evidence records and send uncertain phenotype, metabolite, unit, timing, or contrast mappings to review.</w:t>
      </w:r>
    </w:p>
    <w:p>
      <w:pPr>
        <w:pStyle w:val="Compact"/>
        <w:numPr>
          <w:ilvl w:val="0"/>
          <w:numId w:val="1001"/>
        </w:numPr>
      </w:pPr>
      <w:r>
        <w:rPr>
          <w:rFonts w:ascii="Arial" w:hAnsi="Arial" w:eastAsia="Arial" w:cs="Arial"/>
          <w:color w:val="000000"/>
        </w:rPr>
        <w:t xml:space="preserve">Compare only reviewed summary statistics and release each output with its source manifest, transformation record, software version, and decision state.</w:t>
      </w:r>
    </w:p>
    <w:bookmarkEnd w:id="11"/>
    <w:bookmarkStart w:id="15" w:name="evaluation-and-deliverables"/>
    <w:p>
      <w:pPr>
        <w:pStyle w:val="Heading2"/>
        <w:keepNext/>
        <w:spacing w:before="100" w:after="40"/>
      </w:pPr>
      <w:r>
        <w:rPr>
          <w:rFonts w:ascii="Arial" w:hAnsi="Arial" w:eastAsia="Arial" w:cs="Arial"/>
          <w:color w:val="000000"/>
        </w:rPr>
        <w:t xml:space="preserve">Evaluation and deliverables</w:t>
      </w:r>
    </w:p>
    <w:bookmarkStart w:id="12" w:name="preliminary-work"/>
    <w:p>
      <w:pPr>
        <w:pStyle w:val="Heading3"/>
        <w:keepNext/>
        <w:spacing w:before="100" w:after="40"/>
      </w:pPr>
      <w:r>
        <w:rPr>
          <w:rFonts w:ascii="Arial" w:hAnsi="Arial" w:eastAsia="Arial" w:cs="Arial"/>
          <w:color w:val="000000"/>
        </w:rPr>
        <w:t xml:space="preserve">Preliminary work</w:t>
      </w:r>
    </w:p>
    <w:p>
      <w:pPr>
        <w:pStyle w:val="FirstParagraph"/>
      </w:pPr>
      <w:r>
        <w:rPr>
          <w:rFonts w:ascii="Arial" w:hAnsi="Arial" w:eastAsia="Arial" w:cs="Arial"/>
          <w:color w:val="000000"/>
        </w:rPr>
        <w:t xml:space="preserve">The completed offline MVP uses synthetic fixtures and does not access live participant data. As of July 12, 2026, 45 tests passed. A pilot with 10 publication records, 10 linked repository records, and 26 variable rows produced 4 direct matches, 3 enrichment candidates, 2 mirages, and 1 exclusion. Its crosswalk contained 12 accepted, 12 review-required, and 2 rejected variables. Mapping precision, recall, F1, and review-state accuracy were 1.00 against rule-derived fixtures. These results show that the workflow and safeguards run as intended; they do not establish external accuracy.</w:t>
      </w:r>
    </w:p>
    <w:bookmarkEnd w:id="12"/>
    <w:bookmarkStart w:id="13" w:name="validation-targets"/>
    <w:p>
      <w:pPr>
        <w:pStyle w:val="Heading3"/>
        <w:keepNext/>
        <w:pageBreakBefore/>
        <w:spacing w:before="100" w:after="40"/>
      </w:pPr>
      <w:r>
        <w:rPr>
          <w:rFonts w:ascii="Arial" w:hAnsi="Arial" w:eastAsia="Arial" w:cs="Arial"/>
          <w:color w:val="000000"/>
        </w:rPr>
        <w:t xml:space="preserve">Validation targets</w:t>
      </w:r>
    </w:p>
    <w:p>
      <w:pPr>
        <w:pStyle w:val="FirstParagraph"/>
      </w:pPr>
      <w:r>
        <w:rPr>
          <w:rFonts w:ascii="Arial" w:hAnsi="Arial" w:eastAsia="Arial" w:cs="Arial"/>
          <w:color w:val="000000"/>
        </w:rPr>
        <w:t xml:space="preserve">Development examples will remain separate from the held-out evaluation set. Two reviewers will independently assess each item, with disagreements resolved by a third reviewer or consensus. Rules and software will be locked before adjudication.</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shd w:fill="FFFFFF"/>
            <w:vAlign w:val="center"/>
          </w:tcPr>
          <w:p>
            <w:pPr>
              <w:pStyle w:val="Compact"/>
              <w:spacing w:after="30"/>
            </w:pPr>
            <w:r>
              <w:rPr>
                <w:rFonts w:ascii="Arial" w:hAnsi="Arial" w:eastAsia="Arial" w:cs="Arial"/>
                <w:b/>
                <w:color w:val="000000"/>
                <w:sz w:val="17"/>
              </w:rPr>
              <w:t xml:space="preserve">Domain</w:t>
            </w:r>
          </w:p>
        </w:tc>
        <w:tc>
          <w:tcPr>
            <w:shd w:fill="FFFFFF"/>
            <w:vAlign w:val="center"/>
          </w:tcPr>
          <w:p>
            <w:pPr>
              <w:pStyle w:val="Compact"/>
              <w:spacing w:after="30"/>
            </w:pPr>
            <w:r>
              <w:rPr>
                <w:rFonts w:ascii="Arial" w:hAnsi="Arial" w:eastAsia="Arial" w:cs="Arial"/>
                <w:b/>
                <w:color w:val="000000"/>
                <w:sz w:val="17"/>
              </w:rPr>
              <w:t xml:space="preserve">Measure</w:t>
            </w:r>
          </w:p>
        </w:tc>
        <w:tc>
          <w:tcPr>
            <w:shd w:fill="FFFFFF"/>
            <w:vAlign w:val="center"/>
          </w:tcPr>
          <w:p>
            <w:pPr>
              <w:pStyle w:val="Compact"/>
              <w:spacing w:after="30"/>
            </w:pPr>
            <w:r>
              <w:rPr>
                <w:rFonts w:ascii="Arial" w:hAnsi="Arial" w:eastAsia="Arial" w:cs="Arial"/>
                <w:b/>
                <w:color w:val="000000"/>
                <w:sz w:val="17"/>
              </w:rPr>
              <w:t xml:space="preserve">Target</w:t>
            </w:r>
          </w:p>
        </w:tc>
      </w:tr>
      <w:tr>
        <w:trPr>
          <w:cantSplit/>
        </w:trPr>
        <w:tc>
          <w:tcPr>
            <w:vAlign w:val="center"/>
          </w:tcPr>
          <w:p>
            <w:pPr>
              <w:pStyle w:val="Compact"/>
              <w:spacing w:after="30"/>
            </w:pPr>
            <w:r>
              <w:rPr>
                <w:rFonts w:ascii="Arial" w:hAnsi="Arial" w:eastAsia="Arial" w:cs="Arial"/>
                <w:color w:val="000000"/>
                <w:sz w:val="17"/>
              </w:rPr>
              <w:t xml:space="preserve">Discovery</w:t>
            </w:r>
          </w:p>
        </w:tc>
        <w:tc>
          <w:tcPr>
            <w:vAlign w:val="center"/>
          </w:tcPr>
          <w:p>
            <w:pPr>
              <w:pStyle w:val="Compact"/>
              <w:spacing w:after="30"/>
            </w:pPr>
            <w:r>
              <w:rPr>
                <w:rFonts w:ascii="Arial" w:hAnsi="Arial" w:eastAsia="Arial" w:cs="Arial"/>
                <w:color w:val="000000"/>
                <w:sz w:val="17"/>
              </w:rPr>
              <w:t xml:space="preserve">Precision and recall against an independently assembled public-resource set</w:t>
            </w:r>
          </w:p>
        </w:tc>
        <w:tc>
          <w:tcPr>
            <w:vAlign w:val="center"/>
          </w:tcPr>
          <w:p>
            <w:pPr>
              <w:pStyle w:val="Compact"/>
              <w:spacing w:after="30"/>
            </w:pPr>
            <w:r>
              <w:rPr>
                <w:rFonts w:ascii="Arial" w:hAnsi="Arial" w:eastAsia="Arial" w:cs="Arial"/>
                <w:color w:val="000000"/>
                <w:sz w:val="17"/>
              </w:rPr>
              <w:t xml:space="preserve">Recall &gt;= 0.90; precision &gt;= 0.80</w:t>
            </w:r>
          </w:p>
        </w:tc>
      </w:tr>
      <w:tr>
        <w:trPr>
          <w:cantSplit/>
        </w:trPr>
        <w:tc>
          <w:tcPr>
            <w:vAlign w:val="center"/>
          </w:tcPr>
          <w:p>
            <w:pPr>
              <w:pStyle w:val="Compact"/>
              <w:spacing w:after="30"/>
            </w:pPr>
            <w:r>
              <w:rPr>
                <w:rFonts w:ascii="Arial" w:hAnsi="Arial" w:eastAsia="Arial" w:cs="Arial"/>
                <w:color w:val="000000"/>
                <w:sz w:val="17"/>
              </w:rPr>
              <w:t xml:space="preserve">Metadata and mappings</w:t>
            </w:r>
          </w:p>
        </w:tc>
        <w:tc>
          <w:tcPr>
            <w:vAlign w:val="center"/>
          </w:tcPr>
          <w:p>
            <w:pPr>
              <w:pStyle w:val="Compact"/>
              <w:spacing w:after="30"/>
            </w:pPr>
            <w:r>
              <w:rPr>
                <w:rFonts w:ascii="Arial" w:hAnsi="Arial" w:eastAsia="Arial" w:cs="Arial"/>
                <w:color w:val="000000"/>
                <w:sz w:val="17"/>
              </w:rPr>
              <w:t xml:space="preserve">Field agreement, mapping F1, and review-state accuracy</w:t>
            </w:r>
          </w:p>
        </w:tc>
        <w:tc>
          <w:tcPr>
            <w:vAlign w:val="center"/>
          </w:tcPr>
          <w:p>
            <w:pPr>
              <w:pStyle w:val="Compact"/>
              <w:spacing w:after="30"/>
            </w:pPr>
            <w:r>
              <w:rPr>
                <w:rFonts w:ascii="Arial" w:hAnsi="Arial" w:eastAsia="Arial" w:cs="Arial"/>
                <w:color w:val="000000"/>
                <w:sz w:val="17"/>
              </w:rPr>
              <w:t xml:space="preserve">Mapping F1 &gt;= 0.85; review-state accuracy &gt;= 0.85</w:t>
            </w:r>
          </w:p>
        </w:tc>
      </w:tr>
      <w:tr>
        <w:trPr>
          <w:cantSplit/>
        </w:trPr>
        <w:tc>
          <w:tcPr>
            <w:vAlign w:val="center"/>
          </w:tcPr>
          <w:p>
            <w:pPr>
              <w:pStyle w:val="Compact"/>
              <w:spacing w:after="30"/>
            </w:pPr>
            <w:r>
              <w:rPr>
                <w:rFonts w:ascii="Arial" w:hAnsi="Arial" w:eastAsia="Arial" w:cs="Arial"/>
                <w:color w:val="000000"/>
                <w:sz w:val="17"/>
              </w:rPr>
              <w:t xml:space="preserve">Safety</w:t>
            </w:r>
          </w:p>
        </w:tc>
        <w:tc>
          <w:tcPr>
            <w:vAlign w:val="center"/>
          </w:tcPr>
          <w:p>
            <w:pPr>
              <w:pStyle w:val="Compact"/>
              <w:spacing w:after="30"/>
            </w:pPr>
            <w:r>
              <w:rPr>
                <w:rFonts w:ascii="Arial" w:hAnsi="Arial" w:eastAsia="Arial" w:cs="Arial"/>
                <w:color w:val="000000"/>
                <w:sz w:val="17"/>
              </w:rPr>
              <w:t xml:space="preserve">Prohibited intake, fabricated accessions, unsupported access claims, lost contrast direction, and unsafe mapping acceptance</w:t>
            </w:r>
          </w:p>
        </w:tc>
        <w:tc>
          <w:tcPr>
            <w:vAlign w:val="center"/>
          </w:tcPr>
          <w:p>
            <w:pPr>
              <w:pStyle w:val="Compact"/>
              <w:spacing w:after="30"/>
            </w:pPr>
            <w:r>
              <w:rPr>
                <w:rFonts w:ascii="Arial" w:hAnsi="Arial" w:eastAsia="Arial" w:cs="Arial"/>
                <w:color w:val="000000"/>
                <w:sz w:val="17"/>
              </w:rPr>
              <w:t xml:space="preserve">Zero governance errors; unsafe mapping autoacceptance &lt;= 0.05</w:t>
            </w:r>
          </w:p>
        </w:tc>
      </w:tr>
      <w:tr>
        <w:trPr>
          <w:cantSplit/>
        </w:trPr>
        <w:tc>
          <w:tcPr>
            <w:vAlign w:val="center"/>
          </w:tcPr>
          <w:p>
            <w:pPr>
              <w:pStyle w:val="Compact"/>
              <w:spacing w:after="30"/>
            </w:pPr>
            <w:r>
              <w:rPr>
                <w:rFonts w:ascii="Arial" w:hAnsi="Arial" w:eastAsia="Arial" w:cs="Arial"/>
                <w:color w:val="000000"/>
                <w:sz w:val="17"/>
              </w:rPr>
              <w:t xml:space="preserve">Reproducibility and utility</w:t>
            </w:r>
          </w:p>
        </w:tc>
        <w:tc>
          <w:tcPr>
            <w:vAlign w:val="center"/>
          </w:tcPr>
          <w:p>
            <w:pPr>
              <w:pStyle w:val="Compact"/>
              <w:spacing w:after="30"/>
            </w:pPr>
            <w:r>
              <w:rPr>
                <w:rFonts w:ascii="Arial" w:hAnsi="Arial" w:eastAsia="Arial" w:cs="Arial"/>
                <w:color w:val="000000"/>
                <w:sz w:val="17"/>
              </w:rPr>
              <w:t xml:space="preserve">Regeneration of deterministic outputs; reviewer time and accuracy in the optional pilot</w:t>
            </w:r>
          </w:p>
        </w:tc>
        <w:tc>
          <w:tcPr>
            <w:vAlign w:val="center"/>
          </w:tcPr>
          <w:p>
            <w:pPr>
              <w:pStyle w:val="Compact"/>
              <w:spacing w:after="30"/>
            </w:pPr>
            <w:r>
              <w:rPr>
                <w:rFonts w:ascii="Arial" w:hAnsi="Arial" w:eastAsia="Arial" w:cs="Arial"/>
                <w:color w:val="000000"/>
                <w:sz w:val="17"/>
              </w:rPr>
              <w:t xml:space="preserve">Identical outputs from frozen inputs; no loss of accuracy in assisted review</w:t>
            </w:r>
          </w:p>
        </w:tc>
      </w:tr>
    </w:tbl>
    <w:p>
      <w:pPr>
        <w:pStyle w:val="BodyText"/>
      </w:pPr>
      <w:r>
        <w:rPr>
          <w:rFonts w:ascii="Arial" w:hAnsi="Arial" w:eastAsia="Arial" w:cs="Arial"/>
          <w:color w:val="000000"/>
        </w:rPr>
        <w:t xml:space="preserve">Every accepted mapping, comparison, and published artifact must have complete provenance. Incomplete records will remain quarantined. The project-defined MoTrPAC-informed feasibility rubric will describe reuse potential; it is not an official MoTrPAC instrument or consortium endorsement.</w:t>
      </w:r>
    </w:p>
    <w:bookmarkEnd w:id="13"/>
    <w:bookmarkStart w:id="14" w:name="schedule-and-products"/>
    <w:p>
      <w:pPr>
        <w:pStyle w:val="Heading3"/>
        <w:keepNext/>
        <w:spacing w:before="100" w:after="40"/>
      </w:pPr>
      <w:r>
        <w:rPr>
          <w:rFonts w:ascii="Arial" w:hAnsi="Arial" w:eastAsia="Arial" w:cs="Arial"/>
          <w:color w:val="000000"/>
        </w:rPr>
        <w:t xml:space="preserve">Schedule and products</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shd w:fill="FFFFFF"/>
            <w:vAlign w:val="center"/>
          </w:tcPr>
          <w:p>
            <w:pPr>
              <w:pStyle w:val="Compact"/>
              <w:spacing w:after="30"/>
            </w:pPr>
            <w:r>
              <w:rPr>
                <w:rFonts w:ascii="Arial" w:hAnsi="Arial" w:eastAsia="Arial" w:cs="Arial"/>
                <w:b/>
                <w:color w:val="000000"/>
                <w:sz w:val="17"/>
              </w:rPr>
              <w:t xml:space="preserve">Period</w:t>
            </w:r>
          </w:p>
        </w:tc>
        <w:tc>
          <w:tcPr>
            <w:shd w:fill="FFFFFF"/>
            <w:vAlign w:val="center"/>
          </w:tcPr>
          <w:p>
            <w:pPr>
              <w:pStyle w:val="Compact"/>
              <w:spacing w:after="30"/>
            </w:pPr>
            <w:r>
              <w:rPr>
                <w:rFonts w:ascii="Arial" w:hAnsi="Arial" w:eastAsia="Arial" w:cs="Arial"/>
                <w:b/>
                <w:color w:val="000000"/>
                <w:sz w:val="17"/>
              </w:rPr>
              <w:t xml:space="preserve">Products</w:t>
            </w:r>
          </w:p>
        </w:tc>
      </w:tr>
      <w:tr>
        <w:trPr>
          <w:cantSplit/>
        </w:trPr>
        <w:tc>
          <w:tcPr>
            <w:vAlign w:val="center"/>
          </w:tcPr>
          <w:p>
            <w:pPr>
              <w:pStyle w:val="Compact"/>
              <w:spacing w:after="30"/>
            </w:pPr>
            <w:r>
              <w:rPr>
                <w:rFonts w:ascii="Arial" w:hAnsi="Arial" w:eastAsia="Arial" w:cs="Arial"/>
                <w:color w:val="000000"/>
                <w:sz w:val="17"/>
              </w:rPr>
              <w:t xml:space="preserve">Months 1-3</w:t>
            </w:r>
          </w:p>
        </w:tc>
        <w:tc>
          <w:tcPr>
            <w:vAlign w:val="center"/>
          </w:tcPr>
          <w:p>
            <w:pPr>
              <w:pStyle w:val="Compact"/>
              <w:spacing w:after="30"/>
            </w:pPr>
            <w:r>
              <w:rPr>
                <w:rFonts w:ascii="Arial" w:hAnsi="Arial" w:eastAsia="Arial" w:cs="Arial"/>
                <w:color w:val="000000"/>
                <w:sz w:val="17"/>
              </w:rPr>
              <w:t xml:space="preserve">Final data policy, schemas, source manifests, adapters, and independent discovery reference set</w:t>
            </w:r>
          </w:p>
        </w:tc>
      </w:tr>
      <w:tr>
        <w:trPr>
          <w:cantSplit/>
        </w:trPr>
        <w:tc>
          <w:tcPr>
            <w:vAlign w:val="center"/>
          </w:tcPr>
          <w:p>
            <w:pPr>
              <w:pStyle w:val="Compact"/>
              <w:spacing w:after="30"/>
            </w:pPr>
            <w:r>
              <w:rPr>
                <w:rFonts w:ascii="Arial" w:hAnsi="Arial" w:eastAsia="Arial" w:cs="Arial"/>
                <w:color w:val="000000"/>
                <w:sz w:val="17"/>
              </w:rPr>
              <w:t xml:space="preserve">Months 4-6</w:t>
            </w:r>
          </w:p>
        </w:tc>
        <w:tc>
          <w:tcPr>
            <w:vAlign w:val="center"/>
          </w:tcPr>
          <w:p>
            <w:pPr>
              <w:pStyle w:val="Compact"/>
              <w:spacing w:after="30"/>
            </w:pPr>
            <w:r>
              <w:rPr>
                <w:rFonts w:ascii="Arial" w:hAnsi="Arial" w:eastAsia="Arial" w:cs="Arial"/>
                <w:color w:val="000000"/>
                <w:sz w:val="17"/>
              </w:rPr>
              <w:t xml:space="preserve">Public-resource catalog, evidence records, mapping benchmark, reviewer packets, and MoTrPAC summary allowlist</w:t>
            </w:r>
          </w:p>
        </w:tc>
      </w:tr>
      <w:tr>
        <w:trPr>
          <w:cantSplit/>
        </w:trPr>
        <w:tc>
          <w:tcPr>
            <w:vAlign w:val="center"/>
          </w:tcPr>
          <w:p>
            <w:pPr>
              <w:pStyle w:val="Compact"/>
              <w:spacing w:after="30"/>
            </w:pPr>
            <w:r>
              <w:rPr>
                <w:rFonts w:ascii="Arial" w:hAnsi="Arial" w:eastAsia="Arial" w:cs="Arial"/>
                <w:color w:val="000000"/>
                <w:sz w:val="17"/>
              </w:rPr>
              <w:t xml:space="preserve">Months 7-9</w:t>
            </w:r>
          </w:p>
        </w:tc>
        <w:tc>
          <w:tcPr>
            <w:vAlign w:val="center"/>
          </w:tcPr>
          <w:p>
            <w:pPr>
              <w:pStyle w:val="Compact"/>
              <w:spacing w:after="30"/>
            </w:pPr>
            <w:r>
              <w:rPr>
                <w:rFonts w:ascii="Arial" w:hAnsi="Arial" w:eastAsia="Arial" w:cs="Arial"/>
                <w:color w:val="000000"/>
                <w:sz w:val="17"/>
              </w:rPr>
              <w:t xml:space="preserve">Held-out accuracy and safety evaluation, reviewed summary comparisons, reproducibility audit, and internal Stanford presentations</w:t>
            </w:r>
          </w:p>
        </w:tc>
      </w:tr>
      <w:tr>
        <w:trPr>
          <w:cantSplit/>
        </w:trPr>
        <w:tc>
          <w:tcPr>
            <w:vAlign w:val="center"/>
          </w:tcPr>
          <w:p>
            <w:pPr>
              <w:pStyle w:val="Compact"/>
              <w:spacing w:after="30"/>
            </w:pPr>
            <w:r>
              <w:rPr>
                <w:rFonts w:ascii="Arial" w:hAnsi="Arial" w:eastAsia="Arial" w:cs="Arial"/>
                <w:color w:val="000000"/>
                <w:sz w:val="17"/>
              </w:rPr>
              <w:t xml:space="preserve">Months 10-12</w:t>
            </w:r>
          </w:p>
        </w:tc>
        <w:tc>
          <w:tcPr>
            <w:vAlign w:val="center"/>
          </w:tcPr>
          <w:p>
            <w:pPr>
              <w:pStyle w:val="Compact"/>
              <w:spacing w:after="30"/>
            </w:pPr>
            <w:r>
              <w:rPr>
                <w:rFonts w:ascii="Arial" w:hAnsi="Arial" w:eastAsia="Arial" w:cs="Arial"/>
                <w:color w:val="000000"/>
                <w:sz w:val="17"/>
              </w:rPr>
              <w:t xml:space="preserve">Optional reviewer pilot, public software and benchmark release, external presentation series, and methods manuscript</w:t>
            </w:r>
          </w:p>
        </w:tc>
      </w:tr>
    </w:tbl>
    <w:p>
      <w:pPr>
        <w:pStyle w:val="BodyText"/>
      </w:pPr>
      <w:r>
        <w:rPr>
          <w:rFonts w:ascii="Arial" w:hAnsi="Arial" w:eastAsia="Arial" w:cs="Arial"/>
          <w:color w:val="000000"/>
        </w:rPr>
        <w:t xml:space="preserve">The publication and all internal Stanford and external presentations will report only synthetic examples or outputs derived from already publicly released study-level metadata and aggregate statistics. No controlled-access, embargoed, unpublished, participant-level, or sample-level data will appear in manuscripts, figures, tables, slides, demonstrations, or shared files.</w:t>
      </w:r>
    </w:p>
    <w:p>
      <w:pPr>
        <w:pStyle w:val="BodyText"/>
      </w:pPr>
      <w:r>
        <w:rPr>
          <w:rFonts w:ascii="Arial" w:hAnsi="Arial" w:eastAsia="Arial" w:cs="Arial"/>
          <w:color w:val="000000"/>
        </w:rPr>
        <w:t xml:space="preserve">The reviewer pilot will not begin until Stanford provides the appropriate determination and the protocol addresses consent, privacy, compensation, retention, and supervisory conflicts. The project will not attempt re-identification, participant linkage, clinical prediction, or individual risk assessment.</w:t>
      </w:r>
    </w:p>
    <w:p>
      <w:pPr>
        <w:pStyle w:val="BodyText"/>
      </w:pPr>
      <w:r>
        <w:rPr>
          <w:rFonts w:ascii="Arial" w:hAnsi="Arial" w:eastAsia="Arial" w:cs="Arial"/>
          <w:b/>
          <w:bCs/>
          <w:color w:val="000000"/>
        </w:rPr>
        <w:t xml:space="preserve">Selected references:</w:t>
      </w:r>
      <w:r>
        <w:rPr>
          <w:rFonts w:ascii="Arial" w:hAnsi="Arial" w:eastAsia="Arial" w:cs="Arial"/>
          <w:color w:val="000000"/>
        </w:rPr>
        <w:t xml:space="preserve"> </w:t>
      </w:r>
      <w:r>
        <w:rPr>
          <w:rFonts w:ascii="Arial" w:hAnsi="Arial" w:eastAsia="Arial" w:cs="Arial"/>
          <w:color w:val="000000"/>
        </w:rPr>
        <w:t xml:space="preserve">Lewis GD, et al. </w:t>
      </w:r>
      <w:r>
        <w:rPr>
          <w:rFonts w:ascii="Arial" w:hAnsi="Arial" w:eastAsia="Arial" w:cs="Arial"/>
          <w:i/>
          <w:iCs/>
          <w:color w:val="000000"/>
        </w:rPr>
        <w:t xml:space="preserve">Science Translational Medicine</w:t>
      </w:r>
      <w:r>
        <w:rPr>
          <w:rFonts w:ascii="Arial" w:hAnsi="Arial" w:eastAsia="Arial" w:cs="Arial"/>
          <w:color w:val="000000"/>
        </w:rPr>
        <w:t xml:space="preserve">. 2010;2:33ra37; Contrepois K, et al. </w:t>
      </w:r>
      <w:r>
        <w:rPr>
          <w:rFonts w:ascii="Arial" w:hAnsi="Arial" w:eastAsia="Arial" w:cs="Arial"/>
          <w:i/>
          <w:iCs/>
          <w:color w:val="000000"/>
        </w:rPr>
        <w:t xml:space="preserve">Cell</w:t>
      </w:r>
      <w:r>
        <w:rPr>
          <w:rFonts w:ascii="Arial" w:hAnsi="Arial" w:eastAsia="Arial" w:cs="Arial"/>
          <w:color w:val="000000"/>
        </w:rPr>
        <w:t xml:space="preserve">. 2020;181:1112-1130.e16; Sumner LW, et al. </w:t>
      </w:r>
      <w:r>
        <w:rPr>
          <w:rFonts w:ascii="Arial" w:hAnsi="Arial" w:eastAsia="Arial" w:cs="Arial"/>
          <w:i/>
          <w:iCs/>
          <w:color w:val="000000"/>
        </w:rPr>
        <w:t xml:space="preserve">Metabolomics</w:t>
      </w:r>
      <w:r>
        <w:rPr>
          <w:rFonts w:ascii="Arial" w:hAnsi="Arial" w:eastAsia="Arial" w:cs="Arial"/>
          <w:color w:val="000000"/>
        </w:rPr>
        <w:t xml:space="preserve">. 2007;3:211-221; Salek RM, et al. </w:t>
      </w:r>
      <w:r>
        <w:rPr>
          <w:rFonts w:ascii="Arial" w:hAnsi="Arial" w:eastAsia="Arial" w:cs="Arial"/>
          <w:i/>
          <w:iCs/>
          <w:color w:val="000000"/>
        </w:rPr>
        <w:t xml:space="preserve">Metabolomics</w:t>
      </w:r>
      <w:r>
        <w:rPr>
          <w:rFonts w:ascii="Arial" w:hAnsi="Arial" w:eastAsia="Arial" w:cs="Arial"/>
          <w:color w:val="000000"/>
        </w:rPr>
        <w:t xml:space="preserve">. 2015;11:1587-1597; Siskos AP, et al. </w:t>
      </w:r>
      <w:r>
        <w:rPr>
          <w:rFonts w:ascii="Arial" w:hAnsi="Arial" w:eastAsia="Arial" w:cs="Arial"/>
          <w:i/>
          <w:iCs/>
          <w:color w:val="000000"/>
        </w:rPr>
        <w:t xml:space="preserve">Analytical Chemistry</w:t>
      </w:r>
      <w:r>
        <w:rPr>
          <w:rFonts w:ascii="Arial" w:hAnsi="Arial" w:eastAsia="Arial" w:cs="Arial"/>
          <w:color w:val="000000"/>
        </w:rPr>
        <w:t xml:space="preserve">. 2017;89:656-665; Sanford JA, et al. </w:t>
      </w:r>
      <w:r>
        <w:rPr>
          <w:rFonts w:ascii="Arial" w:hAnsi="Arial" w:eastAsia="Arial" w:cs="Arial"/>
          <w:i/>
          <w:iCs/>
          <w:color w:val="000000"/>
        </w:rPr>
        <w:t xml:space="preserve">Cell</w:t>
      </w:r>
      <w:r>
        <w:rPr>
          <w:rFonts w:ascii="Arial" w:hAnsi="Arial" w:eastAsia="Arial" w:cs="Arial"/>
          <w:color w:val="000000"/>
        </w:rPr>
        <w:t xml:space="preserve">. 2020;181:1464-1474; MoTrPAC Study Group.</w:t>
      </w:r>
      <w:r>
        <w:rPr>
          <w:rFonts w:ascii="Arial" w:hAnsi="Arial" w:eastAsia="Arial" w:cs="Arial"/>
          <w:color w:val="000000"/>
        </w:rPr>
        <w:t xml:space="preserve"> </w:t>
      </w:r>
      <w:r>
        <w:rPr>
          <w:rFonts w:ascii="Arial" w:hAnsi="Arial" w:eastAsia="Arial" w:cs="Arial"/>
          <w:i/>
          <w:iCs/>
          <w:color w:val="000000"/>
        </w:rPr>
        <w:t xml:space="preserve">Journal of Applied Physiology</w:t>
      </w:r>
      <w:r>
        <w:rPr>
          <w:rFonts w:ascii="Arial" w:hAnsi="Arial" w:eastAsia="Arial" w:cs="Arial"/>
          <w:color w:val="000000"/>
        </w:rPr>
        <w:t xml:space="preserve">. 2024;137:473-493; NIH Common Fund Data Ecosystem public portal and FAQ; MoTrPAC Data Hub and Metabolomics Workbench API documentation. Online resources accessed July 2026.</w:t>
      </w:r>
    </w:p>
    <w:bookmarkEnd w:id="14"/>
    <w:bookmarkEnd w:id="15"/>
    <w:sectPr>
      <w:footerReference w:type="default" r:id="rId9"/>
      <w:footnotePr>
        <w:numRestart w:val="eachSect"/>
      </w:footnotePr>
      <w:pgMar w:top="1440" w:bottom="1440" w:left="1440" w:right="1440"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8" w:line="240" w:lineRule="auto"/>
    </w:pPr>
    <w:rPr>
      <w:rFonts w:ascii="Arial" w:hAnsi="Arial" w:eastAsia="Arial" w:cs="Arial"/>
      <w:color w:val="000000"/>
      <w:sz w:val="21"/>
    </w:rPr>
  </w:style>
  <w:style w:styleId="BodyText" w:type="paragraph">
    <w:name w:val="Body Text"/>
    <w:basedOn w:val="Normal"/>
    <w:link w:val="BodyTextChar"/>
    <w:qFormat/>
    <w:pPr>
      <w:spacing w:after="180" w:before="180"/>
    </w:pPr>
    <w:rPr>
      <w:rFonts w:ascii="Arial" w:hAnsi="Arial" w:eastAsia="Arial" w:cs="Arial"/>
      <w:color w:val="000000"/>
    </w:rPr>
  </w:style>
  <w:style w:customStyle="1" w:styleId="FirstParagraph" w:type="paragraph">
    <w:name w:val="First Paragraph"/>
    <w:basedOn w:val="BodyText"/>
    <w:next w:val="BodyText"/>
    <w:qFormat/>
    <w:rPr>
      <w:rFonts w:ascii="Arial" w:hAnsi="Arial" w:eastAsia="Arial" w:cs="Arial"/>
      <w:color w:val="000000"/>
    </w:rPr>
  </w:style>
  <w:style w:customStyle="1" w:styleId="Compact" w:type="paragraph">
    <w:name w:val="Compact"/>
    <w:basedOn w:val="BodyText"/>
    <w:qFormat/>
    <w:pPr>
      <w:spacing w:after="36" w:before="36"/>
    </w:pPr>
    <w:rPr>
      <w:rFonts w:ascii="Arial" w:hAnsi="Arial" w:eastAsia="Arial" w:cs="Arial"/>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eastAsia="Arial" w:cs="Arial"/>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rial" w:hAnsi="Arial" w:eastAsia="Arial" w:cs="Arial"/>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rial" w:hAnsi="Arial" w:eastAsia="Arial" w:cs="Arial"/>
      <w:color w:val="000000"/>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ascii="Arial" w:hAnsi="Arial" w:eastAsia="Arial" w:cs="Arial"/>
      <w:color w:val="000000"/>
      <w:spacing w:val="15"/>
      <w:sz w:val="28"/>
      <w:szCs w:val="28"/>
    </w:rPr>
  </w:style>
  <w:style w:customStyle="1" w:styleId="Author" w:type="paragraph">
    <w:name w:val="Author"/>
    <w:basedOn w:val="Title"/>
    <w:next w:val="BodyText"/>
    <w:qFormat/>
    <w:pPr>
      <w:keepNext/>
      <w:keepLines/>
    </w:pPr>
    <w:rPr>
      <w:rFonts w:ascii="Arial" w:hAnsi="Arial" w:eastAsia="Arial" w:cs="Arial"/>
      <w:color w:val="000000"/>
      <w:sz w:val="24"/>
      <w:szCs w:val="24"/>
    </w:rPr>
  </w:style>
  <w:style w:styleId="Date" w:type="paragraph">
    <w:name w:val="Date"/>
    <w:basedOn w:val="Title"/>
    <w:next w:val="BodyText"/>
    <w:qFormat/>
    <w:pPr>
      <w:keepNext/>
      <w:keepLines/>
    </w:pPr>
    <w:rPr>
      <w:rFonts w:ascii="Arial" w:hAnsi="Arial" w:eastAsia="Arial" w:cs="Arial"/>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eastAsia="Arial" w:cs="Arial"/>
      <w:b/>
      <w:color w:val="000000"/>
      <w:sz w:val="20"/>
      <w:szCs w:val="20"/>
    </w:rPr>
  </w:style>
  <w:style w:customStyle="1" w:styleId="Abstract" w:type="paragraph">
    <w:name w:val="Abstract"/>
    <w:basedOn w:val="Normal"/>
    <w:next w:val="BodyText"/>
    <w:qFormat/>
    <w:pPr>
      <w:keepNext/>
      <w:keepLines/>
      <w:spacing w:after="300" w:before="100"/>
    </w:pPr>
    <w:rPr>
      <w:rFonts w:ascii="Arial" w:hAnsi="Arial" w:eastAsia="Arial" w:cs="Arial"/>
      <w:color w:val="000000"/>
      <w:sz w:val="20"/>
      <w:szCs w:val="20"/>
    </w:rPr>
  </w:style>
  <w:style w:styleId="Bibliography" w:type="paragraph">
    <w:name w:val="Bibliography"/>
    <w:basedOn w:val="Normal"/>
    <w:next w:val="Bibliography"/>
    <w:qFormat/>
    <w:pPr/>
    <w:rPr>
      <w:rFonts w:ascii="Arial" w:hAnsi="Arial" w:eastAsia="Arial" w:cs="Arial"/>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Arial" w:cs="Arial"/>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Arial" w:cs="Arial"/>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Arial" w:cs="Arial"/>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eastAsia="Arial" w:cs="Arial"/>
      <w:b/>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rial" w:hAnsi="Arial" w:eastAsia="Arial" w:cs="Arial"/>
      <w:b/>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rial" w:hAnsi="Arial" w:eastAsia="Arial" w:cs="Arial"/>
      <w:b/>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rial" w:hAnsi="Arial" w:eastAsia="Arial" w:cs="Arial"/>
      <w:b/>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rial" w:hAnsi="Arial" w:eastAsia="Arial" w:cs="Arial"/>
      <w:b/>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rial" w:hAnsi="Arial" w:eastAsia="Arial" w:cs="Arial"/>
      <w:b/>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rial" w:hAnsi="Arial" w:eastAsia="Arial" w:cs="Arial"/>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rial" w:hAnsi="Arial" w:eastAsia="Arial" w:cs="Arial"/>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rial" w:hAnsi="Arial" w:eastAsia="Arial" w:cs="Arial"/>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rial" w:hAnsi="Arial" w:eastAsia="Arial" w:cs="Arial"/>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rial" w:hAnsi="Arial" w:eastAsia="Arial" w:cs="Arial"/>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rial" w:hAnsi="Arial" w:eastAsia="Arial" w:cs="Arial"/>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rial" w:hAnsi="Arial" w:eastAsia="Arial" w:cs="Arial"/>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rial" w:hAnsi="Arial" w:eastAsia="Arial" w:cs="Arial"/>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rial" w:hAnsi="Arial" w:eastAsia="Arial" w:cs="Arial"/>
      <w:color w:val="000000"/>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s="Arial"/>
      <w:color w:val="000000"/>
    </w:rPr>
  </w:style>
  <w:style w:styleId="FootnoteText" w:type="paragraph">
    <w:name w:val="Footnote Text"/>
    <w:basedOn w:val="Normal"/>
    <w:next w:val="FootnoteText"/>
    <w:uiPriority w:val="9"/>
    <w:unhideWhenUsed/>
    <w:qFormat/>
    <w:rPr>
      <w:rFonts w:ascii="Arial" w:hAnsi="Arial" w:eastAsia="Arial" w:cs="Arial"/>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eastAsia="Arial" w:cs="Arial"/>
      <w:color w:val="000000"/>
    </w:rPr>
  </w:style>
  <w:style w:default="1" w:styleId="DefaultParagraphFont" w:type="character">
    <w:name w:val="Default Paragraph Font"/>
    <w:semiHidden/>
    <w:unhideWhenUsed/>
    <w:rPr>
      <w:rFonts w:ascii="Arial" w:hAnsi="Arial" w:eastAsia="Arial" w:cs="Arial"/>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eastAsia="Arial" w:cs="Arial"/>
      <w:b/>
      <w:color w:val="000000"/>
    </w:rPr>
  </w:style>
  <w:style w:customStyle="1" w:styleId="Definition" w:type="paragraph">
    <w:name w:val="Definition"/>
    <w:basedOn w:val="Normal"/>
    <w:rPr>
      <w:rFonts w:ascii="Arial" w:hAnsi="Arial" w:eastAsia="Arial" w:cs="Arial"/>
      <w:color w:val="000000"/>
    </w:rPr>
  </w:style>
  <w:style w:styleId="Caption" w:type="paragraph">
    <w:name w:val="Caption"/>
    <w:basedOn w:val="Normal"/>
    <w:link w:val="BodyTextChar"/>
    <w:pPr>
      <w:spacing w:after="120" w:before="0"/>
    </w:pPr>
    <w:rPr>
      <w:rFonts w:ascii="Arial" w:hAnsi="Arial" w:eastAsia="Arial" w:cs="Arial"/>
      <w:i/>
      <w:color w:val="000000"/>
      <w:sz w:val="16"/>
    </w:rPr>
  </w:style>
  <w:style w:customStyle="1" w:styleId="TableCaption" w:type="paragraph">
    <w:name w:val="Table Caption"/>
    <w:basedOn w:val="Caption"/>
    <w:pPr>
      <w:keepNext/>
    </w:pPr>
    <w:rPr>
      <w:rFonts w:ascii="Arial" w:hAnsi="Arial" w:eastAsia="Arial" w:cs="Arial"/>
      <w:color w:val="000000"/>
    </w:rPr>
  </w:style>
  <w:style w:customStyle="1" w:styleId="ImageCaption" w:type="paragraph">
    <w:name w:val="Image Caption"/>
    <w:basedOn w:val="Caption"/>
    <w:rPr>
      <w:rFonts w:ascii="Arial" w:hAnsi="Arial" w:eastAsia="Arial" w:cs="Arial"/>
      <w:color w:val="000000"/>
    </w:rPr>
  </w:style>
  <w:style w:customStyle="1" w:styleId="Figure" w:type="paragraph">
    <w:name w:val="Figure"/>
    <w:basedOn w:val="Normal"/>
    <w:rPr>
      <w:rFonts w:ascii="Arial" w:hAnsi="Arial" w:eastAsia="Arial" w:cs="Arial"/>
      <w:color w:val="000000"/>
    </w:rPr>
  </w:style>
  <w:style w:customStyle="1" w:styleId="CaptionedFigure" w:type="paragraph">
    <w:name w:val="Captioned Figure"/>
    <w:basedOn w:val="Figure"/>
    <w:pPr>
      <w:keepNext/>
    </w:pPr>
    <w:rPr>
      <w:rFonts w:ascii="Arial" w:hAnsi="Arial" w:eastAsia="Arial" w:cs="Arial"/>
      <w:color w:val="000000"/>
    </w:rPr>
  </w:style>
  <w:style w:customStyle="1" w:styleId="BodyTextChar" w:type="character">
    <w:name w:val="Body Text Char"/>
    <w:basedOn w:val="DefaultParagraphFont"/>
    <w:link w:val="BodyText"/>
    <w:rPr>
      <w:rFonts w:ascii="Arial" w:hAnsi="Arial" w:eastAsia="Arial" w:cs="Arial"/>
      <w:color w:val="000000"/>
    </w:rPr>
  </w:style>
  <w:style w:customStyle="1" w:styleId="VerbatimChar" w:type="character">
    <w:name w:val="Verbatim Char"/>
    <w:basedOn w:val="BodyTextChar"/>
    <w:rPr>
      <w:rFonts w:ascii="Arial" w:hAnsi="Arial" w:eastAsia="Arial" w:cs="Arial"/>
      <w:color w:val="000000"/>
      <w:sz w:val="22"/>
    </w:rPr>
  </w:style>
  <w:style w:customStyle="1" w:styleId="SectionNumber" w:type="character">
    <w:name w:val="Section Number"/>
    <w:basedOn w:val="BodyTextChar"/>
    <w:rPr>
      <w:rFonts w:ascii="Arial" w:hAnsi="Arial" w:eastAsia="Arial" w:cs="Arial"/>
      <w:color w:val="000000"/>
    </w:rPr>
  </w:style>
  <w:style w:styleId="FootnoteReference" w:type="character">
    <w:name w:val="Footnote Reference"/>
    <w:basedOn w:val="BodyTextChar"/>
    <w:rPr>
      <w:rFonts w:ascii="Arial" w:hAnsi="Arial" w:eastAsia="Arial" w:cs="Arial"/>
      <w:color w:val="000000"/>
      <w:vertAlign w:val="superscript"/>
    </w:rPr>
  </w:style>
  <w:style w:styleId="Hyperlink" w:type="character">
    <w:name w:val="Hyperlink"/>
    <w:basedOn w:val="BodyTextChar"/>
    <w:rPr>
      <w:rFonts w:ascii="Arial" w:hAnsi="Arial" w:eastAsia="Arial" w:cs="Arial"/>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cs="Arial"/>
      <w:b w:val="0"/>
      <w:bCs w:val="0"/>
      <w:color w:val="000000"/>
    </w:rPr>
  </w:style>
  <w:style w:type="paragraph" w:customStyle="1" w:styleId="SourceCode">
    <w:name w:val="Source Code"/>
    <w:basedOn w:val="Normal"/>
    <w:link w:val="VerbatimChar"/>
    <w:pPr>
      <w:wordWrap w:val="off"/>
    </w:pPr>
    <w:rPr>
      <w:rFonts w:ascii="Arial" w:hAnsi="Arial" w:eastAsia="Arial" w:cs="Arial"/>
      <w:color w:val="000000"/>
    </w:rPr>
  </w:style>
  <w:style w:type="character" w:customStyle="1" w:styleId="KeywordTok">
    <w:name w:val="KeywordTok"/>
    <w:basedOn w:val="VerbatimChar"/>
    <w:rPr>
      <w:rFonts w:ascii="Arial" w:hAnsi="Arial" w:eastAsia="Arial" w:cs="Arial"/>
      <w:b/>
      <w:color w:val="000000"/>
    </w:rPr>
  </w:style>
  <w:style w:type="character" w:customStyle="1" w:styleId="DataTypeTok">
    <w:name w:val="DataTypeTok"/>
    <w:basedOn w:val="VerbatimChar"/>
    <w:rPr>
      <w:rFonts w:ascii="Arial" w:hAnsi="Arial" w:eastAsia="Arial" w:cs="Arial"/>
      <w:color w:val="000000"/>
    </w:rPr>
  </w:style>
  <w:style w:type="character" w:customStyle="1" w:styleId="DecValTok">
    <w:name w:val="DecValTok"/>
    <w:basedOn w:val="VerbatimChar"/>
    <w:rPr>
      <w:rFonts w:ascii="Arial" w:hAnsi="Arial" w:eastAsia="Arial" w:cs="Arial"/>
      <w:color w:val="000000"/>
    </w:rPr>
  </w:style>
  <w:style w:type="character" w:customStyle="1" w:styleId="BaseNTok">
    <w:name w:val="BaseNTok"/>
    <w:basedOn w:val="VerbatimChar"/>
    <w:rPr>
      <w:rFonts w:ascii="Arial" w:hAnsi="Arial" w:eastAsia="Arial" w:cs="Arial"/>
      <w:color w:val="000000"/>
    </w:rPr>
  </w:style>
  <w:style w:type="character" w:customStyle="1" w:styleId="FloatTok">
    <w:name w:val="FloatTok"/>
    <w:basedOn w:val="VerbatimChar"/>
    <w:rPr>
      <w:rFonts w:ascii="Arial" w:hAnsi="Arial" w:eastAsia="Arial" w:cs="Arial"/>
      <w:color w:val="000000"/>
    </w:rPr>
  </w:style>
  <w:style w:type="character" w:customStyle="1" w:styleId="ConstantTok">
    <w:name w:val="ConstantTok"/>
    <w:basedOn w:val="VerbatimChar"/>
    <w:rPr>
      <w:rFonts w:ascii="Arial" w:hAnsi="Arial" w:eastAsia="Arial" w:cs="Arial"/>
      <w:color w:val="000000"/>
    </w:rPr>
  </w:style>
  <w:style w:type="character" w:customStyle="1" w:styleId="CharTok">
    <w:name w:val="CharTok"/>
    <w:basedOn w:val="VerbatimChar"/>
    <w:rPr>
      <w:rFonts w:ascii="Arial" w:hAnsi="Arial" w:eastAsia="Arial" w:cs="Arial"/>
      <w:color w:val="000000"/>
    </w:rPr>
  </w:style>
  <w:style w:type="character" w:customStyle="1" w:styleId="SpecialCharTok">
    <w:name w:val="SpecialCharTok"/>
    <w:basedOn w:val="VerbatimChar"/>
    <w:rPr>
      <w:rFonts w:ascii="Arial" w:hAnsi="Arial" w:eastAsia="Arial" w:cs="Arial"/>
      <w:color w:val="000000"/>
    </w:rPr>
  </w:style>
  <w:style w:type="character" w:customStyle="1" w:styleId="StringTok">
    <w:name w:val="StringTok"/>
    <w:basedOn w:val="VerbatimChar"/>
    <w:rPr>
      <w:rFonts w:ascii="Arial" w:hAnsi="Arial" w:eastAsia="Arial" w:cs="Arial"/>
      <w:color w:val="000000"/>
    </w:rPr>
  </w:style>
  <w:style w:type="character" w:customStyle="1" w:styleId="VerbatimStringTok">
    <w:name w:val="VerbatimStringTok"/>
    <w:basedOn w:val="VerbatimChar"/>
    <w:rPr>
      <w:rFonts w:ascii="Arial" w:hAnsi="Arial" w:eastAsia="Arial" w:cs="Arial"/>
      <w:color w:val="000000"/>
    </w:rPr>
  </w:style>
  <w:style w:type="character" w:customStyle="1" w:styleId="SpecialStringTok">
    <w:name w:val="SpecialStringTok"/>
    <w:basedOn w:val="VerbatimChar"/>
    <w:rPr>
      <w:rFonts w:ascii="Arial" w:hAnsi="Arial" w:eastAsia="Arial" w:cs="Arial"/>
      <w:color w:val="000000"/>
    </w:rPr>
  </w:style>
  <w:style w:type="character" w:customStyle="1" w:styleId="ImportTok">
    <w:name w:val="ImportTok"/>
    <w:basedOn w:val="VerbatimChar"/>
    <w:rPr>
      <w:rFonts w:ascii="Arial" w:hAnsi="Arial" w:eastAsia="Arial" w:cs="Arial"/>
      <w:b/>
      <w:color w:val="000000"/>
    </w:rPr>
  </w:style>
  <w:style w:type="character" w:customStyle="1" w:styleId="CommentTok">
    <w:name w:val="CommentTok"/>
    <w:basedOn w:val="VerbatimChar"/>
    <w:rPr>
      <w:rFonts w:ascii="Arial" w:hAnsi="Arial" w:eastAsia="Arial" w:cs="Arial"/>
      <w:i/>
      <w:color w:val="000000"/>
    </w:rPr>
  </w:style>
  <w:style w:type="character" w:customStyle="1" w:styleId="DocumentationTok">
    <w:name w:val="DocumentationTok"/>
    <w:basedOn w:val="VerbatimChar"/>
    <w:rPr>
      <w:rFonts w:ascii="Arial" w:hAnsi="Arial" w:eastAsia="Arial" w:cs="Arial"/>
      <w:i/>
      <w:color w:val="000000"/>
    </w:rPr>
  </w:style>
  <w:style w:type="character" w:customStyle="1" w:styleId="AnnotationTok">
    <w:name w:val="AnnotationTok"/>
    <w:basedOn w:val="VerbatimChar"/>
    <w:rPr>
      <w:rFonts w:ascii="Arial" w:hAnsi="Arial" w:eastAsia="Arial" w:cs="Arial"/>
      <w:b/>
      <w:i/>
      <w:color w:val="000000"/>
    </w:rPr>
  </w:style>
  <w:style w:type="character" w:customStyle="1" w:styleId="CommentVarTok">
    <w:name w:val="CommentVarTok"/>
    <w:basedOn w:val="VerbatimChar"/>
    <w:rPr>
      <w:rFonts w:ascii="Arial" w:hAnsi="Arial" w:eastAsia="Arial" w:cs="Arial"/>
      <w:b/>
      <w:i/>
      <w:color w:val="000000"/>
    </w:rPr>
  </w:style>
  <w:style w:type="character" w:customStyle="1" w:styleId="OtherTok">
    <w:name w:val="OtherTok"/>
    <w:basedOn w:val="VerbatimChar"/>
    <w:rPr>
      <w:rFonts w:ascii="Arial" w:hAnsi="Arial" w:eastAsia="Arial" w:cs="Arial"/>
      <w:color w:val="000000"/>
    </w:rPr>
  </w:style>
  <w:style w:type="character" w:customStyle="1" w:styleId="FunctionTok">
    <w:name w:val="FunctionTok"/>
    <w:basedOn w:val="VerbatimChar"/>
    <w:rPr>
      <w:rFonts w:ascii="Arial" w:hAnsi="Arial" w:eastAsia="Arial" w:cs="Arial"/>
      <w:color w:val="000000"/>
    </w:rPr>
  </w:style>
  <w:style w:type="character" w:customStyle="1" w:styleId="VariableTok">
    <w:name w:val="VariableTok"/>
    <w:basedOn w:val="VerbatimChar"/>
    <w:rPr>
      <w:rFonts w:ascii="Arial" w:hAnsi="Arial" w:eastAsia="Arial" w:cs="Arial"/>
      <w:color w:val="000000"/>
    </w:rPr>
  </w:style>
  <w:style w:type="character" w:customStyle="1" w:styleId="ControlFlowTok">
    <w:name w:val="ControlFlowTok"/>
    <w:basedOn w:val="VerbatimChar"/>
    <w:rPr>
      <w:rFonts w:ascii="Arial" w:hAnsi="Arial" w:eastAsia="Arial" w:cs="Arial"/>
      <w:b/>
      <w:color w:val="000000"/>
    </w:rPr>
  </w:style>
  <w:style w:type="character" w:customStyle="1" w:styleId="OperatorTok">
    <w:name w:val="OperatorTok"/>
    <w:basedOn w:val="VerbatimChar"/>
    <w:rPr>
      <w:rFonts w:ascii="Arial" w:hAnsi="Arial" w:eastAsia="Arial" w:cs="Arial"/>
      <w:color w:val="000000"/>
    </w:rPr>
  </w:style>
  <w:style w:type="character" w:customStyle="1" w:styleId="BuiltInTok">
    <w:name w:val="BuiltInTok"/>
    <w:basedOn w:val="VerbatimChar"/>
    <w:rPr>
      <w:rFonts w:ascii="Arial" w:hAnsi="Arial" w:eastAsia="Arial" w:cs="Arial"/>
      <w:color w:val="000000"/>
    </w:rPr>
  </w:style>
  <w:style w:type="character" w:customStyle="1" w:styleId="ExtensionTok">
    <w:name w:val="ExtensionTok"/>
    <w:basedOn w:val="VerbatimChar"/>
    <w:rPr>
      <w:rFonts w:ascii="Arial" w:hAnsi="Arial" w:eastAsia="Arial" w:cs="Arial"/>
      <w:color w:val="000000"/>
    </w:rPr>
  </w:style>
  <w:style w:type="character" w:customStyle="1" w:styleId="PreprocessorTok">
    <w:name w:val="PreprocessorTok"/>
    <w:basedOn w:val="VerbatimChar"/>
    <w:rPr>
      <w:rFonts w:ascii="Arial" w:hAnsi="Arial" w:eastAsia="Arial" w:cs="Arial"/>
      <w:color w:val="000000"/>
    </w:rPr>
  </w:style>
  <w:style w:type="character" w:customStyle="1" w:styleId="AttributeTok">
    <w:name w:val="AttributeTok"/>
    <w:basedOn w:val="VerbatimChar"/>
    <w:rPr>
      <w:rFonts w:ascii="Arial" w:hAnsi="Arial" w:eastAsia="Arial" w:cs="Arial"/>
      <w:color w:val="000000"/>
    </w:rPr>
  </w:style>
  <w:style w:type="character" w:customStyle="1" w:styleId="RegionMarkerTok">
    <w:name w:val="RegionMarkerTok"/>
    <w:basedOn w:val="VerbatimChar"/>
    <w:rPr>
      <w:rFonts w:ascii="Arial" w:hAnsi="Arial" w:eastAsia="Arial" w:cs="Arial"/>
      <w:color w:val="000000"/>
    </w:rPr>
  </w:style>
  <w:style w:type="character" w:customStyle="1" w:styleId="InformationTok">
    <w:name w:val="InformationTok"/>
    <w:basedOn w:val="VerbatimChar"/>
    <w:rPr>
      <w:rFonts w:ascii="Arial" w:hAnsi="Arial" w:eastAsia="Arial" w:cs="Arial"/>
      <w:b/>
      <w:i/>
      <w:color w:val="000000"/>
    </w:rPr>
  </w:style>
  <w:style w:type="character" w:customStyle="1" w:styleId="WarningTok">
    <w:name w:val="WarningTok"/>
    <w:basedOn w:val="VerbatimChar"/>
    <w:rPr>
      <w:rFonts w:ascii="Arial" w:hAnsi="Arial" w:eastAsia="Arial" w:cs="Arial"/>
      <w:b/>
      <w:i/>
      <w:color w:val="000000"/>
    </w:rPr>
  </w:style>
  <w:style w:type="character" w:customStyle="1" w:styleId="AlertTok">
    <w:name w:val="AlertTok"/>
    <w:basedOn w:val="VerbatimChar"/>
    <w:rPr>
      <w:rFonts w:ascii="Arial" w:hAnsi="Arial" w:eastAsia="Arial" w:cs="Arial"/>
      <w:b/>
      <w:color w:val="000000"/>
    </w:rPr>
  </w:style>
  <w:style w:type="character" w:customStyle="1" w:styleId="ErrorTok">
    <w:name w:val="ErrorTok"/>
    <w:basedOn w:val="VerbatimChar"/>
    <w:rPr>
      <w:rFonts w:ascii="Arial" w:hAnsi="Arial" w:eastAsia="Arial" w:cs="Arial"/>
      <w:b/>
      <w:color w:val="000000"/>
    </w:rPr>
  </w:style>
  <w:style w:type="character" w:customStyle="1" w:styleId="NormalTok">
    <w:name w:val="NormalTok"/>
    <w:basedOn w:val="VerbatimChar"/>
    <w:rPr>
      <w:rFonts w:ascii="Arial" w:hAnsi="Arial" w:eastAsia="Arial" w:cs="Arial"/>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MetaboTyping AI Workbench public-data proposal</dc:title>
  <dc:creator>Samuel Montalvo; Eric Leslie; Laurens van de Wiel; Matthew T. Wheeler</dc:creator>
  <cp:keywords>metabolomics; MoTrPAC; Metabolomics Workbench; CFDE; AI; harmonization; public summary data; provenance</cp:keywords>
  <dcterms:created xsi:type="dcterms:W3CDTF">2026-07-30T18:16:24Z</dcterms:created>
  <dcterms:modified xsi:type="dcterms:W3CDTF">2026-07-30T18:16:24Z</dcterms:modified>
  <dc:subject>Public-data research software and methods manuscript proposal</dc:subject>
  <dc:description>Uses synthetic fixtures, public metadata, and public summary-level statistics only.</dc:description>
</cp:coreProperties>
</file>

<file path=docProps/custom.xml><?xml version="1.0" encoding="utf-8"?>
<Properties xmlns="http://schemas.openxmlformats.org/officeDocument/2006/custom-properties" xmlns:vt="http://schemas.openxmlformats.org/officeDocument/2006/docPropsVTypes"/>
</file>