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562850" cy="10696575"/>
                    </a:xfrm>
                    <a:prstGeom prst="rect">
                      <a:avLst/>
                    </a:prstGeom>
                  </pic:spPr>
                </pic:pic>
              </a:graphicData>
            </a:graphic>
          </wp:anchor>
        </w:drawing>
      </w:r>
    </w:p>
    <w:p>
      <w:pPr>
        <w:sectPr>
          <w:pgSz w:w="11906" w:h="16838" w:orient="portrait"/>
          <w:pgMar w:top="0" w:right="0" w:bottom="0" w:left="0" w:header="0" w:footer="0" w:gutter="0"/>
          <w:pgNumType/>
          <w:docGrid w:linePitch="360"/>
        </w:sectPr>
      </w:pPr>
    </w:p>
    <w:p>
      <w:pPr>
        <w:spacing w:after="40"/>
      </w:pPr>
      <w:r>
        <w:rPr>
          <w:rFonts w:ascii="Poppins SemiBold" w:cs="Poppins SemiBold" w:eastAsia="Poppins SemiBold" w:hAnsi="Poppins SemiBold"/>
          <w:color w:val="1565C0"/>
          <w:spacing w:val="40"/>
          <w:sz w:val="17"/>
          <w:szCs w:val="17"/>
        </w:rPr>
        <w:t xml:space="preserve">ABOUT THIS GUIDE</w:t>
      </w:r>
    </w:p>
    <w:p>
      <w:pPr>
        <w:pStyle w:val="Title"/>
        <w:pBdr>
          <w:bottom w:val="single" w:color="5FD6FF" w:sz="18" w:space="8"/>
        </w:pBdr>
      </w:pPr>
      <w:r>
        <w:t xml:space="preserve">Before you start</w:t>
      </w:r>
    </w:p>
    <w:p>
      <w:pPr>
        <w:spacing w:after="140" w:before="0" w:line="300"/>
      </w:pPr>
      <w:r>
        <w:rPr>
          <w:rFonts w:ascii="Open Sans" w:cs="Open Sans" w:eastAsia="Open Sans" w:hAnsi="Open Sans"/>
        </w:rPr>
        <w:t xml:space="preserve">This guide explains what PERA is and how it works. It is written for the people who will decide on PERA, set it up and use it every day: managers, finance and procurement teams, administrators and staff who raise requests.</w:t>
      </w:r>
    </w:p>
    <w:p>
      <w:pPr>
        <w:spacing w:after="140" w:before="0" w:line="300"/>
      </w:pPr>
      <w:r>
        <w:rPr>
          <w:rFonts w:ascii="Open Sans" w:cs="Open Sans" w:eastAsia="Open Sans" w:hAnsi="Open Sans"/>
        </w:rPr>
        <w:t xml:space="preserve">Sections 1 to 3 give the overall picture and are worth reading by everyone. Sections 4 to 11 go through each part of the system in more detail. Section 12 is for administrators, and sections 13 and 14 cover security and the technical set-up. Names of buttons, pages and settings appear in </w:t>
      </w:r>
      <w:r>
        <w:rPr>
          <w:rFonts w:ascii="Open Sans SemiBold" w:cs="Open Sans SemiBold" w:eastAsia="Open Sans SemiBold" w:hAnsi="Open Sans SemiBold"/>
          <w:color w:val="081D4D"/>
        </w:rPr>
        <w:t xml:space="preserve">bold</w:t>
      </w:r>
      <w:r>
        <w:rPr>
          <w:rFonts w:ascii="Open Sans" w:cs="Open Sans" w:eastAsia="Open Sans" w:hAnsi="Open Sans"/>
        </w:rPr>
        <w:t xml:space="preserve"> as they appear on screen.</w:t>
      </w:r>
    </w:p>
    <w:p>
      <w:pPr>
        <w:spacing w:after="200"/>
      </w:pPr>
    </w:p>
    <w:p>
      <w:pPr>
        <w:spacing w:after="160"/>
      </w:pPr>
      <w:r>
        <w:rPr>
          <w:rFonts w:ascii="Poppins SemiBold" w:cs="Poppins SemiBold" w:eastAsia="Poppins SemiBold" w:hAnsi="Poppins SemiBold"/>
          <w:color w:val="081D4D"/>
          <w:sz w:val="30"/>
          <w:szCs w:val="30"/>
        </w:rPr>
        <w:t xml:space="preserve">Contents</w:t>
      </w:r>
    </w:p>
    <w:p>
      <w:pPr>
        <w:tabs>
          <w:tab w:val="left" w:pos="640"/>
          <w:tab w:val="right" w:pos="9638" w:leader="dot"/>
        </w:tabs>
        <w:spacing w:before="0" w:after="150"/>
      </w:pPr>
      <w:r>
        <w:rPr>
          <w:rFonts w:ascii="Poppins SemiBold" w:cs="Poppins SemiBold" w:eastAsia="Poppins SemiBold" w:hAnsi="Poppins SemiBold"/>
          <w:color w:val="1565C0"/>
          <w:sz w:val="20"/>
          <w:szCs w:val="20"/>
        </w:rPr>
        <w:t xml:space="preserve">01</w:t>
      </w:r>
      <w:r>
        <w:rPr>
          <w:rFonts w:ascii="Poppins SemiBold" w:cs="Poppins SemiBold" w:eastAsia="Poppins SemiBold" w:hAnsi="Poppins SemiBold"/>
          <w:color w:val="081D4D"/>
          <w:sz w:val="20"/>
          <w:szCs w:val="20"/>
        </w:rPr>
        <w:t xml:space="preserve">	What PERA is</w:t>
      </w:r>
      <w:r>
        <w:rPr>
          <w:rFonts w:ascii="Poppins SemiBold" w:cs="Poppins SemiBold" w:eastAsia="Poppins SemiBold" w:hAnsi="Poppins SemiBold"/>
          <w:color w:val="081D4D"/>
          <w:sz w:val="20"/>
          <w:szCs w:val="20"/>
        </w:rPr>
        <w:t xml:space="preserve">	2</w:t>
      </w:r>
    </w:p>
    <w:p>
      <w:pPr>
        <w:tabs>
          <w:tab w:val="left" w:pos="640"/>
          <w:tab w:val="right" w:pos="9638" w:leader="dot"/>
        </w:tabs>
        <w:spacing w:before="0" w:after="150"/>
      </w:pPr>
      <w:r>
        <w:rPr>
          <w:rFonts w:ascii="Poppins SemiBold" w:cs="Poppins SemiBold" w:eastAsia="Poppins SemiBold" w:hAnsi="Poppins SemiBold"/>
          <w:color w:val="1565C0"/>
          <w:sz w:val="20"/>
          <w:szCs w:val="20"/>
        </w:rPr>
        <w:t xml:space="preserve">02</w:t>
      </w:r>
      <w:r>
        <w:rPr>
          <w:rFonts w:ascii="Poppins SemiBold" w:cs="Poppins SemiBold" w:eastAsia="Poppins SemiBold" w:hAnsi="Poppins SemiBold"/>
          <w:color w:val="081D4D"/>
          <w:sz w:val="20"/>
          <w:szCs w:val="20"/>
        </w:rPr>
        <w:t xml:space="preserve">	Who uses PERA</w:t>
      </w:r>
      <w:r>
        <w:rPr>
          <w:rFonts w:ascii="Poppins SemiBold" w:cs="Poppins SemiBold" w:eastAsia="Poppins SemiBold" w:hAnsi="Poppins SemiBold"/>
          <w:color w:val="081D4D"/>
          <w:sz w:val="20"/>
          <w:szCs w:val="20"/>
        </w:rPr>
        <w:t xml:space="preserve">	4</w:t>
      </w:r>
    </w:p>
    <w:p>
      <w:pPr>
        <w:tabs>
          <w:tab w:val="left" w:pos="640"/>
          <w:tab w:val="right" w:pos="9638" w:leader="dot"/>
        </w:tabs>
        <w:spacing w:before="0" w:after="150"/>
      </w:pPr>
      <w:r>
        <w:rPr>
          <w:rFonts w:ascii="Poppins SemiBold" w:cs="Poppins SemiBold" w:eastAsia="Poppins SemiBold" w:hAnsi="Poppins SemiBold"/>
          <w:color w:val="1565C0"/>
          <w:sz w:val="20"/>
          <w:szCs w:val="20"/>
        </w:rPr>
        <w:t xml:space="preserve">03</w:t>
      </w:r>
      <w:r>
        <w:rPr>
          <w:rFonts w:ascii="Poppins SemiBold" w:cs="Poppins SemiBold" w:eastAsia="Poppins SemiBold" w:hAnsi="Poppins SemiBold"/>
          <w:color w:val="081D4D"/>
          <w:sz w:val="20"/>
          <w:szCs w:val="20"/>
        </w:rPr>
        <w:t xml:space="preserve">	How a purchase moves through PERA</w:t>
      </w:r>
      <w:r>
        <w:rPr>
          <w:rFonts w:ascii="Poppins SemiBold" w:cs="Poppins SemiBold" w:eastAsia="Poppins SemiBold" w:hAnsi="Poppins SemiBold"/>
          <w:color w:val="081D4D"/>
          <w:sz w:val="20"/>
          <w:szCs w:val="20"/>
        </w:rPr>
        <w:t xml:space="preserve">	5</w:t>
      </w:r>
    </w:p>
    <w:p>
      <w:pPr>
        <w:tabs>
          <w:tab w:val="left" w:pos="640"/>
          <w:tab w:val="right" w:pos="9638" w:leader="dot"/>
        </w:tabs>
        <w:spacing w:before="0" w:after="150"/>
      </w:pPr>
      <w:r>
        <w:rPr>
          <w:rFonts w:ascii="Poppins SemiBold" w:cs="Poppins SemiBold" w:eastAsia="Poppins SemiBold" w:hAnsi="Poppins SemiBold"/>
          <w:color w:val="1565C0"/>
          <w:sz w:val="20"/>
          <w:szCs w:val="20"/>
        </w:rPr>
        <w:t xml:space="preserve">04</w:t>
      </w:r>
      <w:r>
        <w:rPr>
          <w:rFonts w:ascii="Poppins SemiBold" w:cs="Poppins SemiBold" w:eastAsia="Poppins SemiBold" w:hAnsi="Poppins SemiBold"/>
          <w:color w:val="081D4D"/>
          <w:sz w:val="20"/>
          <w:szCs w:val="20"/>
        </w:rPr>
        <w:t xml:space="preserve">	Raising a requisition</w:t>
      </w:r>
      <w:r>
        <w:rPr>
          <w:rFonts w:ascii="Poppins SemiBold" w:cs="Poppins SemiBold" w:eastAsia="Poppins SemiBold" w:hAnsi="Poppins SemiBold"/>
          <w:color w:val="081D4D"/>
          <w:sz w:val="20"/>
          <w:szCs w:val="20"/>
        </w:rPr>
        <w:t xml:space="preserve">	8</w:t>
      </w:r>
    </w:p>
    <w:p>
      <w:pPr>
        <w:tabs>
          <w:tab w:val="left" w:pos="640"/>
          <w:tab w:val="right" w:pos="9638" w:leader="dot"/>
        </w:tabs>
        <w:spacing w:before="0" w:after="150"/>
      </w:pPr>
      <w:r>
        <w:rPr>
          <w:rFonts w:ascii="Poppins SemiBold" w:cs="Poppins SemiBold" w:eastAsia="Poppins SemiBold" w:hAnsi="Poppins SemiBold"/>
          <w:color w:val="1565C0"/>
          <w:sz w:val="20"/>
          <w:szCs w:val="20"/>
        </w:rPr>
        <w:t xml:space="preserve">05</w:t>
      </w:r>
      <w:r>
        <w:rPr>
          <w:rFonts w:ascii="Poppins SemiBold" w:cs="Poppins SemiBold" w:eastAsia="Poppins SemiBold" w:hAnsi="Poppins SemiBold"/>
          <w:color w:val="081D4D"/>
          <w:sz w:val="20"/>
          <w:szCs w:val="20"/>
        </w:rPr>
        <w:t xml:space="preserve">	Approvals</w:t>
      </w:r>
      <w:r>
        <w:rPr>
          <w:rFonts w:ascii="Poppins SemiBold" w:cs="Poppins SemiBold" w:eastAsia="Poppins SemiBold" w:hAnsi="Poppins SemiBold"/>
          <w:color w:val="081D4D"/>
          <w:sz w:val="20"/>
          <w:szCs w:val="20"/>
        </w:rPr>
        <w:t xml:space="preserve">	10</w:t>
      </w:r>
    </w:p>
    <w:p>
      <w:pPr>
        <w:tabs>
          <w:tab w:val="left" w:pos="640"/>
          <w:tab w:val="right" w:pos="9638" w:leader="dot"/>
        </w:tabs>
        <w:spacing w:before="0" w:after="150"/>
      </w:pPr>
      <w:r>
        <w:rPr>
          <w:rFonts w:ascii="Poppins SemiBold" w:cs="Poppins SemiBold" w:eastAsia="Poppins SemiBold" w:hAnsi="Poppins SemiBold"/>
          <w:color w:val="1565C0"/>
          <w:sz w:val="20"/>
          <w:szCs w:val="20"/>
        </w:rPr>
        <w:t xml:space="preserve">06</w:t>
      </w:r>
      <w:r>
        <w:rPr>
          <w:rFonts w:ascii="Poppins SemiBold" w:cs="Poppins SemiBold" w:eastAsia="Poppins SemiBold" w:hAnsi="Poppins SemiBold"/>
          <w:color w:val="081D4D"/>
          <w:sz w:val="20"/>
          <w:szCs w:val="20"/>
        </w:rPr>
        <w:t xml:space="preserve">	Buying: requests, RFQs, orders and contracts</w:t>
      </w:r>
      <w:r>
        <w:rPr>
          <w:rFonts w:ascii="Poppins SemiBold" w:cs="Poppins SemiBold" w:eastAsia="Poppins SemiBold" w:hAnsi="Poppins SemiBold"/>
          <w:color w:val="081D4D"/>
          <w:sz w:val="20"/>
          <w:szCs w:val="20"/>
        </w:rPr>
        <w:t xml:space="preserve">	12</w:t>
      </w:r>
    </w:p>
    <w:p>
      <w:pPr>
        <w:tabs>
          <w:tab w:val="left" w:pos="640"/>
          <w:tab w:val="right" w:pos="9638" w:leader="dot"/>
        </w:tabs>
        <w:spacing w:before="0" w:after="150"/>
      </w:pPr>
      <w:r>
        <w:rPr>
          <w:rFonts w:ascii="Poppins SemiBold" w:cs="Poppins SemiBold" w:eastAsia="Poppins SemiBold" w:hAnsi="Poppins SemiBold"/>
          <w:color w:val="1565C0"/>
          <w:sz w:val="20"/>
          <w:szCs w:val="20"/>
        </w:rPr>
        <w:t xml:space="preserve">07</w:t>
      </w:r>
      <w:r>
        <w:rPr>
          <w:rFonts w:ascii="Poppins SemiBold" w:cs="Poppins SemiBold" w:eastAsia="Poppins SemiBold" w:hAnsi="Poppins SemiBold"/>
          <w:color w:val="081D4D"/>
          <w:sz w:val="20"/>
          <w:szCs w:val="20"/>
        </w:rPr>
        <w:t xml:space="preserve">	Paying</w:t>
      </w:r>
      <w:r>
        <w:rPr>
          <w:rFonts w:ascii="Poppins SemiBold" w:cs="Poppins SemiBold" w:eastAsia="Poppins SemiBold" w:hAnsi="Poppins SemiBold"/>
          <w:color w:val="081D4D"/>
          <w:sz w:val="20"/>
          <w:szCs w:val="20"/>
        </w:rPr>
        <w:t xml:space="preserve">	14</w:t>
      </w:r>
    </w:p>
    <w:p>
      <w:pPr>
        <w:tabs>
          <w:tab w:val="left" w:pos="640"/>
          <w:tab w:val="right" w:pos="9638" w:leader="dot"/>
        </w:tabs>
        <w:spacing w:before="0" w:after="150"/>
      </w:pPr>
      <w:r>
        <w:rPr>
          <w:rFonts w:ascii="Poppins SemiBold" w:cs="Poppins SemiBold" w:eastAsia="Poppins SemiBold" w:hAnsi="Poppins SemiBold"/>
          <w:color w:val="1565C0"/>
          <w:sz w:val="20"/>
          <w:szCs w:val="20"/>
        </w:rPr>
        <w:t xml:space="preserve">08</w:t>
      </w:r>
      <w:r>
        <w:rPr>
          <w:rFonts w:ascii="Poppins SemiBold" w:cs="Poppins SemiBold" w:eastAsia="Poppins SemiBold" w:hAnsi="Poppins SemiBold"/>
          <w:color w:val="081D4D"/>
          <w:sz w:val="20"/>
          <w:szCs w:val="20"/>
        </w:rPr>
        <w:t xml:space="preserve">	Expense claims</w:t>
      </w:r>
      <w:r>
        <w:rPr>
          <w:rFonts w:ascii="Poppins SemiBold" w:cs="Poppins SemiBold" w:eastAsia="Poppins SemiBold" w:hAnsi="Poppins SemiBold"/>
          <w:color w:val="081D4D"/>
          <w:sz w:val="20"/>
          <w:szCs w:val="20"/>
        </w:rPr>
        <w:t xml:space="preserve">	15</w:t>
      </w:r>
    </w:p>
    <w:p>
      <w:pPr>
        <w:tabs>
          <w:tab w:val="left" w:pos="640"/>
          <w:tab w:val="right" w:pos="9638" w:leader="dot"/>
        </w:tabs>
        <w:spacing w:before="0" w:after="150"/>
      </w:pPr>
      <w:r>
        <w:rPr>
          <w:rFonts w:ascii="Poppins SemiBold" w:cs="Poppins SemiBold" w:eastAsia="Poppins SemiBold" w:hAnsi="Poppins SemiBold"/>
          <w:color w:val="1565C0"/>
          <w:sz w:val="20"/>
          <w:szCs w:val="20"/>
        </w:rPr>
        <w:t xml:space="preserve">09</w:t>
      </w:r>
      <w:r>
        <w:rPr>
          <w:rFonts w:ascii="Poppins SemiBold" w:cs="Poppins SemiBold" w:eastAsia="Poppins SemiBold" w:hAnsi="Poppins SemiBold"/>
          <w:color w:val="081D4D"/>
          <w:sz w:val="20"/>
          <w:szCs w:val="20"/>
        </w:rPr>
        <w:t xml:space="preserve">	Suppliers and the catalogue</w:t>
      </w:r>
      <w:r>
        <w:rPr>
          <w:rFonts w:ascii="Poppins SemiBold" w:cs="Poppins SemiBold" w:eastAsia="Poppins SemiBold" w:hAnsi="Poppins SemiBold"/>
          <w:color w:val="081D4D"/>
          <w:sz w:val="20"/>
          <w:szCs w:val="20"/>
        </w:rPr>
        <w:t xml:space="preserve">	16</w:t>
      </w:r>
    </w:p>
    <w:p>
      <w:pPr>
        <w:tabs>
          <w:tab w:val="left" w:pos="640"/>
          <w:tab w:val="right" w:pos="9638" w:leader="dot"/>
        </w:tabs>
        <w:spacing w:before="0" w:after="150"/>
      </w:pPr>
      <w:r>
        <w:rPr>
          <w:rFonts w:ascii="Poppins SemiBold" w:cs="Poppins SemiBold" w:eastAsia="Poppins SemiBold" w:hAnsi="Poppins SemiBold"/>
          <w:color w:val="1565C0"/>
          <w:sz w:val="20"/>
          <w:szCs w:val="20"/>
        </w:rPr>
        <w:t xml:space="preserve">10</w:t>
      </w:r>
      <w:r>
        <w:rPr>
          <w:rFonts w:ascii="Poppins SemiBold" w:cs="Poppins SemiBold" w:eastAsia="Poppins SemiBold" w:hAnsi="Poppins SemiBold"/>
          <w:color w:val="081D4D"/>
          <w:sz w:val="20"/>
          <w:szCs w:val="20"/>
        </w:rPr>
        <w:t xml:space="preserve">	Planning, budgets and reports</w:t>
      </w:r>
      <w:r>
        <w:rPr>
          <w:rFonts w:ascii="Poppins SemiBold" w:cs="Poppins SemiBold" w:eastAsia="Poppins SemiBold" w:hAnsi="Poppins SemiBold"/>
          <w:color w:val="081D4D"/>
          <w:sz w:val="20"/>
          <w:szCs w:val="20"/>
        </w:rPr>
        <w:t xml:space="preserve">	17</w:t>
      </w:r>
    </w:p>
    <w:p>
      <w:pPr>
        <w:tabs>
          <w:tab w:val="left" w:pos="640"/>
          <w:tab w:val="right" w:pos="9638" w:leader="dot"/>
        </w:tabs>
        <w:spacing w:before="0" w:after="150"/>
      </w:pPr>
      <w:r>
        <w:rPr>
          <w:rFonts w:ascii="Poppins SemiBold" w:cs="Poppins SemiBold" w:eastAsia="Poppins SemiBold" w:hAnsi="Poppins SemiBold"/>
          <w:color w:val="1565C0"/>
          <w:sz w:val="20"/>
          <w:szCs w:val="20"/>
        </w:rPr>
        <w:t xml:space="preserve">11</w:t>
      </w:r>
      <w:r>
        <w:rPr>
          <w:rFonts w:ascii="Poppins SemiBold" w:cs="Poppins SemiBold" w:eastAsia="Poppins SemiBold" w:hAnsi="Poppins SemiBold"/>
          <w:color w:val="081D4D"/>
          <w:sz w:val="20"/>
          <w:szCs w:val="20"/>
        </w:rPr>
        <w:t xml:space="preserve">	Staying informed</w:t>
      </w:r>
      <w:r>
        <w:rPr>
          <w:rFonts w:ascii="Poppins SemiBold" w:cs="Poppins SemiBold" w:eastAsia="Poppins SemiBold" w:hAnsi="Poppins SemiBold"/>
          <w:color w:val="081D4D"/>
          <w:sz w:val="20"/>
          <w:szCs w:val="20"/>
        </w:rPr>
        <w:t xml:space="preserve">	18</w:t>
      </w:r>
    </w:p>
    <w:p>
      <w:pPr>
        <w:tabs>
          <w:tab w:val="left" w:pos="640"/>
          <w:tab w:val="right" w:pos="9638" w:leader="dot"/>
        </w:tabs>
        <w:spacing w:before="0" w:after="150"/>
      </w:pPr>
      <w:r>
        <w:rPr>
          <w:rFonts w:ascii="Poppins SemiBold" w:cs="Poppins SemiBold" w:eastAsia="Poppins SemiBold" w:hAnsi="Poppins SemiBold"/>
          <w:color w:val="1565C0"/>
          <w:sz w:val="20"/>
          <w:szCs w:val="20"/>
        </w:rPr>
        <w:t xml:space="preserve">12</w:t>
      </w:r>
      <w:r>
        <w:rPr>
          <w:rFonts w:ascii="Poppins SemiBold" w:cs="Poppins SemiBold" w:eastAsia="Poppins SemiBold" w:hAnsi="Poppins SemiBold"/>
          <w:color w:val="081D4D"/>
          <w:sz w:val="20"/>
          <w:szCs w:val="20"/>
        </w:rPr>
        <w:t xml:space="preserve">	Setting up and running PERA</w:t>
      </w:r>
      <w:r>
        <w:rPr>
          <w:rFonts w:ascii="Poppins SemiBold" w:cs="Poppins SemiBold" w:eastAsia="Poppins SemiBold" w:hAnsi="Poppins SemiBold"/>
          <w:color w:val="081D4D"/>
          <w:sz w:val="20"/>
          <w:szCs w:val="20"/>
        </w:rPr>
        <w:t xml:space="preserve">	19</w:t>
      </w:r>
    </w:p>
    <w:p>
      <w:pPr>
        <w:tabs>
          <w:tab w:val="left" w:pos="640"/>
          <w:tab w:val="right" w:pos="9638" w:leader="dot"/>
        </w:tabs>
        <w:spacing w:before="0" w:after="150"/>
      </w:pPr>
      <w:r>
        <w:rPr>
          <w:rFonts w:ascii="Poppins SemiBold" w:cs="Poppins SemiBold" w:eastAsia="Poppins SemiBold" w:hAnsi="Poppins SemiBold"/>
          <w:color w:val="1565C0"/>
          <w:sz w:val="20"/>
          <w:szCs w:val="20"/>
        </w:rPr>
        <w:t xml:space="preserve">13</w:t>
      </w:r>
      <w:r>
        <w:rPr>
          <w:rFonts w:ascii="Poppins SemiBold" w:cs="Poppins SemiBold" w:eastAsia="Poppins SemiBold" w:hAnsi="Poppins SemiBold"/>
          <w:color w:val="081D4D"/>
          <w:sz w:val="20"/>
          <w:szCs w:val="20"/>
        </w:rPr>
        <w:t xml:space="preserve">	Security and control</w:t>
      </w:r>
      <w:r>
        <w:rPr>
          <w:rFonts w:ascii="Poppins SemiBold" w:cs="Poppins SemiBold" w:eastAsia="Poppins SemiBold" w:hAnsi="Poppins SemiBold"/>
          <w:color w:val="081D4D"/>
          <w:sz w:val="20"/>
          <w:szCs w:val="20"/>
        </w:rPr>
        <w:t xml:space="preserve">	21</w:t>
      </w:r>
    </w:p>
    <w:p>
      <w:pPr>
        <w:tabs>
          <w:tab w:val="left" w:pos="640"/>
          <w:tab w:val="right" w:pos="9638" w:leader="dot"/>
        </w:tabs>
        <w:spacing w:before="0" w:after="150"/>
      </w:pPr>
      <w:r>
        <w:rPr>
          <w:rFonts w:ascii="Poppins SemiBold" w:cs="Poppins SemiBold" w:eastAsia="Poppins SemiBold" w:hAnsi="Poppins SemiBold"/>
          <w:color w:val="1565C0"/>
          <w:sz w:val="20"/>
          <w:szCs w:val="20"/>
        </w:rPr>
        <w:t xml:space="preserve">14</w:t>
      </w:r>
      <w:r>
        <w:rPr>
          <w:rFonts w:ascii="Poppins SemiBold" w:cs="Poppins SemiBold" w:eastAsia="Poppins SemiBold" w:hAnsi="Poppins SemiBold"/>
          <w:color w:val="081D4D"/>
          <w:sz w:val="20"/>
          <w:szCs w:val="20"/>
        </w:rPr>
        <w:t xml:space="preserve">	How PERA is built and hosted</w:t>
      </w:r>
      <w:r>
        <w:rPr>
          <w:rFonts w:ascii="Poppins SemiBold" w:cs="Poppins SemiBold" w:eastAsia="Poppins SemiBold" w:hAnsi="Poppins SemiBold"/>
          <w:color w:val="081D4D"/>
          <w:sz w:val="20"/>
          <w:szCs w:val="20"/>
        </w:rPr>
        <w:t xml:space="preserve">	22</w:t>
      </w:r>
    </w:p>
    <w:p>
      <w:pPr>
        <w:tabs>
          <w:tab w:val="left" w:pos="640"/>
          <w:tab w:val="right" w:pos="9638" w:leader="dot"/>
        </w:tabs>
        <w:spacing w:before="0" w:after="150"/>
      </w:pPr>
      <w:r>
        <w:rPr>
          <w:rFonts w:ascii="Poppins SemiBold" w:cs="Poppins SemiBold" w:eastAsia="Poppins SemiBold" w:hAnsi="Poppins SemiBold"/>
          <w:color w:val="1565C0"/>
          <w:sz w:val="20"/>
          <w:szCs w:val="20"/>
        </w:rPr>
        <w:t xml:space="preserve">A</w:t>
      </w:r>
      <w:r>
        <w:rPr>
          <w:rFonts w:ascii="Poppins SemiBold" w:cs="Poppins SemiBold" w:eastAsia="Poppins SemiBold" w:hAnsi="Poppins SemiBold"/>
          <w:color w:val="081D4D"/>
          <w:sz w:val="20"/>
          <w:szCs w:val="20"/>
        </w:rPr>
        <w:t xml:space="preserve">	Glossary</w:t>
      </w:r>
      <w:r>
        <w:rPr>
          <w:rFonts w:ascii="Poppins SemiBold" w:cs="Poppins SemiBold" w:eastAsia="Poppins SemiBold" w:hAnsi="Poppins SemiBold"/>
          <w:color w:val="081D4D"/>
          <w:sz w:val="20"/>
          <w:szCs w:val="20"/>
        </w:rPr>
        <w:t xml:space="preserve">	23</w:t>
      </w:r>
    </w:p>
    <w:p>
      <w:pPr>
        <w:tabs>
          <w:tab w:val="left" w:pos="640"/>
          <w:tab w:val="right" w:pos="9638" w:leader="dot"/>
        </w:tabs>
        <w:spacing w:before="0" w:after="150"/>
      </w:pPr>
      <w:r>
        <w:rPr>
          <w:rFonts w:ascii="Poppins SemiBold" w:cs="Poppins SemiBold" w:eastAsia="Poppins SemiBold" w:hAnsi="Poppins SemiBold"/>
          <w:color w:val="1565C0"/>
          <w:sz w:val="20"/>
          <w:szCs w:val="20"/>
        </w:rPr>
        <w:t xml:space="preserve">B</w:t>
      </w:r>
      <w:r>
        <w:rPr>
          <w:rFonts w:ascii="Poppins SemiBold" w:cs="Poppins SemiBold" w:eastAsia="Poppins SemiBold" w:hAnsi="Poppins SemiBold"/>
          <w:color w:val="081D4D"/>
          <w:sz w:val="20"/>
          <w:szCs w:val="20"/>
        </w:rPr>
        <w:t xml:space="preserve">	Going-live checklist</w:t>
      </w:r>
      <w:r>
        <w:rPr>
          <w:rFonts w:ascii="Poppins SemiBold" w:cs="Poppins SemiBold" w:eastAsia="Poppins SemiBold" w:hAnsi="Poppins SemiBold"/>
          <w:color w:val="081D4D"/>
          <w:sz w:val="20"/>
          <w:szCs w:val="20"/>
        </w:rPr>
        <w:t xml:space="preserve">	24</w:t>
      </w:r>
    </w:p>
    <w:p>
      <w:pPr>
        <w:pageBreakBefore/>
        <w:spacing w:after="40"/>
      </w:pPr>
      <w:r>
        <w:rPr>
          <w:rFonts w:ascii="Poppins SemiBold" w:cs="Poppins SemiBold" w:eastAsia="Poppins SemiBold" w:hAnsi="Poppins SemiBold"/>
          <w:color w:val="1565C0"/>
          <w:spacing w:val="40"/>
          <w:sz w:val="17"/>
          <w:szCs w:val="17"/>
        </w:rPr>
        <w:t xml:space="preserve">SECTION 01</w:t>
      </w:r>
    </w:p>
    <w:p>
      <w:pPr>
        <w:pStyle w:val="Heading1"/>
        <w:pBdr>
          <w:bottom w:val="single" w:color="5FD6FF" w:sz="18" w:space="8"/>
        </w:pBdr>
      </w:pPr>
      <w:r>
        <w:t xml:space="preserve">What PERA is</w:t>
      </w:r>
    </w:p>
    <w:p>
      <w:pPr>
        <w:spacing w:after="140" w:before="0" w:line="300"/>
      </w:pPr>
      <w:r>
        <w:rPr>
          <w:rFonts w:ascii="Open Sans" w:cs="Open Sans" w:eastAsia="Open Sans" w:hAnsi="Open Sans"/>
        </w:rPr>
        <w:t xml:space="preserve">PERA is a web-based procure-to-pay system. It covers everything that happens between someone in the organisation needing to spend money and the supplier being paid: the request, the approvals, quotations, the purchase order, the delivery, the invoice and the payment itself. Each of those steps happens inside PERA, against one record, and each one is written to an audit trail that nobody can edit.</w:t>
      </w:r>
    </w:p>
    <w:p>
      <w:pPr>
        <w:spacing w:after="140" w:before="0" w:line="300"/>
      </w:pPr>
      <w:r>
        <w:rPr>
          <w:rFonts w:ascii="Open Sans" w:cs="Open Sans" w:eastAsia="Open Sans" w:hAnsi="Open Sans"/>
        </w:rPr>
        <w:t xml:space="preserve">Most organisations already have a process for this. The trouble is usually that the process lives in email threads, paper forms and spreadsheets. Approvals wait in someone's inbox while they are on leave. Nobody can say with confidence where a request is or who is holding it up. The same invoice is paid twice because two people captured it. A supplier's bank details are changed in an email and nobody notices until the money has gone. PERA exists to close those gaps.</w:t>
      </w:r>
    </w:p>
    <w:p>
      <w:pPr>
        <w:pStyle w:val="Heading2"/>
        <w:keepNext/>
      </w:pPr>
      <w:r>
        <w:t xml:space="preserve">What PERA covers</w:t>
      </w:r>
    </w:p>
    <w:tbl>
      <w:tblPr>
        <w:tblW w:type="dxa" w:w="9638"/>
        <w:tblBorders>
          <w:top w:val="none" w:color="FFFFFF" w:sz="0"/>
          <w:left w:val="none" w:color="FFFFFF" w:sz="0"/>
          <w:bottom w:val="single" w:color="081D4D" w:sz="8"/>
          <w:right w:val="none" w:color="FFFFFF" w:sz="0"/>
          <w:insideH w:val="none" w:color="FFFFFF" w:sz="0"/>
          <w:insideV w:val="none" w:color="FFFFFF" w:sz="0"/>
        </w:tblBorders>
        <w:tblLayout w:type="fixed"/>
      </w:tblPr>
      <w:tblGrid>
        <w:gridCol w:w="2120"/>
        <w:gridCol w:w="7518"/>
      </w:tblGrid>
      <w:tr>
        <w:trPr>
          <w:cantSplit/>
          <w:tblHeader/>
        </w:trPr>
        <w:tc>
          <w:tcPr>
            <w:tcW w:type="dxa" w:w="2120"/>
            <w:tcBorders>
              <w:top w:val="none" w:color="FFFFFF" w:sz="0"/>
              <w:left w:val="none" w:color="FFFFFF" w:sz="0"/>
              <w:bottom w:val="none" w:color="FFFFFF" w:sz="0"/>
              <w:right w:val="none" w:color="FFFFFF" w:sz="0"/>
            </w:tcBorders>
            <w:shd w:fill="081D4D" w:color="auto" w:val="clear"/>
            <w:tcMar>
              <w:top w:type="dxa" w:w="100"/>
              <w:left w:type="dxa" w:w="120"/>
              <w:bottom w:type="dxa" w:w="80"/>
              <w:right w:type="dxa" w:w="120"/>
            </w:tcMar>
            <w:vAlign w:val="top"/>
          </w:tcPr>
          <w:p>
            <w:pPr>
              <w:keepNext/>
              <w:spacing w:after="40" w:line="264"/>
            </w:pPr>
            <w:r>
              <w:rPr>
                <w:rFonts w:ascii="Poppins SemiBold" w:cs="Poppins SemiBold" w:eastAsia="Poppins SemiBold" w:hAnsi="Poppins SemiBold"/>
                <w:color w:val="FFFFFF"/>
                <w:sz w:val="17"/>
                <w:szCs w:val="17"/>
              </w:rPr>
              <w:t xml:space="preserve">Area</w:t>
            </w:r>
          </w:p>
        </w:tc>
        <w:tc>
          <w:tcPr>
            <w:tcW w:type="dxa" w:w="7518"/>
            <w:tcBorders>
              <w:top w:val="none" w:color="FFFFFF" w:sz="0"/>
              <w:left w:val="none" w:color="FFFFFF" w:sz="0"/>
              <w:bottom w:val="none" w:color="FFFFFF" w:sz="0"/>
              <w:right w:val="none" w:color="FFFFFF" w:sz="0"/>
            </w:tcBorders>
            <w:shd w:fill="081D4D" w:color="auto" w:val="clear"/>
            <w:tcMar>
              <w:top w:type="dxa" w:w="100"/>
              <w:left w:type="dxa" w:w="120"/>
              <w:bottom w:type="dxa" w:w="80"/>
              <w:right w:type="dxa" w:w="120"/>
            </w:tcMar>
            <w:vAlign w:val="top"/>
          </w:tcPr>
          <w:p>
            <w:pPr>
              <w:keepNext/>
              <w:spacing w:after="40" w:line="264"/>
            </w:pPr>
            <w:r>
              <w:rPr>
                <w:rFonts w:ascii="Poppins SemiBold" w:cs="Poppins SemiBold" w:eastAsia="Poppins SemiBold" w:hAnsi="Poppins SemiBold"/>
                <w:color w:val="FFFFFF"/>
                <w:sz w:val="17"/>
                <w:szCs w:val="17"/>
              </w:rPr>
              <w:t xml:space="preserve">What PERA does</w:t>
            </w:r>
          </w:p>
        </w:tc>
      </w:tr>
      <w:tr>
        <w:trPr>
          <w:cantSplit/>
        </w:trPr>
        <w:tc>
          <w:tcPr>
            <w:tcW w:type="dxa" w:w="2120"/>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Requisitions</w:t>
            </w:r>
          </w:p>
        </w:tc>
        <w:tc>
          <w:tcPr>
            <w:tcW w:type="dxa" w:w="7518"/>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Staff ask to spend money, either to buy something through a purchase order or to make a direct payment such as a fee or petty cash. Each request carries its justification, supporting documents and budget line.</w:t>
            </w:r>
          </w:p>
        </w:tc>
      </w:tr>
      <w:tr>
        <w:trPr>
          <w:cantSplit/>
        </w:trPr>
        <w:tc>
          <w:tcPr>
            <w:tcW w:type="dxa" w:w="2120"/>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Approvals</w:t>
            </w:r>
          </w:p>
        </w:tc>
        <w:tc>
          <w:tcPr>
            <w:tcW w:type="dxa" w:w="7518"/>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PERA works out who must approve from the amount and the rules in Settings, asks them in the right order, reminds them, and escalates when a request has waited too long.</w:t>
            </w:r>
          </w:p>
        </w:tc>
      </w:tr>
      <w:tr>
        <w:trPr>
          <w:cantSplit/>
        </w:trPr>
        <w:tc>
          <w:tcPr>
            <w:tcW w:type="dxa" w:w="2120"/>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Buying</w:t>
            </w:r>
          </w:p>
        </w:tc>
        <w:tc>
          <w:tcPr>
            <w:tcW w:type="dxa" w:w="7518"/>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Procurement runs requests for quotation (RFQs), raises purchase orders, manages contracts and stock, and handles internal requests for stores, IT and facilities.</w:t>
            </w:r>
          </w:p>
        </w:tc>
      </w:tr>
      <w:tr>
        <w:trPr>
          <w:cantSplit/>
        </w:trPr>
        <w:tc>
          <w:tcPr>
            <w:tcW w:type="dxa" w:w="2120"/>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Receiving</w:t>
            </w:r>
          </w:p>
        </w:tc>
        <w:tc>
          <w:tcPr>
            <w:tcW w:type="dxa" w:w="7518"/>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The person who asked for the goods confirms what actually arrived, including partial deliveries, and rates the supplier.</w:t>
            </w:r>
          </w:p>
        </w:tc>
      </w:tr>
      <w:tr>
        <w:trPr>
          <w:cantSplit/>
        </w:trPr>
        <w:tc>
          <w:tcPr>
            <w:tcW w:type="dxa" w:w="2120"/>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Paying</w:t>
            </w:r>
          </w:p>
        </w:tc>
        <w:tc>
          <w:tcPr>
            <w:tcW w:type="dxa" w:w="7518"/>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Finance matches the supplier's invoice to the order and the delivery, then records the payment or exports a batch payment file for the bank.</w:t>
            </w:r>
          </w:p>
        </w:tc>
      </w:tr>
      <w:tr>
        <w:trPr>
          <w:cantSplit/>
        </w:trPr>
        <w:tc>
          <w:tcPr>
            <w:tcW w:type="dxa" w:w="2120"/>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Expenses</w:t>
            </w:r>
          </w:p>
        </w:tc>
        <w:tc>
          <w:tcPr>
            <w:tcW w:type="dxa" w:w="7518"/>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Staff claim back money they have already spent, with receipts, and Finance reimburses them.</w:t>
            </w:r>
          </w:p>
        </w:tc>
      </w:tr>
      <w:tr>
        <w:trPr>
          <w:cantSplit/>
        </w:trPr>
        <w:tc>
          <w:tcPr>
            <w:tcW w:type="dxa" w:w="2120"/>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Suppliers</w:t>
            </w:r>
          </w:p>
        </w:tc>
        <w:tc>
          <w:tcPr>
            <w:tcW w:type="dxa" w:w="7518"/>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A supplier register with approval, compliance documents and expiry dates, performance reviews and an optional supplier portal.</w:t>
            </w:r>
          </w:p>
        </w:tc>
      </w:tr>
      <w:tr>
        <w:trPr>
          <w:cantSplit/>
        </w:trPr>
        <w:tc>
          <w:tcPr>
            <w:tcW w:type="dxa" w:w="2120"/>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val="false"/>
              <w:spacing w:after="40" w:line="264"/>
            </w:pPr>
            <w:r>
              <w:rPr>
                <w:rFonts w:ascii="Open Sans SemiBold" w:cs="Open Sans SemiBold" w:eastAsia="Open Sans SemiBold" w:hAnsi="Open Sans SemiBold"/>
                <w:color w:val="081D4D"/>
                <w:sz w:val="18"/>
                <w:szCs w:val="18"/>
              </w:rPr>
              <w:t xml:space="preserve">Control</w:t>
            </w:r>
          </w:p>
        </w:tc>
        <w:tc>
          <w:tcPr>
            <w:tcW w:type="dxa" w:w="7518"/>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val="false"/>
              <w:spacing w:after="40" w:line="264"/>
            </w:pPr>
            <w:r>
              <w:rPr>
                <w:rFonts w:ascii="Open Sans" w:cs="Open Sans" w:eastAsia="Open Sans" w:hAnsi="Open Sans"/>
                <w:sz w:val="18"/>
                <w:szCs w:val="18"/>
              </w:rPr>
              <w:t xml:space="preserve">Budgets, a procurement plan, reports, and an audit trail that is chained so that any tampering can be detected.</w:t>
            </w:r>
          </w:p>
        </w:tc>
      </w:tr>
    </w:tbl>
    <w:p>
      <w:pPr>
        <w:spacing w:after="120"/>
      </w:pPr>
    </w:p>
    <w:p>
      <w:pPr>
        <w:pStyle w:val="Heading2"/>
        <w:keepNext/>
      </w:pPr>
      <w:r>
        <w:t xml:space="preserve">The ideas behind it</w:t>
      </w:r>
    </w:p>
    <w:p>
      <w:pPr>
        <w:spacing w:after="140" w:before="0" w:line="300"/>
      </w:pPr>
      <w:r>
        <w:rPr>
          <w:rFonts w:ascii="Open Sans" w:cs="Open Sans" w:eastAsia="Open Sans" w:hAnsi="Open Sans"/>
        </w:rPr>
        <w:t xml:space="preserve">A handful of principles shaped how PERA works. They are worth knowing because they explain a lot of the behaviour you will see.</w:t>
      </w:r>
    </w:p>
    <w:p>
      <w:pPr>
        <w:pStyle w:val="ListParagraph"/>
        <w:numPr>
          <w:ilvl w:val="0"/>
          <w:numId w:val="2"/>
        </w:numPr>
        <w:spacing w:after="70" w:line="290"/>
      </w:pPr>
      <w:r>
        <w:rPr>
          <w:rFonts w:ascii="Open Sans SemiBold" w:cs="Open Sans SemiBold" w:eastAsia="Open Sans SemiBold" w:hAnsi="Open Sans SemiBold"/>
          <w:color w:val="081D4D"/>
        </w:rPr>
        <w:t xml:space="preserve">Nobody approves their own spending.</w:t>
      </w:r>
      <w:r>
        <w:rPr>
          <w:rFonts w:ascii="Open Sans" w:cs="Open Sans" w:eastAsia="Open Sans" w:hAnsi="Open Sans"/>
        </w:rPr>
        <w:t xml:space="preserve"> Whoever raises a requisition, expense claim, purchase order or contract is taken off its approval route automatically, even if they would normally be an approver for that amount.</w:t>
      </w:r>
    </w:p>
    <w:p>
      <w:pPr>
        <w:pStyle w:val="ListParagraph"/>
        <w:numPr>
          <w:ilvl w:val="0"/>
          <w:numId w:val="2"/>
        </w:numPr>
        <w:spacing w:after="70" w:line="290"/>
      </w:pPr>
      <w:r>
        <w:rPr>
          <w:rFonts w:ascii="Open Sans SemiBold" w:cs="Open Sans SemiBold" w:eastAsia="Open Sans SemiBold" w:hAnsi="Open Sans SemiBold"/>
          <w:color w:val="081D4D"/>
        </w:rPr>
        <w:t xml:space="preserve">The rules live in the database, not only on the screen.</w:t>
      </w:r>
      <w:r>
        <w:rPr>
          <w:rFonts w:ascii="Open Sans" w:cs="Open Sans" w:eastAsia="Open Sans" w:hAnsi="Open Sans"/>
        </w:rPr>
        <w:t xml:space="preserve"> Approval routes, status changes, budget limits and who may do what are enforced by the database itself. Someone who bypassed the screens and talked to the database directly would still be stopped.</w:t>
      </w:r>
    </w:p>
    <w:p>
      <w:pPr>
        <w:pStyle w:val="ListParagraph"/>
        <w:numPr>
          <w:ilvl w:val="0"/>
          <w:numId w:val="2"/>
        </w:numPr>
        <w:spacing w:after="70" w:line="290"/>
      </w:pPr>
      <w:r>
        <w:rPr>
          <w:rFonts w:ascii="Open Sans SemiBold" w:cs="Open Sans SemiBold" w:eastAsia="Open Sans SemiBold" w:hAnsi="Open Sans SemiBold"/>
          <w:color w:val="081D4D"/>
        </w:rPr>
        <w:t xml:space="preserve">One record, start to finish.</w:t>
      </w:r>
      <w:r>
        <w:rPr>
          <w:rFonts w:ascii="Open Sans" w:cs="Open Sans" w:eastAsia="Open Sans" w:hAnsi="Open Sans"/>
        </w:rPr>
        <w:t xml:space="preserve"> A purchase keeps the same requisition number from the first draft to the final payment, so anyone with access can see its whole story in one place.</w:t>
      </w:r>
    </w:p>
    <w:p>
      <w:pPr>
        <w:pStyle w:val="ListParagraph"/>
        <w:numPr>
          <w:ilvl w:val="0"/>
          <w:numId w:val="2"/>
        </w:numPr>
        <w:spacing w:after="70" w:line="290"/>
      </w:pPr>
      <w:r>
        <w:rPr>
          <w:rFonts w:ascii="Open Sans SemiBold" w:cs="Open Sans SemiBold" w:eastAsia="Open Sans SemiBold" w:hAnsi="Open Sans SemiBold"/>
          <w:color w:val="081D4D"/>
        </w:rPr>
        <w:t xml:space="preserve">History cannot be rewritten.</w:t>
      </w:r>
      <w:r>
        <w:rPr>
          <w:rFonts w:ascii="Open Sans" w:cs="Open Sans" w:eastAsia="Open Sans" w:hAnsi="Open Sans"/>
        </w:rPr>
        <w:t xml:space="preserve"> Transactions and audit entries are never deleted, and audit entries cannot be edited, not even by the database owner.</w:t>
      </w:r>
    </w:p>
    <w:p>
      <w:pPr>
        <w:pStyle w:val="ListParagraph"/>
        <w:numPr>
          <w:ilvl w:val="0"/>
          <w:numId w:val="2"/>
        </w:numPr>
        <w:spacing w:after="70" w:line="290"/>
      </w:pPr>
      <w:r>
        <w:rPr>
          <w:rFonts w:ascii="Open Sans SemiBold" w:cs="Open Sans SemiBold" w:eastAsia="Open Sans SemiBold" w:hAnsi="Open Sans SemiBold"/>
          <w:color w:val="081D4D"/>
        </w:rPr>
        <w:t xml:space="preserve">Each client is separate.</w:t>
      </w:r>
      <w:r>
        <w:rPr>
          <w:rFonts w:ascii="Open Sans" w:cs="Open Sans" w:eastAsia="Open Sans" w:hAnsi="Open Sans"/>
        </w:rPr>
        <w:t xml:space="preserve"> Every organisation that uses PERA gets its own database. Nothing is shared between clients.</w:t>
      </w:r>
    </w:p>
    <w:p>
      <w:pPr>
        <w:pageBreakBefore/>
        <w:spacing w:after="40"/>
      </w:pPr>
      <w:r>
        <w:rPr>
          <w:rFonts w:ascii="Poppins SemiBold" w:cs="Poppins SemiBold" w:eastAsia="Poppins SemiBold" w:hAnsi="Poppins SemiBold"/>
          <w:color w:val="1565C0"/>
          <w:spacing w:val="40"/>
          <w:sz w:val="17"/>
          <w:szCs w:val="17"/>
        </w:rPr>
        <w:t xml:space="preserve">SECTION 02</w:t>
      </w:r>
    </w:p>
    <w:p>
      <w:pPr>
        <w:pStyle w:val="Heading1"/>
        <w:pBdr>
          <w:bottom w:val="single" w:color="5FD6FF" w:sz="18" w:space="8"/>
        </w:pBdr>
      </w:pPr>
      <w:r>
        <w:t xml:space="preserve">Who uses PERA</w:t>
      </w:r>
    </w:p>
    <w:p>
      <w:pPr>
        <w:spacing w:after="140" w:before="0" w:line="300"/>
      </w:pPr>
      <w:r>
        <w:rPr>
          <w:rFonts w:ascii="Open Sans" w:cs="Open Sans" w:eastAsia="Open Sans" w:hAnsi="Open Sans"/>
        </w:rPr>
        <w:t xml:space="preserve">Everyone who signs in to PERA has one role. The role decides what they can see and do. An administrator sets roles under </w:t>
      </w:r>
      <w:r>
        <w:rPr>
          <w:rFonts w:ascii="Open Sans SemiBold" w:cs="Open Sans SemiBold" w:eastAsia="Open Sans SemiBold" w:hAnsi="Open Sans SemiBold"/>
          <w:color w:val="081D4D"/>
        </w:rPr>
        <w:t xml:space="preserve">Manage company</w:t>
      </w:r>
      <w:r>
        <w:rPr>
          <w:rFonts w:ascii="Open Sans" w:cs="Open Sans" w:eastAsia="Open Sans" w:hAnsi="Open Sans"/>
        </w:rPr>
        <w:t xml:space="preserve">, and can also place a person in more than one department, which is common for managers who look after several teams.</w:t>
      </w:r>
    </w:p>
    <w:tbl>
      <w:tblPr>
        <w:tblW w:type="dxa" w:w="9638"/>
        <w:tblBorders>
          <w:top w:val="none" w:color="FFFFFF" w:sz="0"/>
          <w:left w:val="none" w:color="FFFFFF" w:sz="0"/>
          <w:bottom w:val="single" w:color="081D4D" w:sz="8"/>
          <w:right w:val="none" w:color="FFFFFF" w:sz="0"/>
          <w:insideH w:val="none" w:color="FFFFFF" w:sz="0"/>
          <w:insideV w:val="none" w:color="FFFFFF" w:sz="0"/>
        </w:tblBorders>
        <w:tblLayout w:type="fixed"/>
      </w:tblPr>
      <w:tblGrid>
        <w:gridCol w:w="1735"/>
        <w:gridCol w:w="2313"/>
        <w:gridCol w:w="5590"/>
      </w:tblGrid>
      <w:tr>
        <w:trPr>
          <w:cantSplit/>
          <w:tblHeader/>
        </w:trPr>
        <w:tc>
          <w:tcPr>
            <w:tcW w:type="dxa" w:w="1735"/>
            <w:tcBorders>
              <w:top w:val="none" w:color="FFFFFF" w:sz="0"/>
              <w:left w:val="none" w:color="FFFFFF" w:sz="0"/>
              <w:bottom w:val="none" w:color="FFFFFF" w:sz="0"/>
              <w:right w:val="none" w:color="FFFFFF" w:sz="0"/>
            </w:tcBorders>
            <w:shd w:fill="081D4D" w:color="auto" w:val="clear"/>
            <w:tcMar>
              <w:top w:type="dxa" w:w="100"/>
              <w:left w:type="dxa" w:w="120"/>
              <w:bottom w:type="dxa" w:w="80"/>
              <w:right w:type="dxa" w:w="120"/>
            </w:tcMar>
            <w:vAlign w:val="top"/>
          </w:tcPr>
          <w:p>
            <w:pPr>
              <w:keepNext/>
              <w:spacing w:after="40" w:line="264"/>
            </w:pPr>
            <w:r>
              <w:rPr>
                <w:rFonts w:ascii="Poppins SemiBold" w:cs="Poppins SemiBold" w:eastAsia="Poppins SemiBold" w:hAnsi="Poppins SemiBold"/>
                <w:color w:val="FFFFFF"/>
                <w:sz w:val="17"/>
                <w:szCs w:val="17"/>
              </w:rPr>
              <w:t xml:space="preserve">Role</w:t>
            </w:r>
          </w:p>
        </w:tc>
        <w:tc>
          <w:tcPr>
            <w:tcW w:type="dxa" w:w="2313"/>
            <w:tcBorders>
              <w:top w:val="none" w:color="FFFFFF" w:sz="0"/>
              <w:left w:val="none" w:color="FFFFFF" w:sz="0"/>
              <w:bottom w:val="none" w:color="FFFFFF" w:sz="0"/>
              <w:right w:val="none" w:color="FFFFFF" w:sz="0"/>
            </w:tcBorders>
            <w:shd w:fill="081D4D" w:color="auto" w:val="clear"/>
            <w:tcMar>
              <w:top w:type="dxa" w:w="100"/>
              <w:left w:type="dxa" w:w="120"/>
              <w:bottom w:type="dxa" w:w="80"/>
              <w:right w:type="dxa" w:w="120"/>
            </w:tcMar>
            <w:vAlign w:val="top"/>
          </w:tcPr>
          <w:p>
            <w:pPr>
              <w:keepNext/>
              <w:spacing w:after="40" w:line="264"/>
            </w:pPr>
            <w:r>
              <w:rPr>
                <w:rFonts w:ascii="Poppins SemiBold" w:cs="Poppins SemiBold" w:eastAsia="Poppins SemiBold" w:hAnsi="Poppins SemiBold"/>
                <w:color w:val="FFFFFF"/>
                <w:sz w:val="17"/>
                <w:szCs w:val="17"/>
              </w:rPr>
              <w:t xml:space="preserve">Typical people</w:t>
            </w:r>
          </w:p>
        </w:tc>
        <w:tc>
          <w:tcPr>
            <w:tcW w:type="dxa" w:w="5590"/>
            <w:tcBorders>
              <w:top w:val="none" w:color="FFFFFF" w:sz="0"/>
              <w:left w:val="none" w:color="FFFFFF" w:sz="0"/>
              <w:bottom w:val="none" w:color="FFFFFF" w:sz="0"/>
              <w:right w:val="none" w:color="FFFFFF" w:sz="0"/>
            </w:tcBorders>
            <w:shd w:fill="081D4D" w:color="auto" w:val="clear"/>
            <w:tcMar>
              <w:top w:type="dxa" w:w="100"/>
              <w:left w:type="dxa" w:w="120"/>
              <w:bottom w:type="dxa" w:w="80"/>
              <w:right w:type="dxa" w:w="120"/>
            </w:tcMar>
            <w:vAlign w:val="top"/>
          </w:tcPr>
          <w:p>
            <w:pPr>
              <w:keepNext/>
              <w:spacing w:after="40" w:line="264"/>
            </w:pPr>
            <w:r>
              <w:rPr>
                <w:rFonts w:ascii="Poppins SemiBold" w:cs="Poppins SemiBold" w:eastAsia="Poppins SemiBold" w:hAnsi="Poppins SemiBold"/>
                <w:color w:val="FFFFFF"/>
                <w:sz w:val="17"/>
                <w:szCs w:val="17"/>
              </w:rPr>
              <w:t xml:space="preserve">What they can do</w:t>
            </w:r>
          </w:p>
        </w:tc>
      </w:tr>
      <w:tr>
        <w:trPr>
          <w:cantSplit/>
        </w:trPr>
        <w:tc>
          <w:tcPr>
            <w:tcW w:type="dxa" w:w="1735"/>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Requisitioner</w:t>
            </w:r>
          </w:p>
        </w:tc>
        <w:tc>
          <w:tcPr>
            <w:tcW w:type="dxa" w:w="2313"/>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Any member of staff</w:t>
            </w:r>
          </w:p>
        </w:tc>
        <w:tc>
          <w:tcPr>
            <w:tcW w:type="dxa" w:w="5590"/>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Raise and follow their own requisitions, expense claims and requests. Confirm deliveries of goods they asked for.</w:t>
            </w:r>
          </w:p>
        </w:tc>
      </w:tr>
      <w:tr>
        <w:trPr>
          <w:cantSplit/>
        </w:trPr>
        <w:tc>
          <w:tcPr>
            <w:tcW w:type="dxa" w:w="1735"/>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Approver</w:t>
            </w:r>
          </w:p>
        </w:tc>
        <w:tc>
          <w:tcPr>
            <w:tcW w:type="dxa" w:w="2313"/>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Heads of department, executives</w:t>
            </w:r>
          </w:p>
        </w:tc>
        <w:tc>
          <w:tcPr>
            <w:tcW w:type="dxa" w:w="5590"/>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Approve or reject requisitions, expense claims, purchase orders and contracts. See all records and the reports.</w:t>
            </w:r>
          </w:p>
        </w:tc>
      </w:tr>
      <w:tr>
        <w:trPr>
          <w:cantSplit/>
        </w:trPr>
        <w:tc>
          <w:tcPr>
            <w:tcW w:type="dxa" w:w="1735"/>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Procurement</w:t>
            </w:r>
          </w:p>
        </w:tc>
        <w:tc>
          <w:tcPr>
            <w:tcW w:type="dxa" w:w="2313"/>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Procurement officers, buyers</w:t>
            </w:r>
          </w:p>
        </w:tc>
        <w:tc>
          <w:tcPr>
            <w:tcW w:type="dxa" w:w="5590"/>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Handle requests, the procurement plan, suppliers, contracts, RFQs, purchase orders, stock and the catalogue.</w:t>
            </w:r>
          </w:p>
        </w:tc>
      </w:tr>
      <w:tr>
        <w:trPr>
          <w:cantSplit/>
        </w:trPr>
        <w:tc>
          <w:tcPr>
            <w:tcW w:type="dxa" w:w="1735"/>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Finance</w:t>
            </w:r>
          </w:p>
        </w:tc>
        <w:tc>
          <w:tcPr>
            <w:tcW w:type="dxa" w:w="2313"/>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Accounts payable, finance officers</w:t>
            </w:r>
          </w:p>
        </w:tc>
        <w:tc>
          <w:tcPr>
            <w:tcW w:type="dxa" w:w="5590"/>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Carry out the finance review, manage budgets, capture invoices, record payments and export payment files.</w:t>
            </w:r>
          </w:p>
        </w:tc>
      </w:tr>
      <w:tr>
        <w:trPr>
          <w:cantSplit/>
        </w:trPr>
        <w:tc>
          <w:tcPr>
            <w:tcW w:type="dxa" w:w="1735"/>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Administrator</w:t>
            </w:r>
          </w:p>
        </w:tc>
        <w:tc>
          <w:tcPr>
            <w:tcW w:type="dxa" w:w="2313"/>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System owner, IT</w:t>
            </w:r>
          </w:p>
        </w:tc>
        <w:tc>
          <w:tcPr>
            <w:tcW w:type="dxa" w:w="5590"/>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Everything above, plus users, departments, addresses, paying accounts, approval rules, modules and other settings.</w:t>
            </w:r>
          </w:p>
        </w:tc>
      </w:tr>
      <w:tr>
        <w:trPr>
          <w:cantSplit/>
        </w:trPr>
        <w:tc>
          <w:tcPr>
            <w:tcW w:type="dxa" w:w="1735"/>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val="false"/>
              <w:spacing w:after="40" w:line="264"/>
            </w:pPr>
            <w:r>
              <w:rPr>
                <w:rFonts w:ascii="Open Sans SemiBold" w:cs="Open Sans SemiBold" w:eastAsia="Open Sans SemiBold" w:hAnsi="Open Sans SemiBold"/>
                <w:color w:val="081D4D"/>
                <w:sz w:val="18"/>
                <w:szCs w:val="18"/>
              </w:rPr>
              <w:t xml:space="preserve">Supplier</w:t>
            </w:r>
          </w:p>
        </w:tc>
        <w:tc>
          <w:tcPr>
            <w:tcW w:type="dxa" w:w="2313"/>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val="false"/>
              <w:spacing w:after="40" w:line="264"/>
            </w:pPr>
            <w:r>
              <w:rPr>
                <w:rFonts w:ascii="Open Sans" w:cs="Open Sans" w:eastAsia="Open Sans" w:hAnsi="Open Sans"/>
                <w:sz w:val="18"/>
                <w:szCs w:val="18"/>
              </w:rPr>
              <w:t xml:space="preserve">People at a supplier company</w:t>
            </w:r>
          </w:p>
        </w:tc>
        <w:tc>
          <w:tcPr>
            <w:tcW w:type="dxa" w:w="5590"/>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val="false"/>
              <w:spacing w:after="40" w:line="264"/>
            </w:pPr>
            <w:r>
              <w:rPr>
                <w:rFonts w:ascii="Open Sans" w:cs="Open Sans" w:eastAsia="Open Sans" w:hAnsi="Open Sans"/>
                <w:sz w:val="18"/>
                <w:szCs w:val="18"/>
              </w:rPr>
              <w:t xml:space="preserve">Use the supplier portal only. They see their own RFQ invitations, quotes, purchase orders, invoices, documents and messages, and nothing else.</w:t>
            </w:r>
          </w:p>
        </w:tc>
      </w:tr>
    </w:tbl>
    <w:p>
      <w:pPr>
        <w:spacing w:after="120"/>
      </w:pPr>
    </w:p>
    <w:p>
      <w:pPr>
        <w:pStyle w:val="Heading2"/>
        <w:keepNext/>
      </w:pPr>
      <w:r>
        <w:t xml:space="preserve">Covering for each other</w:t>
      </w:r>
    </w:p>
    <w:p>
      <w:pPr>
        <w:spacing w:after="140" w:before="0" w:line="300"/>
      </w:pPr>
      <w:r>
        <w:rPr>
          <w:rFonts w:ascii="Open Sans" w:cs="Open Sans" w:eastAsia="Open Sans" w:hAnsi="Open Sans"/>
        </w:rPr>
        <w:t xml:space="preserve">People go on leave. Under </w:t>
      </w:r>
      <w:r>
        <w:rPr>
          <w:rFonts w:ascii="Open Sans SemiBold" w:cs="Open Sans SemiBold" w:eastAsia="Open Sans SemiBold" w:hAnsi="Open Sans SemiBold"/>
          <w:color w:val="081D4D"/>
        </w:rPr>
        <w:t xml:space="preserve">Out of office</w:t>
      </w:r>
      <w:r>
        <w:rPr>
          <w:rFonts w:ascii="Open Sans" w:cs="Open Sans" w:eastAsia="Open Sans" w:hAnsi="Open Sans"/>
        </w:rPr>
        <w:t xml:space="preserve"> in the user menu, anyone who approves can hand their approvals to a colleague until a chosen date. The colleague then sees those items in their own list, and each decision they make is recorded as "approved on behalf of" the original approver, so the audit trail stays accurate.</w:t>
      </w:r>
    </w:p>
    <w:p>
      <w:pPr>
        <w:pageBreakBefore/>
        <w:spacing w:after="40"/>
      </w:pPr>
      <w:r>
        <w:rPr>
          <w:rFonts w:ascii="Poppins SemiBold" w:cs="Poppins SemiBold" w:eastAsia="Poppins SemiBold" w:hAnsi="Poppins SemiBold"/>
          <w:color w:val="1565C0"/>
          <w:spacing w:val="40"/>
          <w:sz w:val="17"/>
          <w:szCs w:val="17"/>
        </w:rPr>
        <w:t xml:space="preserve">SECTION 03</w:t>
      </w:r>
    </w:p>
    <w:p>
      <w:pPr>
        <w:pStyle w:val="Heading1"/>
        <w:pBdr>
          <w:bottom w:val="single" w:color="5FD6FF" w:sz="18" w:space="8"/>
        </w:pBdr>
      </w:pPr>
      <w:r>
        <w:t xml:space="preserve">How a purchase moves through PERA</w:t>
      </w:r>
    </w:p>
    <w:p>
      <w:pPr>
        <w:spacing w:after="140" w:before="0" w:line="300"/>
      </w:pPr>
      <w:r>
        <w:rPr>
          <w:rFonts w:ascii="Open Sans" w:cs="Open Sans" w:eastAsia="Open Sans" w:hAnsi="Open Sans"/>
        </w:rPr>
        <w:t xml:space="preserve">The easiest way to understand PERA is to follow one purchase from beginning to end. A purchase goes through seven stages. Some stages are skipped for simpler cases, which are covered later in this section.</w:t>
      </w:r>
    </w:p>
    <w:tbl>
      <w:tblPr>
        <w:tblW w:type="dxa" w:w="963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6"/>
        <w:gridCol w:w="1376"/>
        <w:gridCol w:w="1376"/>
        <w:gridCol w:w="1376"/>
        <w:gridCol w:w="1376"/>
        <w:gridCol w:w="1376"/>
        <w:gridCol w:w="1376"/>
      </w:tblGrid>
      <w:tr>
        <w:trPr>
          <w:cantSplit/>
        </w:trPr>
        <w:tc>
          <w:tcPr>
            <w:tcW w:type="dxa" w:w="1376"/>
            <w:tcBorders>
              <w:top w:val="single" w:color="FFFFFF" w:sz="24"/>
              <w:left w:val="single" w:color="FFFFFF" w:sz="24"/>
              <w:bottom w:val="single" w:color="FFFFFF" w:sz="24"/>
              <w:right w:val="single" w:color="FFFFFF" w:sz="24"/>
            </w:tcBorders>
            <w:shd w:fill="081D4D" w:color="auto" w:val="clear"/>
            <w:tcMar>
              <w:top w:type="dxa" w:w="130"/>
              <w:left w:type="dxa" w:w="80"/>
              <w:bottom w:type="dxa" w:w="120"/>
              <w:right w:type="dxa" w:w="80"/>
            </w:tcMar>
            <w:vAlign w:val="center"/>
          </w:tcPr>
          <w:p>
            <w:pPr>
              <w:spacing w:after="20"/>
              <w:jc w:val="center"/>
            </w:pPr>
            <w:r>
              <w:rPr>
                <w:rFonts w:ascii="Poppins SemiBold" w:cs="Poppins SemiBold" w:eastAsia="Poppins SemiBold" w:hAnsi="Poppins SemiBold"/>
                <w:color w:val="5FD6FF"/>
                <w:sz w:val="26"/>
                <w:szCs w:val="26"/>
              </w:rPr>
              <w:t xml:space="preserve">1</w:t>
            </w:r>
          </w:p>
          <w:p>
            <w:pPr>
              <w:spacing w:after="0" w:line="240"/>
              <w:jc w:val="center"/>
            </w:pPr>
            <w:r>
              <w:rPr>
                <w:rFonts w:ascii="Poppins SemiBold" w:cs="Poppins SemiBold" w:eastAsia="Poppins SemiBold" w:hAnsi="Poppins SemiBold"/>
                <w:color w:val="FFFFFF"/>
                <w:sz w:val="16"/>
                <w:szCs w:val="16"/>
              </w:rPr>
              <w:t xml:space="preserve">Requisition</w:t>
            </w:r>
          </w:p>
        </w:tc>
        <w:tc>
          <w:tcPr>
            <w:tcW w:type="dxa" w:w="1376"/>
            <w:tcBorders>
              <w:top w:val="single" w:color="FFFFFF" w:sz="24"/>
              <w:left w:val="single" w:color="FFFFFF" w:sz="24"/>
              <w:bottom w:val="single" w:color="FFFFFF" w:sz="24"/>
              <w:right w:val="single" w:color="FFFFFF" w:sz="24"/>
            </w:tcBorders>
            <w:shd w:fill="081D4D" w:color="auto" w:val="clear"/>
            <w:tcMar>
              <w:top w:type="dxa" w:w="130"/>
              <w:left w:type="dxa" w:w="80"/>
              <w:bottom w:type="dxa" w:w="120"/>
              <w:right w:type="dxa" w:w="80"/>
            </w:tcMar>
            <w:vAlign w:val="center"/>
          </w:tcPr>
          <w:p>
            <w:pPr>
              <w:spacing w:after="20"/>
              <w:jc w:val="center"/>
            </w:pPr>
            <w:r>
              <w:rPr>
                <w:rFonts w:ascii="Poppins SemiBold" w:cs="Poppins SemiBold" w:eastAsia="Poppins SemiBold" w:hAnsi="Poppins SemiBold"/>
                <w:color w:val="5FD6FF"/>
                <w:sz w:val="26"/>
                <w:szCs w:val="26"/>
              </w:rPr>
              <w:t xml:space="preserve">2</w:t>
            </w:r>
          </w:p>
          <w:p>
            <w:pPr>
              <w:spacing w:after="0" w:line="240"/>
              <w:jc w:val="center"/>
            </w:pPr>
            <w:r>
              <w:rPr>
                <w:rFonts w:ascii="Poppins SemiBold" w:cs="Poppins SemiBold" w:eastAsia="Poppins SemiBold" w:hAnsi="Poppins SemiBold"/>
                <w:color w:val="FFFFFF"/>
                <w:sz w:val="16"/>
                <w:szCs w:val="16"/>
              </w:rPr>
              <w:t xml:space="preserve">Approval</w:t>
            </w:r>
          </w:p>
        </w:tc>
        <w:tc>
          <w:tcPr>
            <w:tcW w:type="dxa" w:w="1376"/>
            <w:tcBorders>
              <w:top w:val="single" w:color="FFFFFF" w:sz="24"/>
              <w:left w:val="single" w:color="FFFFFF" w:sz="24"/>
              <w:bottom w:val="single" w:color="FFFFFF" w:sz="24"/>
              <w:right w:val="single" w:color="FFFFFF" w:sz="24"/>
            </w:tcBorders>
            <w:shd w:fill="0F2E66" w:color="auto" w:val="clear"/>
            <w:tcMar>
              <w:top w:type="dxa" w:w="130"/>
              <w:left w:type="dxa" w:w="80"/>
              <w:bottom w:type="dxa" w:w="120"/>
              <w:right w:type="dxa" w:w="80"/>
            </w:tcMar>
            <w:vAlign w:val="center"/>
          </w:tcPr>
          <w:p>
            <w:pPr>
              <w:spacing w:after="20"/>
              <w:jc w:val="center"/>
            </w:pPr>
            <w:r>
              <w:rPr>
                <w:rFonts w:ascii="Poppins SemiBold" w:cs="Poppins SemiBold" w:eastAsia="Poppins SemiBold" w:hAnsi="Poppins SemiBold"/>
                <w:color w:val="5FD6FF"/>
                <w:sz w:val="26"/>
                <w:szCs w:val="26"/>
              </w:rPr>
              <w:t xml:space="preserve">3</w:t>
            </w:r>
          </w:p>
          <w:p>
            <w:pPr>
              <w:spacing w:after="0" w:line="240"/>
              <w:jc w:val="center"/>
            </w:pPr>
            <w:r>
              <w:rPr>
                <w:rFonts w:ascii="Poppins SemiBold" w:cs="Poppins SemiBold" w:eastAsia="Poppins SemiBold" w:hAnsi="Poppins SemiBold"/>
                <w:color w:val="FFFFFF"/>
                <w:sz w:val="16"/>
                <w:szCs w:val="16"/>
              </w:rPr>
              <w:t xml:space="preserve">Finance review</w:t>
            </w:r>
          </w:p>
        </w:tc>
        <w:tc>
          <w:tcPr>
            <w:tcW w:type="dxa" w:w="1376"/>
            <w:tcBorders>
              <w:top w:val="single" w:color="FFFFFF" w:sz="24"/>
              <w:left w:val="single" w:color="FFFFFF" w:sz="24"/>
              <w:bottom w:val="single" w:color="FFFFFF" w:sz="24"/>
              <w:right w:val="single" w:color="FFFFFF" w:sz="24"/>
            </w:tcBorders>
            <w:shd w:fill="1565C0" w:color="auto" w:val="clear"/>
            <w:tcMar>
              <w:top w:type="dxa" w:w="130"/>
              <w:left w:type="dxa" w:w="80"/>
              <w:bottom w:type="dxa" w:w="120"/>
              <w:right w:type="dxa" w:w="80"/>
            </w:tcMar>
            <w:vAlign w:val="center"/>
          </w:tcPr>
          <w:p>
            <w:pPr>
              <w:spacing w:after="20"/>
              <w:jc w:val="center"/>
            </w:pPr>
            <w:r>
              <w:rPr>
                <w:rFonts w:ascii="Poppins SemiBold" w:cs="Poppins SemiBold" w:eastAsia="Poppins SemiBold" w:hAnsi="Poppins SemiBold"/>
                <w:color w:val="5FD6FF"/>
                <w:sz w:val="26"/>
                <w:szCs w:val="26"/>
              </w:rPr>
              <w:t xml:space="preserve">4</w:t>
            </w:r>
          </w:p>
          <w:p>
            <w:pPr>
              <w:spacing w:after="0" w:line="240"/>
              <w:jc w:val="center"/>
            </w:pPr>
            <w:r>
              <w:rPr>
                <w:rFonts w:ascii="Poppins SemiBold" w:cs="Poppins SemiBold" w:eastAsia="Poppins SemiBold" w:hAnsi="Poppins SemiBold"/>
                <w:color w:val="FFFFFF"/>
                <w:sz w:val="16"/>
                <w:szCs w:val="16"/>
              </w:rPr>
              <w:t xml:space="preserve">Sourcing and order</w:t>
            </w:r>
          </w:p>
        </w:tc>
        <w:tc>
          <w:tcPr>
            <w:tcW w:type="dxa" w:w="1376"/>
            <w:tcBorders>
              <w:top w:val="single" w:color="FFFFFF" w:sz="24"/>
              <w:left w:val="single" w:color="FFFFFF" w:sz="24"/>
              <w:bottom w:val="single" w:color="FFFFFF" w:sz="24"/>
              <w:right w:val="single" w:color="FFFFFF" w:sz="24"/>
            </w:tcBorders>
            <w:shd w:fill="1565C0" w:color="auto" w:val="clear"/>
            <w:tcMar>
              <w:top w:type="dxa" w:w="130"/>
              <w:left w:type="dxa" w:w="80"/>
              <w:bottom w:type="dxa" w:w="120"/>
              <w:right w:type="dxa" w:w="80"/>
            </w:tcMar>
            <w:vAlign w:val="center"/>
          </w:tcPr>
          <w:p>
            <w:pPr>
              <w:spacing w:after="20"/>
              <w:jc w:val="center"/>
            </w:pPr>
            <w:r>
              <w:rPr>
                <w:rFonts w:ascii="Poppins SemiBold" w:cs="Poppins SemiBold" w:eastAsia="Poppins SemiBold" w:hAnsi="Poppins SemiBold"/>
                <w:color w:val="5FD6FF"/>
                <w:sz w:val="26"/>
                <w:szCs w:val="26"/>
              </w:rPr>
              <w:t xml:space="preserve">5</w:t>
            </w:r>
          </w:p>
          <w:p>
            <w:pPr>
              <w:spacing w:after="0" w:line="240"/>
              <w:jc w:val="center"/>
            </w:pPr>
            <w:r>
              <w:rPr>
                <w:rFonts w:ascii="Poppins SemiBold" w:cs="Poppins SemiBold" w:eastAsia="Poppins SemiBold" w:hAnsi="Poppins SemiBold"/>
                <w:color w:val="FFFFFF"/>
                <w:sz w:val="16"/>
                <w:szCs w:val="16"/>
              </w:rPr>
              <w:t xml:space="preserve">Delivery</w:t>
            </w:r>
          </w:p>
        </w:tc>
        <w:tc>
          <w:tcPr>
            <w:tcW w:type="dxa" w:w="1376"/>
            <w:tcBorders>
              <w:top w:val="single" w:color="FFFFFF" w:sz="24"/>
              <w:left w:val="single" w:color="FFFFFF" w:sz="24"/>
              <w:bottom w:val="single" w:color="FFFFFF" w:sz="24"/>
              <w:right w:val="single" w:color="FFFFFF" w:sz="24"/>
            </w:tcBorders>
            <w:shd w:fill="2EC4F1" w:color="auto" w:val="clear"/>
            <w:tcMar>
              <w:top w:type="dxa" w:w="130"/>
              <w:left w:type="dxa" w:w="80"/>
              <w:bottom w:type="dxa" w:w="120"/>
              <w:right w:type="dxa" w:w="80"/>
            </w:tcMar>
            <w:vAlign w:val="center"/>
          </w:tcPr>
          <w:p>
            <w:pPr>
              <w:spacing w:after="20"/>
              <w:jc w:val="center"/>
            </w:pPr>
            <w:r>
              <w:rPr>
                <w:rFonts w:ascii="Poppins SemiBold" w:cs="Poppins SemiBold" w:eastAsia="Poppins SemiBold" w:hAnsi="Poppins SemiBold"/>
                <w:color w:val="081D4D"/>
                <w:sz w:val="26"/>
                <w:szCs w:val="26"/>
              </w:rPr>
              <w:t xml:space="preserve">6</w:t>
            </w:r>
          </w:p>
          <w:p>
            <w:pPr>
              <w:spacing w:after="0" w:line="240"/>
              <w:jc w:val="center"/>
            </w:pPr>
            <w:r>
              <w:rPr>
                <w:rFonts w:ascii="Poppins SemiBold" w:cs="Poppins SemiBold" w:eastAsia="Poppins SemiBold" w:hAnsi="Poppins SemiBold"/>
                <w:color w:val="081D4D"/>
                <w:sz w:val="16"/>
                <w:szCs w:val="16"/>
              </w:rPr>
              <w:t xml:space="preserve">Invoice match</w:t>
            </w:r>
          </w:p>
        </w:tc>
        <w:tc>
          <w:tcPr>
            <w:tcW w:type="dxa" w:w="1376"/>
            <w:tcBorders>
              <w:top w:val="single" w:color="FFFFFF" w:sz="24"/>
              <w:left w:val="single" w:color="FFFFFF" w:sz="24"/>
              <w:bottom w:val="single" w:color="FFFFFF" w:sz="24"/>
              <w:right w:val="single" w:color="FFFFFF" w:sz="24"/>
            </w:tcBorders>
            <w:shd w:fill="5FD6FF" w:color="auto" w:val="clear"/>
            <w:tcMar>
              <w:top w:type="dxa" w:w="130"/>
              <w:left w:type="dxa" w:w="80"/>
              <w:bottom w:type="dxa" w:w="120"/>
              <w:right w:type="dxa" w:w="80"/>
            </w:tcMar>
            <w:vAlign w:val="center"/>
          </w:tcPr>
          <w:p>
            <w:pPr>
              <w:spacing w:after="20"/>
              <w:jc w:val="center"/>
            </w:pPr>
            <w:r>
              <w:rPr>
                <w:rFonts w:ascii="Poppins SemiBold" w:cs="Poppins SemiBold" w:eastAsia="Poppins SemiBold" w:hAnsi="Poppins SemiBold"/>
                <w:color w:val="081D4D"/>
                <w:sz w:val="26"/>
                <w:szCs w:val="26"/>
              </w:rPr>
              <w:t xml:space="preserve">7</w:t>
            </w:r>
          </w:p>
          <w:p>
            <w:pPr>
              <w:spacing w:after="0" w:line="240"/>
              <w:jc w:val="center"/>
            </w:pPr>
            <w:r>
              <w:rPr>
                <w:rFonts w:ascii="Poppins SemiBold" w:cs="Poppins SemiBold" w:eastAsia="Poppins SemiBold" w:hAnsi="Poppins SemiBold"/>
                <w:color w:val="081D4D"/>
                <w:sz w:val="16"/>
                <w:szCs w:val="16"/>
              </w:rPr>
              <w:t xml:space="preserve">Payment</w:t>
            </w:r>
          </w:p>
        </w:tc>
      </w:tr>
    </w:tbl>
    <w:p>
      <w:pPr>
        <w:spacing w:after="160"/>
      </w:pPr>
    </w:p>
    <w:tbl>
      <w:tblPr>
        <w:tblW w:type="dxa" w:w="9638"/>
        <w:tblBorders>
          <w:top w:val="none" w:color="FFFFFF" w:sz="0"/>
          <w:left w:val="none" w:color="FFFFFF" w:sz="0"/>
          <w:bottom w:val="single" w:color="081D4D" w:sz="8"/>
          <w:right w:val="none" w:color="FFFFFF" w:sz="0"/>
          <w:insideH w:val="none" w:color="FFFFFF" w:sz="0"/>
          <w:insideV w:val="none" w:color="FFFFFF" w:sz="0"/>
        </w:tblBorders>
        <w:tblLayout w:type="fixed"/>
      </w:tblPr>
      <w:tblGrid>
        <w:gridCol w:w="700"/>
        <w:gridCol w:w="2000"/>
        <w:gridCol w:w="1900"/>
        <w:gridCol w:w="5038"/>
      </w:tblGrid>
      <w:tr>
        <w:trPr>
          <w:tblHeader/>
        </w:trPr>
        <w:tc>
          <w:tcPr>
            <w:tcW w:type="dxa" w:w="700"/>
            <w:tcBorders>
              <w:top w:val="none" w:color="FFFFFF" w:sz="0"/>
              <w:left w:val="none" w:color="FFFFFF" w:sz="0"/>
              <w:bottom w:val="none" w:color="FFFFFF" w:sz="0"/>
              <w:right w:val="none" w:color="FFFFFF" w:sz="0"/>
            </w:tcBorders>
            <w:shd w:fill="081D4D" w:color="auto" w:val="clear"/>
            <w:tcMar>
              <w:top w:type="dxa" w:w="90"/>
              <w:left w:type="dxa" w:w="120"/>
              <w:bottom w:type="dxa" w:w="60"/>
              <w:right w:type="dxa" w:w="120"/>
            </w:tcMar>
            <w:vAlign w:val="top"/>
          </w:tcPr>
          <w:p>
            <w:pPr>
              <w:spacing w:after="40" w:line="264"/>
            </w:pPr>
          </w:p>
        </w:tc>
        <w:tc>
          <w:tcPr>
            <w:tcW w:type="dxa" w:w="2000"/>
            <w:tcBorders>
              <w:top w:val="none" w:color="FFFFFF" w:sz="0"/>
              <w:left w:val="none" w:color="FFFFFF" w:sz="0"/>
              <w:bottom w:val="none" w:color="FFFFFF" w:sz="0"/>
              <w:right w:val="none" w:color="FFFFFF" w:sz="0"/>
            </w:tcBorders>
            <w:shd w:fill="081D4D" w:color="auto" w:val="clear"/>
            <w:tcMar>
              <w:top w:type="dxa" w:w="90"/>
              <w:left w:type="dxa" w:w="120"/>
              <w:bottom w:type="dxa" w:w="60"/>
              <w:right w:type="dxa" w:w="120"/>
            </w:tcMar>
            <w:vAlign w:val="top"/>
          </w:tcPr>
          <w:p>
            <w:pPr>
              <w:spacing w:after="40" w:line="264"/>
            </w:pPr>
            <w:r>
              <w:rPr>
                <w:rFonts w:ascii="Poppins SemiBold" w:cs="Poppins SemiBold" w:eastAsia="Poppins SemiBold" w:hAnsi="Poppins SemiBold"/>
                <w:color w:val="FFFFFF"/>
                <w:sz w:val="17"/>
                <w:szCs w:val="17"/>
              </w:rPr>
              <w:t xml:space="preserve">Stage</w:t>
            </w:r>
          </w:p>
        </w:tc>
        <w:tc>
          <w:tcPr>
            <w:tcW w:type="dxa" w:w="1900"/>
            <w:tcBorders>
              <w:top w:val="none" w:color="FFFFFF" w:sz="0"/>
              <w:left w:val="none" w:color="FFFFFF" w:sz="0"/>
              <w:bottom w:val="none" w:color="FFFFFF" w:sz="0"/>
              <w:right w:val="none" w:color="FFFFFF" w:sz="0"/>
            </w:tcBorders>
            <w:shd w:fill="081D4D" w:color="auto" w:val="clear"/>
            <w:tcMar>
              <w:top w:type="dxa" w:w="90"/>
              <w:left w:type="dxa" w:w="120"/>
              <w:bottom w:type="dxa" w:w="60"/>
              <w:right w:type="dxa" w:w="120"/>
            </w:tcMar>
            <w:vAlign w:val="top"/>
          </w:tcPr>
          <w:p>
            <w:pPr>
              <w:spacing w:after="40" w:line="264"/>
            </w:pPr>
            <w:r>
              <w:rPr>
                <w:rFonts w:ascii="Poppins SemiBold" w:cs="Poppins SemiBold" w:eastAsia="Poppins SemiBold" w:hAnsi="Poppins SemiBold"/>
                <w:color w:val="FFFFFF"/>
                <w:sz w:val="17"/>
                <w:szCs w:val="17"/>
              </w:rPr>
              <w:t xml:space="preserve">Who</w:t>
            </w:r>
          </w:p>
        </w:tc>
        <w:tc>
          <w:tcPr>
            <w:tcW w:type="dxa" w:w="5038"/>
            <w:tcBorders>
              <w:top w:val="none" w:color="FFFFFF" w:sz="0"/>
              <w:left w:val="none" w:color="FFFFFF" w:sz="0"/>
              <w:bottom w:val="none" w:color="FFFFFF" w:sz="0"/>
              <w:right w:val="none" w:color="FFFFFF" w:sz="0"/>
            </w:tcBorders>
            <w:shd w:fill="081D4D" w:color="auto" w:val="clear"/>
            <w:tcMar>
              <w:top w:type="dxa" w:w="90"/>
              <w:left w:type="dxa" w:w="120"/>
              <w:bottom w:type="dxa" w:w="60"/>
              <w:right w:type="dxa" w:w="120"/>
            </w:tcMar>
            <w:vAlign w:val="top"/>
          </w:tcPr>
          <w:p>
            <w:pPr>
              <w:spacing w:after="40" w:line="264"/>
            </w:pPr>
            <w:r>
              <w:rPr>
                <w:rFonts w:ascii="Poppins SemiBold" w:cs="Poppins SemiBold" w:eastAsia="Poppins SemiBold" w:hAnsi="Poppins SemiBold"/>
                <w:color w:val="FFFFFF"/>
                <w:sz w:val="17"/>
                <w:szCs w:val="17"/>
              </w:rPr>
              <w:t xml:space="preserve">What happens</w:t>
            </w:r>
          </w:p>
        </w:tc>
      </w:tr>
      <w:tr>
        <w:trPr>
          <w:cantSplit/>
        </w:trPr>
        <w:tc>
          <w:tcPr>
            <w:tcW w:type="dxa" w:w="700"/>
            <w:tcBorders>
              <w:top w:val="none" w:color="FFFFFF" w:sz="0"/>
              <w:left w:val="none" w:color="FFFFFF" w:sz="0"/>
              <w:bottom w:val="single" w:color="D6DEEB" w:sz="4"/>
              <w:right w:val="none" w:color="FFFFFF" w:sz="0"/>
            </w:tcBorders>
            <w:shd w:fill="E3F7FF" w:color="auto" w:val="clear"/>
            <w:tcMar>
              <w:top w:type="dxa" w:w="90"/>
              <w:left w:type="dxa" w:w="120"/>
              <w:bottom w:type="dxa" w:w="60"/>
              <w:right w:type="dxa" w:w="120"/>
            </w:tcMar>
            <w:vAlign w:val="center"/>
          </w:tcPr>
          <w:p>
            <w:pPr>
              <w:jc w:val="center"/>
            </w:pPr>
            <w:r>
              <w:rPr>
                <w:rFonts w:ascii="Poppins SemiBold" w:cs="Poppins SemiBold" w:eastAsia="Poppins SemiBold" w:hAnsi="Poppins SemiBold"/>
                <w:color w:val="081D4D"/>
                <w:sz w:val="24"/>
                <w:szCs w:val="24"/>
              </w:rPr>
              <w:t xml:space="preserve">1</w:t>
            </w:r>
          </w:p>
        </w:tc>
        <w:tc>
          <w:tcPr>
            <w:tcW w:type="dxa" w:w="2000"/>
            <w:tcBorders>
              <w:top w:val="none" w:color="FFFFFF" w:sz="0"/>
              <w:left w:val="none" w:color="FFFFFF" w:sz="0"/>
              <w:bottom w:val="single" w:color="D6DEEB" w:sz="4"/>
              <w:right w:val="none" w:color="FFFFFF" w:sz="0"/>
            </w:tcBorders>
            <w:tcMar>
              <w:top w:type="dxa" w:w="90"/>
              <w:left w:type="dxa" w:w="120"/>
              <w:bottom w:type="dxa" w:w="60"/>
              <w:right w:type="dxa" w:w="120"/>
            </w:tcMar>
            <w:vAlign w:val="top"/>
          </w:tcPr>
          <w:p>
            <w:pPr>
              <w:spacing w:after="40" w:line="264"/>
            </w:pPr>
            <w:r>
              <w:rPr>
                <w:rFonts w:ascii="Open Sans SemiBold" w:cs="Open Sans SemiBold" w:eastAsia="Open Sans SemiBold" w:hAnsi="Open Sans SemiBold"/>
                <w:color w:val="081D4D"/>
                <w:sz w:val="18"/>
                <w:szCs w:val="18"/>
              </w:rPr>
              <w:t xml:space="preserve">Requisition</w:t>
            </w:r>
          </w:p>
        </w:tc>
        <w:tc>
          <w:tcPr>
            <w:tcW w:type="dxa" w:w="1900"/>
            <w:tcBorders>
              <w:top w:val="none" w:color="FFFFFF" w:sz="0"/>
              <w:left w:val="none" w:color="FFFFFF" w:sz="0"/>
              <w:bottom w:val="single" w:color="D6DEEB" w:sz="4"/>
              <w:right w:val="none" w:color="FFFFFF" w:sz="0"/>
            </w:tcBorders>
            <w:tcMar>
              <w:top w:type="dxa" w:w="90"/>
              <w:left w:type="dxa" w:w="120"/>
              <w:bottom w:type="dxa" w:w="60"/>
              <w:right w:type="dxa" w:w="120"/>
            </w:tcMar>
            <w:vAlign w:val="top"/>
          </w:tcPr>
          <w:p>
            <w:pPr>
              <w:spacing w:after="40" w:line="264"/>
            </w:pPr>
            <w:r>
              <w:rPr>
                <w:rFonts w:ascii="Open Sans" w:cs="Open Sans" w:eastAsia="Open Sans" w:hAnsi="Open Sans"/>
                <w:color w:val="4A5A7A"/>
                <w:sz w:val="18"/>
                <w:szCs w:val="18"/>
              </w:rPr>
              <w:t xml:space="preserve">Requester</w:t>
            </w:r>
          </w:p>
        </w:tc>
        <w:tc>
          <w:tcPr>
            <w:tcW w:type="dxa" w:w="5038"/>
            <w:tcBorders>
              <w:top w:val="none" w:color="FFFFFF" w:sz="0"/>
              <w:left w:val="none" w:color="FFFFFF" w:sz="0"/>
              <w:bottom w:val="single" w:color="D6DEEB" w:sz="4"/>
              <w:right w:val="none" w:color="FFFFFF" w:sz="0"/>
            </w:tcBorders>
            <w:tcMar>
              <w:top w:type="dxa" w:w="90"/>
              <w:left w:type="dxa" w:w="120"/>
              <w:bottom w:type="dxa" w:w="60"/>
              <w:right w:type="dxa" w:w="120"/>
            </w:tcMar>
            <w:vAlign w:val="top"/>
          </w:tcPr>
          <w:p>
            <w:pPr>
              <w:spacing w:after="40" w:line="264"/>
            </w:pPr>
            <w:r>
              <w:rPr>
                <w:rFonts w:ascii="Open Sans" w:cs="Open Sans" w:eastAsia="Open Sans" w:hAnsi="Open Sans"/>
                <w:sz w:val="18"/>
                <w:szCs w:val="18"/>
              </w:rPr>
              <w:t xml:space="preserve">Fills in what is needed, why, from whom, the cost, the budget line and the due date, and attaches quotes or other documents. PERA runs its checks, then the request is submitted.</w:t>
            </w:r>
          </w:p>
        </w:tc>
      </w:tr>
      <w:tr>
        <w:trPr>
          <w:cantSplit/>
        </w:trPr>
        <w:tc>
          <w:tcPr>
            <w:tcW w:type="dxa" w:w="700"/>
            <w:tcBorders>
              <w:top w:val="none" w:color="FFFFFF" w:sz="0"/>
              <w:left w:val="none" w:color="FFFFFF" w:sz="0"/>
              <w:bottom w:val="single" w:color="D6DEEB" w:sz="4"/>
              <w:right w:val="none" w:color="FFFFFF" w:sz="0"/>
            </w:tcBorders>
            <w:shd w:fill="E3F7FF" w:color="auto" w:val="clear"/>
            <w:tcMar>
              <w:top w:type="dxa" w:w="90"/>
              <w:left w:type="dxa" w:w="120"/>
              <w:bottom w:type="dxa" w:w="60"/>
              <w:right w:type="dxa" w:w="120"/>
            </w:tcMar>
            <w:vAlign w:val="center"/>
          </w:tcPr>
          <w:p>
            <w:pPr>
              <w:jc w:val="center"/>
            </w:pPr>
            <w:r>
              <w:rPr>
                <w:rFonts w:ascii="Poppins SemiBold" w:cs="Poppins SemiBold" w:eastAsia="Poppins SemiBold" w:hAnsi="Poppins SemiBold"/>
                <w:color w:val="081D4D"/>
                <w:sz w:val="24"/>
                <w:szCs w:val="24"/>
              </w:rPr>
              <w:t xml:space="preserve">2</w:t>
            </w:r>
          </w:p>
        </w:tc>
        <w:tc>
          <w:tcPr>
            <w:tcW w:type="dxa" w:w="2000"/>
            <w:tcBorders>
              <w:top w:val="none" w:color="FFFFFF" w:sz="0"/>
              <w:left w:val="none" w:color="FFFFFF" w:sz="0"/>
              <w:bottom w:val="single" w:color="D6DEEB" w:sz="4"/>
              <w:right w:val="none" w:color="FFFFFF" w:sz="0"/>
            </w:tcBorders>
            <w:tcMar>
              <w:top w:type="dxa" w:w="90"/>
              <w:left w:type="dxa" w:w="120"/>
              <w:bottom w:type="dxa" w:w="60"/>
              <w:right w:type="dxa" w:w="120"/>
            </w:tcMar>
            <w:vAlign w:val="top"/>
          </w:tcPr>
          <w:p>
            <w:pPr>
              <w:spacing w:after="40" w:line="264"/>
            </w:pPr>
            <w:r>
              <w:rPr>
                <w:rFonts w:ascii="Open Sans SemiBold" w:cs="Open Sans SemiBold" w:eastAsia="Open Sans SemiBold" w:hAnsi="Open Sans SemiBold"/>
                <w:color w:val="081D4D"/>
                <w:sz w:val="18"/>
                <w:szCs w:val="18"/>
              </w:rPr>
              <w:t xml:space="preserve">Approval</w:t>
            </w:r>
          </w:p>
        </w:tc>
        <w:tc>
          <w:tcPr>
            <w:tcW w:type="dxa" w:w="1900"/>
            <w:tcBorders>
              <w:top w:val="none" w:color="FFFFFF" w:sz="0"/>
              <w:left w:val="none" w:color="FFFFFF" w:sz="0"/>
              <w:bottom w:val="single" w:color="D6DEEB" w:sz="4"/>
              <w:right w:val="none" w:color="FFFFFF" w:sz="0"/>
            </w:tcBorders>
            <w:tcMar>
              <w:top w:type="dxa" w:w="90"/>
              <w:left w:type="dxa" w:w="120"/>
              <w:bottom w:type="dxa" w:w="60"/>
              <w:right w:type="dxa" w:w="120"/>
            </w:tcMar>
            <w:vAlign w:val="top"/>
          </w:tcPr>
          <w:p>
            <w:pPr>
              <w:spacing w:after="40" w:line="264"/>
            </w:pPr>
            <w:r>
              <w:rPr>
                <w:rFonts w:ascii="Open Sans" w:cs="Open Sans" w:eastAsia="Open Sans" w:hAnsi="Open Sans"/>
                <w:color w:val="4A5A7A"/>
                <w:sz w:val="18"/>
                <w:szCs w:val="18"/>
              </w:rPr>
              <w:t xml:space="preserve">Approvers</w:t>
            </w:r>
          </w:p>
        </w:tc>
        <w:tc>
          <w:tcPr>
            <w:tcW w:type="dxa" w:w="5038"/>
            <w:tcBorders>
              <w:top w:val="none" w:color="FFFFFF" w:sz="0"/>
              <w:left w:val="none" w:color="FFFFFF" w:sz="0"/>
              <w:bottom w:val="single" w:color="D6DEEB" w:sz="4"/>
              <w:right w:val="none" w:color="FFFFFF" w:sz="0"/>
            </w:tcBorders>
            <w:tcMar>
              <w:top w:type="dxa" w:w="90"/>
              <w:left w:type="dxa" w:w="120"/>
              <w:bottom w:type="dxa" w:w="60"/>
              <w:right w:type="dxa" w:w="120"/>
            </w:tcMar>
            <w:vAlign w:val="top"/>
          </w:tcPr>
          <w:p>
            <w:pPr>
              <w:spacing w:after="40" w:line="264"/>
            </w:pPr>
            <w:r>
              <w:rPr>
                <w:rFonts w:ascii="Open Sans" w:cs="Open Sans" w:eastAsia="Open Sans" w:hAnsi="Open Sans"/>
                <w:sz w:val="18"/>
                <w:szCs w:val="18"/>
              </w:rPr>
              <w:t xml:space="preserve">PERA picks the approval route from the amount. Each step is asked in turn and only that step is notified. A rejection needs a written reason and goes back to the requester.</w:t>
            </w:r>
          </w:p>
        </w:tc>
      </w:tr>
      <w:tr>
        <w:trPr>
          <w:cantSplit/>
        </w:trPr>
        <w:tc>
          <w:tcPr>
            <w:tcW w:type="dxa" w:w="700"/>
            <w:tcBorders>
              <w:top w:val="none" w:color="FFFFFF" w:sz="0"/>
              <w:left w:val="none" w:color="FFFFFF" w:sz="0"/>
              <w:bottom w:val="single" w:color="D6DEEB" w:sz="4"/>
              <w:right w:val="none" w:color="FFFFFF" w:sz="0"/>
            </w:tcBorders>
            <w:shd w:fill="E3F7FF" w:color="auto" w:val="clear"/>
            <w:tcMar>
              <w:top w:type="dxa" w:w="90"/>
              <w:left w:type="dxa" w:w="120"/>
              <w:bottom w:type="dxa" w:w="60"/>
              <w:right w:type="dxa" w:w="120"/>
            </w:tcMar>
            <w:vAlign w:val="center"/>
          </w:tcPr>
          <w:p>
            <w:pPr>
              <w:jc w:val="center"/>
            </w:pPr>
            <w:r>
              <w:rPr>
                <w:rFonts w:ascii="Poppins SemiBold" w:cs="Poppins SemiBold" w:eastAsia="Poppins SemiBold" w:hAnsi="Poppins SemiBold"/>
                <w:color w:val="081D4D"/>
                <w:sz w:val="24"/>
                <w:szCs w:val="24"/>
              </w:rPr>
              <w:t xml:space="preserve">3</w:t>
            </w:r>
          </w:p>
        </w:tc>
        <w:tc>
          <w:tcPr>
            <w:tcW w:type="dxa" w:w="2000"/>
            <w:tcBorders>
              <w:top w:val="none" w:color="FFFFFF" w:sz="0"/>
              <w:left w:val="none" w:color="FFFFFF" w:sz="0"/>
              <w:bottom w:val="single" w:color="D6DEEB" w:sz="4"/>
              <w:right w:val="none" w:color="FFFFFF" w:sz="0"/>
            </w:tcBorders>
            <w:tcMar>
              <w:top w:type="dxa" w:w="90"/>
              <w:left w:type="dxa" w:w="120"/>
              <w:bottom w:type="dxa" w:w="60"/>
              <w:right w:type="dxa" w:w="120"/>
            </w:tcMar>
            <w:vAlign w:val="top"/>
          </w:tcPr>
          <w:p>
            <w:pPr>
              <w:spacing w:after="40" w:line="264"/>
            </w:pPr>
            <w:r>
              <w:rPr>
                <w:rFonts w:ascii="Open Sans SemiBold" w:cs="Open Sans SemiBold" w:eastAsia="Open Sans SemiBold" w:hAnsi="Open Sans SemiBold"/>
                <w:color w:val="081D4D"/>
                <w:sz w:val="18"/>
                <w:szCs w:val="18"/>
              </w:rPr>
              <w:t xml:space="preserve">Finance review</w:t>
            </w:r>
          </w:p>
        </w:tc>
        <w:tc>
          <w:tcPr>
            <w:tcW w:type="dxa" w:w="1900"/>
            <w:tcBorders>
              <w:top w:val="none" w:color="FFFFFF" w:sz="0"/>
              <w:left w:val="none" w:color="FFFFFF" w:sz="0"/>
              <w:bottom w:val="single" w:color="D6DEEB" w:sz="4"/>
              <w:right w:val="none" w:color="FFFFFF" w:sz="0"/>
            </w:tcBorders>
            <w:tcMar>
              <w:top w:type="dxa" w:w="90"/>
              <w:left w:type="dxa" w:w="120"/>
              <w:bottom w:type="dxa" w:w="60"/>
              <w:right w:type="dxa" w:w="120"/>
            </w:tcMar>
            <w:vAlign w:val="top"/>
          </w:tcPr>
          <w:p>
            <w:pPr>
              <w:spacing w:after="40" w:line="264"/>
            </w:pPr>
            <w:r>
              <w:rPr>
                <w:rFonts w:ascii="Open Sans" w:cs="Open Sans" w:eastAsia="Open Sans" w:hAnsi="Open Sans"/>
                <w:color w:val="4A5A7A"/>
                <w:sz w:val="18"/>
                <w:szCs w:val="18"/>
              </w:rPr>
              <w:t xml:space="preserve">Finance</w:t>
            </w:r>
          </w:p>
        </w:tc>
        <w:tc>
          <w:tcPr>
            <w:tcW w:type="dxa" w:w="5038"/>
            <w:tcBorders>
              <w:top w:val="none" w:color="FFFFFF" w:sz="0"/>
              <w:left w:val="none" w:color="FFFFFF" w:sz="0"/>
              <w:bottom w:val="single" w:color="D6DEEB" w:sz="4"/>
              <w:right w:val="none" w:color="FFFFFF" w:sz="0"/>
            </w:tcBorders>
            <w:tcMar>
              <w:top w:type="dxa" w:w="90"/>
              <w:left w:type="dxa" w:w="120"/>
              <w:bottom w:type="dxa" w:w="60"/>
              <w:right w:type="dxa" w:w="120"/>
            </w:tcMar>
            <w:vAlign w:val="top"/>
          </w:tcPr>
          <w:p>
            <w:pPr>
              <w:spacing w:after="40" w:line="264"/>
            </w:pPr>
            <w:r>
              <w:rPr>
                <w:rFonts w:ascii="Open Sans" w:cs="Open Sans" w:eastAsia="Open Sans" w:hAnsi="Open Sans"/>
                <w:sz w:val="18"/>
                <w:szCs w:val="18"/>
              </w:rPr>
              <w:t xml:space="preserve">Finance checks the approved request, for example the budget line and supporting documents, and either releases it or returns it with a note.</w:t>
            </w:r>
          </w:p>
        </w:tc>
      </w:tr>
      <w:tr>
        <w:trPr>
          <w:cantSplit/>
        </w:trPr>
        <w:tc>
          <w:tcPr>
            <w:tcW w:type="dxa" w:w="700"/>
            <w:tcBorders>
              <w:top w:val="none" w:color="FFFFFF" w:sz="0"/>
              <w:left w:val="none" w:color="FFFFFF" w:sz="0"/>
              <w:bottom w:val="single" w:color="D6DEEB" w:sz="4"/>
              <w:right w:val="none" w:color="FFFFFF" w:sz="0"/>
            </w:tcBorders>
            <w:shd w:fill="E3F7FF" w:color="auto" w:val="clear"/>
            <w:tcMar>
              <w:top w:type="dxa" w:w="90"/>
              <w:left w:type="dxa" w:w="120"/>
              <w:bottom w:type="dxa" w:w="60"/>
              <w:right w:type="dxa" w:w="120"/>
            </w:tcMar>
            <w:vAlign w:val="center"/>
          </w:tcPr>
          <w:p>
            <w:pPr>
              <w:jc w:val="center"/>
            </w:pPr>
            <w:r>
              <w:rPr>
                <w:rFonts w:ascii="Poppins SemiBold" w:cs="Poppins SemiBold" w:eastAsia="Poppins SemiBold" w:hAnsi="Poppins SemiBold"/>
                <w:color w:val="081D4D"/>
                <w:sz w:val="24"/>
                <w:szCs w:val="24"/>
              </w:rPr>
              <w:t xml:space="preserve">4</w:t>
            </w:r>
          </w:p>
        </w:tc>
        <w:tc>
          <w:tcPr>
            <w:tcW w:type="dxa" w:w="2000"/>
            <w:tcBorders>
              <w:top w:val="none" w:color="FFFFFF" w:sz="0"/>
              <w:left w:val="none" w:color="FFFFFF" w:sz="0"/>
              <w:bottom w:val="single" w:color="D6DEEB" w:sz="4"/>
              <w:right w:val="none" w:color="FFFFFF" w:sz="0"/>
            </w:tcBorders>
            <w:tcMar>
              <w:top w:type="dxa" w:w="90"/>
              <w:left w:type="dxa" w:w="120"/>
              <w:bottom w:type="dxa" w:w="60"/>
              <w:right w:type="dxa" w:w="120"/>
            </w:tcMar>
            <w:vAlign w:val="top"/>
          </w:tcPr>
          <w:p>
            <w:pPr>
              <w:spacing w:after="40" w:line="264"/>
            </w:pPr>
            <w:r>
              <w:rPr>
                <w:rFonts w:ascii="Open Sans SemiBold" w:cs="Open Sans SemiBold" w:eastAsia="Open Sans SemiBold" w:hAnsi="Open Sans SemiBold"/>
                <w:color w:val="081D4D"/>
                <w:sz w:val="18"/>
                <w:szCs w:val="18"/>
              </w:rPr>
              <w:t xml:space="preserve">Sourcing and order</w:t>
            </w:r>
          </w:p>
        </w:tc>
        <w:tc>
          <w:tcPr>
            <w:tcW w:type="dxa" w:w="1900"/>
            <w:tcBorders>
              <w:top w:val="none" w:color="FFFFFF" w:sz="0"/>
              <w:left w:val="none" w:color="FFFFFF" w:sz="0"/>
              <w:bottom w:val="single" w:color="D6DEEB" w:sz="4"/>
              <w:right w:val="none" w:color="FFFFFF" w:sz="0"/>
            </w:tcBorders>
            <w:tcMar>
              <w:top w:type="dxa" w:w="90"/>
              <w:left w:type="dxa" w:w="120"/>
              <w:bottom w:type="dxa" w:w="60"/>
              <w:right w:type="dxa" w:w="120"/>
            </w:tcMar>
            <w:vAlign w:val="top"/>
          </w:tcPr>
          <w:p>
            <w:pPr>
              <w:spacing w:after="40" w:line="264"/>
            </w:pPr>
            <w:r>
              <w:rPr>
                <w:rFonts w:ascii="Open Sans" w:cs="Open Sans" w:eastAsia="Open Sans" w:hAnsi="Open Sans"/>
                <w:color w:val="4A5A7A"/>
                <w:sz w:val="18"/>
                <w:szCs w:val="18"/>
              </w:rPr>
              <w:t xml:space="preserve">Procurement</w:t>
            </w:r>
          </w:p>
        </w:tc>
        <w:tc>
          <w:tcPr>
            <w:tcW w:type="dxa" w:w="5038"/>
            <w:tcBorders>
              <w:top w:val="none" w:color="FFFFFF" w:sz="0"/>
              <w:left w:val="none" w:color="FFFFFF" w:sz="0"/>
              <w:bottom w:val="single" w:color="D6DEEB" w:sz="4"/>
              <w:right w:val="none" w:color="FFFFFF" w:sz="0"/>
            </w:tcBorders>
            <w:tcMar>
              <w:top w:type="dxa" w:w="90"/>
              <w:left w:type="dxa" w:w="120"/>
              <w:bottom w:type="dxa" w:w="60"/>
              <w:right w:type="dxa" w:w="120"/>
            </w:tcMar>
            <w:vAlign w:val="top"/>
          </w:tcPr>
          <w:p>
            <w:pPr>
              <w:spacing w:after="40" w:line="264"/>
            </w:pPr>
            <w:r>
              <w:rPr>
                <w:rFonts w:ascii="Open Sans" w:cs="Open Sans" w:eastAsia="Open Sans" w:hAnsi="Open Sans"/>
                <w:sz w:val="18"/>
                <w:szCs w:val="18"/>
              </w:rPr>
              <w:t xml:space="preserve">Procurement gets quotations through an RFQ if needed, then raises a purchase order. The order cannot be for more than was approved.</w:t>
            </w:r>
          </w:p>
        </w:tc>
      </w:tr>
      <w:tr>
        <w:trPr>
          <w:cantSplit/>
        </w:trPr>
        <w:tc>
          <w:tcPr>
            <w:tcW w:type="dxa" w:w="700"/>
            <w:tcBorders>
              <w:top w:val="none" w:color="FFFFFF" w:sz="0"/>
              <w:left w:val="none" w:color="FFFFFF" w:sz="0"/>
              <w:bottom w:val="single" w:color="D6DEEB" w:sz="4"/>
              <w:right w:val="none" w:color="FFFFFF" w:sz="0"/>
            </w:tcBorders>
            <w:shd w:fill="E3F7FF" w:color="auto" w:val="clear"/>
            <w:tcMar>
              <w:top w:type="dxa" w:w="90"/>
              <w:left w:type="dxa" w:w="120"/>
              <w:bottom w:type="dxa" w:w="60"/>
              <w:right w:type="dxa" w:w="120"/>
            </w:tcMar>
            <w:vAlign w:val="center"/>
          </w:tcPr>
          <w:p>
            <w:pPr>
              <w:jc w:val="center"/>
            </w:pPr>
            <w:r>
              <w:rPr>
                <w:rFonts w:ascii="Poppins SemiBold" w:cs="Poppins SemiBold" w:eastAsia="Poppins SemiBold" w:hAnsi="Poppins SemiBold"/>
                <w:color w:val="081D4D"/>
                <w:sz w:val="24"/>
                <w:szCs w:val="24"/>
              </w:rPr>
              <w:t xml:space="preserve">5</w:t>
            </w:r>
          </w:p>
        </w:tc>
        <w:tc>
          <w:tcPr>
            <w:tcW w:type="dxa" w:w="2000"/>
            <w:tcBorders>
              <w:top w:val="none" w:color="FFFFFF" w:sz="0"/>
              <w:left w:val="none" w:color="FFFFFF" w:sz="0"/>
              <w:bottom w:val="single" w:color="D6DEEB" w:sz="4"/>
              <w:right w:val="none" w:color="FFFFFF" w:sz="0"/>
            </w:tcBorders>
            <w:tcMar>
              <w:top w:type="dxa" w:w="90"/>
              <w:left w:type="dxa" w:w="120"/>
              <w:bottom w:type="dxa" w:w="60"/>
              <w:right w:type="dxa" w:w="120"/>
            </w:tcMar>
            <w:vAlign w:val="top"/>
          </w:tcPr>
          <w:p>
            <w:pPr>
              <w:spacing w:after="40" w:line="264"/>
            </w:pPr>
            <w:r>
              <w:rPr>
                <w:rFonts w:ascii="Open Sans SemiBold" w:cs="Open Sans SemiBold" w:eastAsia="Open Sans SemiBold" w:hAnsi="Open Sans SemiBold"/>
                <w:color w:val="081D4D"/>
                <w:sz w:val="18"/>
                <w:szCs w:val="18"/>
              </w:rPr>
              <w:t xml:space="preserve">Delivery</w:t>
            </w:r>
          </w:p>
        </w:tc>
        <w:tc>
          <w:tcPr>
            <w:tcW w:type="dxa" w:w="1900"/>
            <w:tcBorders>
              <w:top w:val="none" w:color="FFFFFF" w:sz="0"/>
              <w:left w:val="none" w:color="FFFFFF" w:sz="0"/>
              <w:bottom w:val="single" w:color="D6DEEB" w:sz="4"/>
              <w:right w:val="none" w:color="FFFFFF" w:sz="0"/>
            </w:tcBorders>
            <w:tcMar>
              <w:top w:type="dxa" w:w="90"/>
              <w:left w:type="dxa" w:w="120"/>
              <w:bottom w:type="dxa" w:w="60"/>
              <w:right w:type="dxa" w:w="120"/>
            </w:tcMar>
            <w:vAlign w:val="top"/>
          </w:tcPr>
          <w:p>
            <w:pPr>
              <w:spacing w:after="40" w:line="264"/>
            </w:pPr>
            <w:r>
              <w:rPr>
                <w:rFonts w:ascii="Open Sans" w:cs="Open Sans" w:eastAsia="Open Sans" w:hAnsi="Open Sans"/>
                <w:color w:val="4A5A7A"/>
                <w:sz w:val="18"/>
                <w:szCs w:val="18"/>
              </w:rPr>
              <w:t xml:space="preserve">Requester</w:t>
            </w:r>
          </w:p>
        </w:tc>
        <w:tc>
          <w:tcPr>
            <w:tcW w:type="dxa" w:w="5038"/>
            <w:tcBorders>
              <w:top w:val="none" w:color="FFFFFF" w:sz="0"/>
              <w:left w:val="none" w:color="FFFFFF" w:sz="0"/>
              <w:bottom w:val="single" w:color="D6DEEB" w:sz="4"/>
              <w:right w:val="none" w:color="FFFFFF" w:sz="0"/>
            </w:tcBorders>
            <w:tcMar>
              <w:top w:type="dxa" w:w="90"/>
              <w:left w:type="dxa" w:w="120"/>
              <w:bottom w:type="dxa" w:w="60"/>
              <w:right w:type="dxa" w:w="120"/>
            </w:tcMar>
            <w:vAlign w:val="top"/>
          </w:tcPr>
          <w:p>
            <w:pPr>
              <w:spacing w:after="40" w:line="264"/>
            </w:pPr>
            <w:r>
              <w:rPr>
                <w:rFonts w:ascii="Open Sans" w:cs="Open Sans" w:eastAsia="Open Sans" w:hAnsi="Open Sans"/>
                <w:sz w:val="18"/>
                <w:szCs w:val="18"/>
              </w:rPr>
              <w:t xml:space="preserve">When the goods or services arrive, the requester records what was received. Partial deliveries are fine. The supplier is rated each time.</w:t>
            </w:r>
          </w:p>
        </w:tc>
      </w:tr>
      <w:tr>
        <w:trPr>
          <w:cantSplit/>
        </w:trPr>
        <w:tc>
          <w:tcPr>
            <w:tcW w:type="dxa" w:w="700"/>
            <w:tcBorders>
              <w:top w:val="none" w:color="FFFFFF" w:sz="0"/>
              <w:left w:val="none" w:color="FFFFFF" w:sz="0"/>
              <w:bottom w:val="single" w:color="D6DEEB" w:sz="4"/>
              <w:right w:val="none" w:color="FFFFFF" w:sz="0"/>
            </w:tcBorders>
            <w:shd w:fill="E3F7FF" w:color="auto" w:val="clear"/>
            <w:tcMar>
              <w:top w:type="dxa" w:w="90"/>
              <w:left w:type="dxa" w:w="120"/>
              <w:bottom w:type="dxa" w:w="60"/>
              <w:right w:type="dxa" w:w="120"/>
            </w:tcMar>
            <w:vAlign w:val="center"/>
          </w:tcPr>
          <w:p>
            <w:pPr>
              <w:jc w:val="center"/>
            </w:pPr>
            <w:r>
              <w:rPr>
                <w:rFonts w:ascii="Poppins SemiBold" w:cs="Poppins SemiBold" w:eastAsia="Poppins SemiBold" w:hAnsi="Poppins SemiBold"/>
                <w:color w:val="081D4D"/>
                <w:sz w:val="24"/>
                <w:szCs w:val="24"/>
              </w:rPr>
              <w:t xml:space="preserve">6</w:t>
            </w:r>
          </w:p>
        </w:tc>
        <w:tc>
          <w:tcPr>
            <w:tcW w:type="dxa" w:w="2000"/>
            <w:tcBorders>
              <w:top w:val="none" w:color="FFFFFF" w:sz="0"/>
              <w:left w:val="none" w:color="FFFFFF" w:sz="0"/>
              <w:bottom w:val="single" w:color="D6DEEB" w:sz="4"/>
              <w:right w:val="none" w:color="FFFFFF" w:sz="0"/>
            </w:tcBorders>
            <w:tcMar>
              <w:top w:type="dxa" w:w="90"/>
              <w:left w:type="dxa" w:w="120"/>
              <w:bottom w:type="dxa" w:w="60"/>
              <w:right w:type="dxa" w:w="120"/>
            </w:tcMar>
            <w:vAlign w:val="top"/>
          </w:tcPr>
          <w:p>
            <w:pPr>
              <w:spacing w:after="40" w:line="264"/>
            </w:pPr>
            <w:r>
              <w:rPr>
                <w:rFonts w:ascii="Open Sans SemiBold" w:cs="Open Sans SemiBold" w:eastAsia="Open Sans SemiBold" w:hAnsi="Open Sans SemiBold"/>
                <w:color w:val="081D4D"/>
                <w:sz w:val="18"/>
                <w:szCs w:val="18"/>
              </w:rPr>
              <w:t xml:space="preserve">Invoice match</w:t>
            </w:r>
          </w:p>
        </w:tc>
        <w:tc>
          <w:tcPr>
            <w:tcW w:type="dxa" w:w="1900"/>
            <w:tcBorders>
              <w:top w:val="none" w:color="FFFFFF" w:sz="0"/>
              <w:left w:val="none" w:color="FFFFFF" w:sz="0"/>
              <w:bottom w:val="single" w:color="D6DEEB" w:sz="4"/>
              <w:right w:val="none" w:color="FFFFFF" w:sz="0"/>
            </w:tcBorders>
            <w:tcMar>
              <w:top w:type="dxa" w:w="90"/>
              <w:left w:type="dxa" w:w="120"/>
              <w:bottom w:type="dxa" w:w="60"/>
              <w:right w:type="dxa" w:w="120"/>
            </w:tcMar>
            <w:vAlign w:val="top"/>
          </w:tcPr>
          <w:p>
            <w:pPr>
              <w:spacing w:after="40" w:line="264"/>
            </w:pPr>
            <w:r>
              <w:rPr>
                <w:rFonts w:ascii="Open Sans" w:cs="Open Sans" w:eastAsia="Open Sans" w:hAnsi="Open Sans"/>
                <w:color w:val="4A5A7A"/>
                <w:sz w:val="18"/>
                <w:szCs w:val="18"/>
              </w:rPr>
              <w:t xml:space="preserve">Finance</w:t>
            </w:r>
          </w:p>
        </w:tc>
        <w:tc>
          <w:tcPr>
            <w:tcW w:type="dxa" w:w="5038"/>
            <w:tcBorders>
              <w:top w:val="none" w:color="FFFFFF" w:sz="0"/>
              <w:left w:val="none" w:color="FFFFFF" w:sz="0"/>
              <w:bottom w:val="single" w:color="D6DEEB" w:sz="4"/>
              <w:right w:val="none" w:color="FFFFFF" w:sz="0"/>
            </w:tcBorders>
            <w:tcMar>
              <w:top w:type="dxa" w:w="90"/>
              <w:left w:type="dxa" w:w="120"/>
              <w:bottom w:type="dxa" w:w="60"/>
              <w:right w:type="dxa" w:w="120"/>
            </w:tcMar>
            <w:vAlign w:val="top"/>
          </w:tcPr>
          <w:p>
            <w:pPr>
              <w:spacing w:after="40" w:line="264"/>
            </w:pPr>
            <w:r>
              <w:rPr>
                <w:rFonts w:ascii="Open Sans" w:cs="Open Sans" w:eastAsia="Open Sans" w:hAnsi="Open Sans"/>
                <w:sz w:val="18"/>
                <w:szCs w:val="18"/>
              </w:rPr>
              <w:t xml:space="preserve">The supplier's invoice is captured and compared with the purchase order and what was actually received. Duplicate invoice numbers are refused.</w:t>
            </w:r>
          </w:p>
        </w:tc>
      </w:tr>
      <w:tr>
        <w:trPr>
          <w:cantSplit/>
        </w:trPr>
        <w:tc>
          <w:tcPr>
            <w:tcW w:type="dxa" w:w="700"/>
            <w:tcBorders>
              <w:top w:val="none" w:color="FFFFFF" w:sz="0"/>
              <w:left w:val="none" w:color="FFFFFF" w:sz="0"/>
              <w:bottom w:val="single" w:color="D6DEEB" w:sz="4"/>
              <w:right w:val="none" w:color="FFFFFF" w:sz="0"/>
            </w:tcBorders>
            <w:shd w:fill="E3F7FF" w:color="auto" w:val="clear"/>
            <w:tcMar>
              <w:top w:type="dxa" w:w="90"/>
              <w:left w:type="dxa" w:w="120"/>
              <w:bottom w:type="dxa" w:w="60"/>
              <w:right w:type="dxa" w:w="120"/>
            </w:tcMar>
            <w:vAlign w:val="center"/>
          </w:tcPr>
          <w:p>
            <w:pPr>
              <w:jc w:val="center"/>
            </w:pPr>
            <w:r>
              <w:rPr>
                <w:rFonts w:ascii="Poppins SemiBold" w:cs="Poppins SemiBold" w:eastAsia="Poppins SemiBold" w:hAnsi="Poppins SemiBold"/>
                <w:color w:val="081D4D"/>
                <w:sz w:val="24"/>
                <w:szCs w:val="24"/>
              </w:rPr>
              <w:t xml:space="preserve">7</w:t>
            </w:r>
          </w:p>
        </w:tc>
        <w:tc>
          <w:tcPr>
            <w:tcW w:type="dxa" w:w="2000"/>
            <w:tcBorders>
              <w:top w:val="none" w:color="FFFFFF" w:sz="0"/>
              <w:left w:val="none" w:color="FFFFFF" w:sz="0"/>
              <w:bottom w:val="single" w:color="D6DEEB" w:sz="4"/>
              <w:right w:val="none" w:color="FFFFFF" w:sz="0"/>
            </w:tcBorders>
            <w:tcMar>
              <w:top w:type="dxa" w:w="90"/>
              <w:left w:type="dxa" w:w="120"/>
              <w:bottom w:type="dxa" w:w="60"/>
              <w:right w:type="dxa" w:w="120"/>
            </w:tcMar>
            <w:vAlign w:val="top"/>
          </w:tcPr>
          <w:p>
            <w:pPr>
              <w:spacing w:after="40" w:line="264"/>
            </w:pPr>
            <w:r>
              <w:rPr>
                <w:rFonts w:ascii="Open Sans SemiBold" w:cs="Open Sans SemiBold" w:eastAsia="Open Sans SemiBold" w:hAnsi="Open Sans SemiBold"/>
                <w:color w:val="081D4D"/>
                <w:sz w:val="18"/>
                <w:szCs w:val="18"/>
              </w:rPr>
              <w:t xml:space="preserve">Payment</w:t>
            </w:r>
          </w:p>
        </w:tc>
        <w:tc>
          <w:tcPr>
            <w:tcW w:type="dxa" w:w="1900"/>
            <w:tcBorders>
              <w:top w:val="none" w:color="FFFFFF" w:sz="0"/>
              <w:left w:val="none" w:color="FFFFFF" w:sz="0"/>
              <w:bottom w:val="single" w:color="D6DEEB" w:sz="4"/>
              <w:right w:val="none" w:color="FFFFFF" w:sz="0"/>
            </w:tcBorders>
            <w:tcMar>
              <w:top w:type="dxa" w:w="90"/>
              <w:left w:type="dxa" w:w="120"/>
              <w:bottom w:type="dxa" w:w="60"/>
              <w:right w:type="dxa" w:w="120"/>
            </w:tcMar>
            <w:vAlign w:val="top"/>
          </w:tcPr>
          <w:p>
            <w:pPr>
              <w:spacing w:after="40" w:line="264"/>
            </w:pPr>
            <w:r>
              <w:rPr>
                <w:rFonts w:ascii="Open Sans" w:cs="Open Sans" w:eastAsia="Open Sans" w:hAnsi="Open Sans"/>
                <w:color w:val="4A5A7A"/>
                <w:sz w:val="18"/>
                <w:szCs w:val="18"/>
              </w:rPr>
              <w:t xml:space="preserve">Finance</w:t>
            </w:r>
          </w:p>
        </w:tc>
        <w:tc>
          <w:tcPr>
            <w:tcW w:type="dxa" w:w="5038"/>
            <w:tcBorders>
              <w:top w:val="none" w:color="FFFFFF" w:sz="0"/>
              <w:left w:val="none" w:color="FFFFFF" w:sz="0"/>
              <w:bottom w:val="single" w:color="D6DEEB" w:sz="4"/>
              <w:right w:val="none" w:color="FFFFFF" w:sz="0"/>
            </w:tcBorders>
            <w:tcMar>
              <w:top w:type="dxa" w:w="90"/>
              <w:left w:type="dxa" w:w="120"/>
              <w:bottom w:type="dxa" w:w="60"/>
              <w:right w:type="dxa" w:w="120"/>
            </w:tcMar>
            <w:vAlign w:val="top"/>
          </w:tcPr>
          <w:p>
            <w:pPr>
              <w:spacing w:after="40" w:line="264"/>
            </w:pPr>
            <w:r>
              <w:rPr>
                <w:rFonts w:ascii="Open Sans" w:cs="Open Sans" w:eastAsia="Open Sans" w:hAnsi="Open Sans"/>
                <w:sz w:val="18"/>
                <w:szCs w:val="18"/>
              </w:rPr>
              <w:t xml:space="preserve">Finance pays from the chosen company account, records proof of payment, and the requisition closes.</w:t>
            </w:r>
          </w:p>
        </w:tc>
      </w:tr>
    </w:tbl>
    <w:p>
      <w:pPr>
        <w:spacing w:after="120"/>
      </w:pPr>
    </w:p>
    <w:p>
      <w:pPr>
        <w:pStyle w:val="Heading2"/>
        <w:keepNext/>
      </w:pPr>
      <w:r>
        <w:t xml:space="preserve">A worked 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5FD6FF" w:sz="36"/>
              <w:bottom w:val="none" w:color="FFFFFF" w:sz="0"/>
              <w:right w:val="none" w:color="FFFFFF" w:sz="0"/>
            </w:tcBorders>
            <w:shd w:fill="E3F7FF" w:color="auto" w:val="clear"/>
            <w:tcMar>
              <w:top w:type="dxa" w:w="140"/>
              <w:left w:type="dxa" w:w="220"/>
              <w:bottom w:type="dxa" w:w="100"/>
              <w:right w:type="dxa" w:w="220"/>
            </w:tcMar>
          </w:tcPr>
          <w:p>
            <w:pPr>
              <w:spacing w:after="60"/>
            </w:pPr>
            <w:r>
              <w:rPr>
                <w:rFonts w:ascii="Poppins SemiBold" w:cs="Poppins SemiBold" w:eastAsia="Poppins SemiBold" w:hAnsi="Poppins SemiBold"/>
                <w:color w:val="081D4D"/>
                <w:sz w:val="18"/>
                <w:szCs w:val="18"/>
              </w:rPr>
              <w:t xml:space="preserve">Example: five laptops for the IT team</w:t>
            </w:r>
          </w:p>
          <w:p>
            <w:pPr>
              <w:spacing w:after="70" w:line="285"/>
            </w:pPr>
            <w:r>
              <w:rPr>
                <w:rFonts w:ascii="Open Sans" w:cs="Open Sans" w:eastAsia="Open Sans" w:hAnsi="Open Sans"/>
                <w:sz w:val="19"/>
                <w:szCs w:val="19"/>
              </w:rPr>
              <w:t xml:space="preserve">The IT manager needs five laptops for new starters and opens </w:t>
            </w:r>
            <w:r>
              <w:rPr>
                <w:rFonts w:ascii="Open Sans SemiBold" w:cs="Open Sans SemiBold" w:eastAsia="Open Sans SemiBold" w:hAnsi="Open Sans SemiBold"/>
                <w:color w:val="081D4D"/>
                <w:sz w:val="19"/>
                <w:szCs w:val="19"/>
              </w:rPr>
              <w:t xml:space="preserve">Create → Requisition</w:t>
            </w:r>
            <w:r>
              <w:rPr>
                <w:rFonts w:ascii="Open Sans" w:cs="Open Sans" w:eastAsia="Open Sans" w:hAnsi="Open Sans"/>
                <w:sz w:val="19"/>
                <w:szCs w:val="19"/>
              </w:rPr>
              <w:t xml:space="preserve">, chooses </w:t>
            </w:r>
            <w:r>
              <w:rPr>
                <w:rFonts w:ascii="Open Sans SemiBold" w:cs="Open Sans SemiBold" w:eastAsia="Open Sans SemiBold" w:hAnsi="Open Sans SemiBold"/>
                <w:color w:val="081D4D"/>
                <w:sz w:val="19"/>
                <w:szCs w:val="19"/>
              </w:rPr>
              <w:t xml:space="preserve">Purchase</w:t>
            </w:r>
            <w:r>
              <w:rPr>
                <w:rFonts w:ascii="Open Sans" w:cs="Open Sans" w:eastAsia="Open Sans" w:hAnsi="Open Sans"/>
                <w:sz w:val="19"/>
                <w:szCs w:val="19"/>
              </w:rPr>
              <w:t xml:space="preserve">, adds a line for five laptops at USD 1,250 each, picks the IT equipment budget line, attaches two supplier quotes and sets a due date three weeks away.</w:t>
            </w:r>
          </w:p>
          <w:p>
            <w:pPr>
              <w:spacing w:after="70" w:line="285"/>
            </w:pPr>
            <w:r>
              <w:rPr>
                <w:rFonts w:ascii="Open Sans" w:cs="Open Sans" w:eastAsia="Open Sans" w:hAnsi="Open Sans"/>
                <w:sz w:val="19"/>
                <w:szCs w:val="19"/>
              </w:rPr>
              <w:t xml:space="preserve">When the requisition is submitted, PERA checks that the due date is in the future, looks for similar requisitions from the last 45 days and checks the budget. Nothing is flagged. The total of USD 6,250 falls into the middle approval tier, which in this company needs any one of the CFO or COO.</w:t>
            </w:r>
          </w:p>
          <w:p>
            <w:pPr>
              <w:spacing w:after="70" w:line="285"/>
            </w:pPr>
            <w:r>
              <w:rPr>
                <w:rFonts w:ascii="Open Sans" w:cs="Open Sans" w:eastAsia="Open Sans" w:hAnsi="Open Sans"/>
                <w:sz w:val="19"/>
                <w:szCs w:val="19"/>
              </w:rPr>
              <w:t xml:space="preserve">The COO approves from the email notification. Finance reviews it the next morning and releases it. The default purchaser in Procurement is already assigned, so they raise a purchase order to the chosen supplier and issue it.</w:t>
            </w:r>
          </w:p>
          <w:p>
            <w:pPr>
              <w:spacing w:after="70" w:line="285"/>
            </w:pPr>
            <w:r>
              <w:rPr>
                <w:rFonts w:ascii="Open Sans" w:cs="Open Sans" w:eastAsia="Open Sans" w:hAnsi="Open Sans"/>
                <w:sz w:val="19"/>
                <w:szCs w:val="19"/>
              </w:rPr>
              <w:t xml:space="preserve">Three laptops arrive first. The IT manager records a partial delivery, then the remaining two a week later. The supplier sends one invoice, Finance captures it and PERA shows a clean match against the order and both deliveries. Finance pays it from the company's USD account and attaches the bank confirmation. The requisition moves to Closed.</w:t>
            </w:r>
          </w:p>
        </w:tc>
      </w:tr>
    </w:tbl>
    <w:p>
      <w:pPr>
        <w:spacing w:after="160"/>
      </w:pPr>
    </w:p>
    <w:p>
      <w:pPr>
        <w:pStyle w:val="Heading2"/>
        <w:keepNext/>
      </w:pPr>
      <w:r>
        <w:t xml:space="preserve">Shorter routes</w:t>
      </w:r>
    </w:p>
    <w:p>
      <w:pPr>
        <w:spacing w:after="140" w:before="0" w:line="300"/>
      </w:pPr>
      <w:r>
        <w:rPr>
          <w:rFonts w:ascii="Open Sans" w:cs="Open Sans" w:eastAsia="Open Sans" w:hAnsi="Open Sans"/>
        </w:rPr>
        <w:t xml:space="preserve">Not everything needs a purchase order. PERA has three shorter routes:</w:t>
      </w:r>
    </w:p>
    <w:p>
      <w:pPr>
        <w:pStyle w:val="ListParagraph"/>
        <w:numPr>
          <w:ilvl w:val="0"/>
          <w:numId w:val="2"/>
        </w:numPr>
        <w:spacing w:after="70" w:line="290"/>
      </w:pPr>
      <w:r>
        <w:rPr>
          <w:rFonts w:ascii="Open Sans SemiBold" w:cs="Open Sans SemiBold" w:eastAsia="Open Sans SemiBold" w:hAnsi="Open Sans SemiBold"/>
          <w:color w:val="081D4D"/>
        </w:rPr>
        <w:t xml:space="preserve">Direct payment requisitions</w:t>
      </w:r>
      <w:r>
        <w:rPr>
          <w:rFonts w:ascii="Open Sans" w:cs="Open Sans" w:eastAsia="Open Sans" w:hAnsi="Open Sans"/>
        </w:rPr>
        <w:t xml:space="preserve"> are for things such as professional fees, subscriptions, petty cash and statutory payments. They are approved and reviewed in the same way, then go straight to Finance for payment with no order or delivery step.</w:t>
      </w:r>
    </w:p>
    <w:p>
      <w:pPr>
        <w:pStyle w:val="ListParagraph"/>
        <w:numPr>
          <w:ilvl w:val="0"/>
          <w:numId w:val="2"/>
        </w:numPr>
        <w:spacing w:after="70" w:line="290"/>
      </w:pPr>
      <w:r>
        <w:rPr>
          <w:rFonts w:ascii="Open Sans SemiBold" w:cs="Open Sans SemiBold" w:eastAsia="Open Sans SemiBold" w:hAnsi="Open Sans SemiBold"/>
          <w:color w:val="081D4D"/>
        </w:rPr>
        <w:t xml:space="preserve">Expense claims</w:t>
      </w:r>
      <w:r>
        <w:rPr>
          <w:rFonts w:ascii="Open Sans" w:cs="Open Sans" w:eastAsia="Open Sans" w:hAnsi="Open Sans"/>
        </w:rPr>
        <w:t xml:space="preserve"> are for money a member of staff has already spent. They are numbered EX-, carry the receipts, and once approved and reviewed Finance reimburses the claimant.</w:t>
      </w:r>
    </w:p>
    <w:p>
      <w:pPr>
        <w:pStyle w:val="ListParagraph"/>
        <w:numPr>
          <w:ilvl w:val="0"/>
          <w:numId w:val="2"/>
        </w:numPr>
        <w:spacing w:after="70" w:line="290"/>
      </w:pPr>
      <w:r>
        <w:rPr>
          <w:rFonts w:ascii="Open Sans SemiBold" w:cs="Open Sans SemiBold" w:eastAsia="Open Sans SemiBold" w:hAnsi="Open Sans SemiBold"/>
          <w:color w:val="081D4D"/>
        </w:rPr>
        <w:t xml:space="preserve">Requests</w:t>
      </w:r>
      <w:r>
        <w:rPr>
          <w:rFonts w:ascii="Open Sans" w:cs="Open Sans" w:eastAsia="Open Sans" w:hAnsi="Open Sans"/>
        </w:rPr>
        <w:t xml:space="preserve"> are internal asks for stores items, repairs, IT support or facilities work. Procurement can issue the item from stock without any spending, or turn the request into a requisition if something has to be bought.</w:t>
      </w:r>
    </w:p>
    <w:p>
      <w:pPr>
        <w:pStyle w:val="Heading2"/>
        <w:keepNext/>
      </w:pPr>
      <w:r>
        <w:t xml:space="preserve">Where a requisition can be</w:t>
      </w:r>
    </w:p>
    <w:p>
      <w:pPr>
        <w:keepNext/>
        <w:spacing w:after="140" w:before="0" w:line="300"/>
      </w:pPr>
      <w:r>
        <w:rPr>
          <w:rFonts w:ascii="Open Sans" w:cs="Open Sans" w:eastAsia="Open Sans" w:hAnsi="Open Sans"/>
        </w:rPr>
        <w:t xml:space="preserve">The Requisitions page has tabs that match these states, so anyone can see at a glance what is waiting where.</w:t>
      </w:r>
    </w:p>
    <w:tbl>
      <w:tblPr>
        <w:tblW w:type="dxa" w:w="9638"/>
        <w:tblBorders>
          <w:top w:val="none" w:color="FFFFFF" w:sz="0"/>
          <w:left w:val="none" w:color="FFFFFF" w:sz="0"/>
          <w:bottom w:val="single" w:color="081D4D" w:sz="8"/>
          <w:right w:val="none" w:color="FFFFFF" w:sz="0"/>
          <w:insideH w:val="none" w:color="FFFFFF" w:sz="0"/>
          <w:insideV w:val="none" w:color="FFFFFF" w:sz="0"/>
        </w:tblBorders>
        <w:tblLayout w:type="fixed"/>
      </w:tblPr>
      <w:tblGrid>
        <w:gridCol w:w="2120"/>
        <w:gridCol w:w="7518"/>
      </w:tblGrid>
      <w:tr>
        <w:trPr>
          <w:cantSplit/>
          <w:tblHeader/>
        </w:trPr>
        <w:tc>
          <w:tcPr>
            <w:tcW w:type="dxa" w:w="2120"/>
            <w:tcBorders>
              <w:top w:val="none" w:color="FFFFFF" w:sz="0"/>
              <w:left w:val="none" w:color="FFFFFF" w:sz="0"/>
              <w:bottom w:val="none" w:color="FFFFFF" w:sz="0"/>
              <w:right w:val="none" w:color="FFFFFF" w:sz="0"/>
            </w:tcBorders>
            <w:shd w:fill="081D4D" w:color="auto" w:val="clear"/>
            <w:tcMar>
              <w:top w:type="dxa" w:w="100"/>
              <w:left w:type="dxa" w:w="120"/>
              <w:bottom w:type="dxa" w:w="80"/>
              <w:right w:type="dxa" w:w="120"/>
            </w:tcMar>
            <w:vAlign w:val="top"/>
          </w:tcPr>
          <w:p>
            <w:pPr>
              <w:keepNext/>
              <w:spacing w:after="40" w:line="264"/>
            </w:pPr>
            <w:r>
              <w:rPr>
                <w:rFonts w:ascii="Poppins SemiBold" w:cs="Poppins SemiBold" w:eastAsia="Poppins SemiBold" w:hAnsi="Poppins SemiBold"/>
                <w:color w:val="FFFFFF"/>
                <w:sz w:val="17"/>
                <w:szCs w:val="17"/>
              </w:rPr>
              <w:t xml:space="preserve">Tab</w:t>
            </w:r>
          </w:p>
        </w:tc>
        <w:tc>
          <w:tcPr>
            <w:tcW w:type="dxa" w:w="7518"/>
            <w:tcBorders>
              <w:top w:val="none" w:color="FFFFFF" w:sz="0"/>
              <w:left w:val="none" w:color="FFFFFF" w:sz="0"/>
              <w:bottom w:val="none" w:color="FFFFFF" w:sz="0"/>
              <w:right w:val="none" w:color="FFFFFF" w:sz="0"/>
            </w:tcBorders>
            <w:shd w:fill="081D4D" w:color="auto" w:val="clear"/>
            <w:tcMar>
              <w:top w:type="dxa" w:w="100"/>
              <w:left w:type="dxa" w:w="120"/>
              <w:bottom w:type="dxa" w:w="80"/>
              <w:right w:type="dxa" w:w="120"/>
            </w:tcMar>
            <w:vAlign w:val="top"/>
          </w:tcPr>
          <w:p>
            <w:pPr>
              <w:keepNext/>
              <w:spacing w:after="40" w:line="264"/>
            </w:pPr>
            <w:r>
              <w:rPr>
                <w:rFonts w:ascii="Poppins SemiBold" w:cs="Poppins SemiBold" w:eastAsia="Poppins SemiBold" w:hAnsi="Poppins SemiBold"/>
                <w:color w:val="FFFFFF"/>
                <w:sz w:val="17"/>
                <w:szCs w:val="17"/>
              </w:rPr>
              <w:t xml:space="preserve">Meaning</w:t>
            </w:r>
          </w:p>
        </w:tc>
      </w:tr>
      <w:tr>
        <w:trPr>
          <w:cantSplit/>
        </w:trPr>
        <w:tc>
          <w:tcPr>
            <w:tcW w:type="dxa" w:w="2120"/>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Drafts</w:t>
            </w:r>
          </w:p>
        </w:tc>
        <w:tc>
          <w:tcPr>
            <w:tcW w:type="dxa" w:w="7518"/>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Saved but not yet submitted. Only drafts can be edited.</w:t>
            </w:r>
          </w:p>
        </w:tc>
      </w:tr>
      <w:tr>
        <w:trPr>
          <w:cantSplit/>
        </w:trPr>
        <w:tc>
          <w:tcPr>
            <w:tcW w:type="dxa" w:w="2120"/>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Pending</w:t>
            </w:r>
          </w:p>
        </w:tc>
        <w:tc>
          <w:tcPr>
            <w:tcW w:type="dxa" w:w="7518"/>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Submitted and waiting for one or more approvers.</w:t>
            </w:r>
          </w:p>
        </w:tc>
      </w:tr>
      <w:tr>
        <w:trPr>
          <w:cantSplit/>
        </w:trPr>
        <w:tc>
          <w:tcPr>
            <w:tcW w:type="dxa" w:w="2120"/>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Pending review</w:t>
            </w:r>
          </w:p>
        </w:tc>
        <w:tc>
          <w:tcPr>
            <w:tcW w:type="dxa" w:w="7518"/>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Approved and waiting for the finance review.</w:t>
            </w:r>
          </w:p>
        </w:tc>
      </w:tr>
      <w:tr>
        <w:trPr>
          <w:cantSplit/>
        </w:trPr>
        <w:tc>
          <w:tcPr>
            <w:tcW w:type="dxa" w:w="2120"/>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Open</w:t>
            </w:r>
          </w:p>
        </w:tc>
        <w:tc>
          <w:tcPr>
            <w:tcW w:type="dxa" w:w="7518"/>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Released by Finance and being sourced, ordered, delivered or invoiced.</w:t>
            </w:r>
          </w:p>
        </w:tc>
      </w:tr>
      <w:tr>
        <w:trPr>
          <w:cantSplit/>
        </w:trPr>
        <w:tc>
          <w:tcPr>
            <w:tcW w:type="dxa" w:w="2120"/>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Fulfilled</w:t>
            </w:r>
          </w:p>
        </w:tc>
        <w:tc>
          <w:tcPr>
            <w:tcW w:type="dxa" w:w="7518"/>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A purchase whose goods have all been received and which is waiting for payment.</w:t>
            </w:r>
          </w:p>
        </w:tc>
      </w:tr>
      <w:tr>
        <w:trPr>
          <w:cantSplit/>
        </w:trPr>
        <w:tc>
          <w:tcPr>
            <w:tcW w:type="dxa" w:w="2120"/>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Closed</w:t>
            </w:r>
          </w:p>
        </w:tc>
        <w:tc>
          <w:tcPr>
            <w:tcW w:type="dxa" w:w="7518"/>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Paid, rejected or withdrawn.</w:t>
            </w:r>
          </w:p>
        </w:tc>
      </w:tr>
      <w:tr>
        <w:trPr>
          <w:cantSplit/>
        </w:trPr>
        <w:tc>
          <w:tcPr>
            <w:tcW w:type="dxa" w:w="2120"/>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val="false"/>
              <w:spacing w:after="40" w:line="264"/>
            </w:pPr>
            <w:r>
              <w:rPr>
                <w:rFonts w:ascii="Open Sans SemiBold" w:cs="Open Sans SemiBold" w:eastAsia="Open Sans SemiBold" w:hAnsi="Open Sans SemiBold"/>
                <w:color w:val="081D4D"/>
                <w:sz w:val="18"/>
                <w:szCs w:val="18"/>
              </w:rPr>
              <w:t xml:space="preserve">Overdue</w:t>
            </w:r>
          </w:p>
        </w:tc>
        <w:tc>
          <w:tcPr>
            <w:tcW w:type="dxa" w:w="7518"/>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val="false"/>
              <w:spacing w:after="40" w:line="264"/>
            </w:pPr>
            <w:r>
              <w:rPr>
                <w:rFonts w:ascii="Open Sans" w:cs="Open Sans" w:eastAsia="Open Sans" w:hAnsi="Open Sans"/>
                <w:sz w:val="18"/>
                <w:szCs w:val="18"/>
              </w:rPr>
              <w:t xml:space="preserve">Past its due date and not yet closed.</w:t>
            </w:r>
          </w:p>
        </w:tc>
      </w:tr>
    </w:tbl>
    <w:p>
      <w:pPr>
        <w:spacing w:after="120"/>
      </w:pPr>
    </w:p>
    <w:p>
      <w:pPr>
        <w:pageBreakBefore/>
        <w:spacing w:after="40"/>
      </w:pPr>
      <w:r>
        <w:rPr>
          <w:rFonts w:ascii="Poppins SemiBold" w:cs="Poppins SemiBold" w:eastAsia="Poppins SemiBold" w:hAnsi="Poppins SemiBold"/>
          <w:color w:val="1565C0"/>
          <w:spacing w:val="40"/>
          <w:sz w:val="17"/>
          <w:szCs w:val="17"/>
        </w:rPr>
        <w:t xml:space="preserve">SECTION 04</w:t>
      </w:r>
    </w:p>
    <w:p>
      <w:pPr>
        <w:pStyle w:val="Heading1"/>
        <w:pBdr>
          <w:bottom w:val="single" w:color="5FD6FF" w:sz="18" w:space="8"/>
        </w:pBdr>
      </w:pPr>
      <w:r>
        <w:t xml:space="preserve">Raising a requisition</w:t>
      </w:r>
    </w:p>
    <w:p>
      <w:pPr>
        <w:spacing w:after="140" w:before="0" w:line="300"/>
      </w:pPr>
      <w:r>
        <w:rPr>
          <w:rFonts w:ascii="Open Sans" w:cs="Open Sans" w:eastAsia="Open Sans" w:hAnsi="Open Sans"/>
        </w:rPr>
        <w:t xml:space="preserve">A requisition is opened from </w:t>
      </w:r>
      <w:r>
        <w:rPr>
          <w:rFonts w:ascii="Open Sans SemiBold" w:cs="Open Sans SemiBold" w:eastAsia="Open Sans SemiBold" w:hAnsi="Open Sans SemiBold"/>
          <w:color w:val="081D4D"/>
        </w:rPr>
        <w:t xml:space="preserve">Create → Requisition</w:t>
      </w:r>
      <w:r>
        <w:rPr>
          <w:rFonts w:ascii="Open Sans" w:cs="Open Sans" w:eastAsia="Open Sans" w:hAnsi="Open Sans"/>
        </w:rPr>
        <w:t xml:space="preserve">, or from a line in the procurement plan. It can also be started by </w:t>
      </w:r>
      <w:r>
        <w:rPr>
          <w:rFonts w:ascii="Open Sans SemiBold" w:cs="Open Sans SemiBold" w:eastAsia="Open Sans SemiBold" w:hAnsi="Open Sans SemiBold"/>
          <w:color w:val="081D4D"/>
        </w:rPr>
        <w:t xml:space="preserve">Smart scan</w:t>
      </w:r>
      <w:r>
        <w:rPr>
          <w:rFonts w:ascii="Open Sans" w:cs="Open Sans" w:eastAsia="Open Sans" w:hAnsi="Open Sans"/>
        </w:rPr>
        <w:t xml:space="preserve">: upload a quote or invoice as a PDF or photo and PERA reads it and fills in the supplier, lines and amounts for you to check. Smart scan runs inside the browser. Nothing is sent to an outside service.</w:t>
      </w:r>
    </w:p>
    <w:p>
      <w:pPr>
        <w:pStyle w:val="Heading2"/>
        <w:keepNext/>
      </w:pPr>
      <w:r>
        <w:t xml:space="preserve">What goes on a requisition</w:t>
      </w:r>
    </w:p>
    <w:tbl>
      <w:tblPr>
        <w:tblW w:type="dxa" w:w="9638"/>
        <w:tblBorders>
          <w:top w:val="none" w:color="FFFFFF" w:sz="0"/>
          <w:left w:val="none" w:color="FFFFFF" w:sz="0"/>
          <w:bottom w:val="single" w:color="081D4D" w:sz="8"/>
          <w:right w:val="none" w:color="FFFFFF" w:sz="0"/>
          <w:insideH w:val="none" w:color="FFFFFF" w:sz="0"/>
          <w:insideV w:val="none" w:color="FFFFFF" w:sz="0"/>
        </w:tblBorders>
        <w:tblLayout w:type="fixed"/>
      </w:tblPr>
      <w:tblGrid>
        <w:gridCol w:w="2313"/>
        <w:gridCol w:w="7325"/>
      </w:tblGrid>
      <w:tr>
        <w:trPr>
          <w:cantSplit/>
          <w:tblHeader/>
        </w:trPr>
        <w:tc>
          <w:tcPr>
            <w:tcW w:type="dxa" w:w="2313"/>
            <w:tcBorders>
              <w:top w:val="none" w:color="FFFFFF" w:sz="0"/>
              <w:left w:val="none" w:color="FFFFFF" w:sz="0"/>
              <w:bottom w:val="none" w:color="FFFFFF" w:sz="0"/>
              <w:right w:val="none" w:color="FFFFFF" w:sz="0"/>
            </w:tcBorders>
            <w:shd w:fill="081D4D" w:color="auto" w:val="clear"/>
            <w:tcMar>
              <w:top w:type="dxa" w:w="100"/>
              <w:left w:type="dxa" w:w="120"/>
              <w:bottom w:type="dxa" w:w="80"/>
              <w:right w:type="dxa" w:w="120"/>
            </w:tcMar>
            <w:vAlign w:val="top"/>
          </w:tcPr>
          <w:p>
            <w:pPr>
              <w:keepNext/>
              <w:spacing w:after="40" w:line="264"/>
            </w:pPr>
            <w:r>
              <w:rPr>
                <w:rFonts w:ascii="Poppins SemiBold" w:cs="Poppins SemiBold" w:eastAsia="Poppins SemiBold" w:hAnsi="Poppins SemiBold"/>
                <w:color w:val="FFFFFF"/>
                <w:sz w:val="17"/>
                <w:szCs w:val="17"/>
              </w:rPr>
              <w:t xml:space="preserve">Field</w:t>
            </w:r>
          </w:p>
        </w:tc>
        <w:tc>
          <w:tcPr>
            <w:tcW w:type="dxa" w:w="7325"/>
            <w:tcBorders>
              <w:top w:val="none" w:color="FFFFFF" w:sz="0"/>
              <w:left w:val="none" w:color="FFFFFF" w:sz="0"/>
              <w:bottom w:val="none" w:color="FFFFFF" w:sz="0"/>
              <w:right w:val="none" w:color="FFFFFF" w:sz="0"/>
            </w:tcBorders>
            <w:shd w:fill="081D4D" w:color="auto" w:val="clear"/>
            <w:tcMar>
              <w:top w:type="dxa" w:w="100"/>
              <w:left w:type="dxa" w:w="120"/>
              <w:bottom w:type="dxa" w:w="80"/>
              <w:right w:type="dxa" w:w="120"/>
            </w:tcMar>
            <w:vAlign w:val="top"/>
          </w:tcPr>
          <w:p>
            <w:pPr>
              <w:keepNext/>
              <w:spacing w:after="40" w:line="264"/>
            </w:pPr>
            <w:r>
              <w:rPr>
                <w:rFonts w:ascii="Poppins SemiBold" w:cs="Poppins SemiBold" w:eastAsia="Poppins SemiBold" w:hAnsi="Poppins SemiBold"/>
                <w:color w:val="FFFFFF"/>
                <w:sz w:val="17"/>
                <w:szCs w:val="17"/>
              </w:rPr>
              <w:t xml:space="preserve">Notes</w:t>
            </w:r>
          </w:p>
        </w:tc>
      </w:tr>
      <w:tr>
        <w:trPr>
          <w:cantSplit/>
        </w:trPr>
        <w:tc>
          <w:tcPr>
            <w:tcW w:type="dxa" w:w="2313"/>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Type</w:t>
            </w:r>
          </w:p>
        </w:tc>
        <w:tc>
          <w:tcPr>
            <w:tcW w:type="dxa" w:w="7325"/>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Purchase (goes through a purchase order) or Direct payment (fees, petty cash, claims and similar).</w:t>
            </w:r>
          </w:p>
        </w:tc>
      </w:tr>
      <w:tr>
        <w:trPr>
          <w:cantSplit/>
        </w:trPr>
        <w:tc>
          <w:tcPr>
            <w:tcW w:type="dxa" w:w="2313"/>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Title and justification</w:t>
            </w:r>
          </w:p>
        </w:tc>
        <w:tc>
          <w:tcPr>
            <w:tcW w:type="dxa" w:w="7325"/>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What is needed and why. Approvers read this first, so it should be specific.</w:t>
            </w:r>
          </w:p>
        </w:tc>
      </w:tr>
      <w:tr>
        <w:trPr>
          <w:cantSplit/>
        </w:trPr>
        <w:tc>
          <w:tcPr>
            <w:tcW w:type="dxa" w:w="2313"/>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Supplier or payee</w:t>
            </w:r>
          </w:p>
        </w:tc>
        <w:tc>
          <w:tcPr>
            <w:tcW w:type="dxa" w:w="7325"/>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Picked from the supplier register, or typed for a one-off payee on a direct payment.</w:t>
            </w:r>
          </w:p>
        </w:tc>
      </w:tr>
      <w:tr>
        <w:trPr>
          <w:cantSplit/>
        </w:trPr>
        <w:tc>
          <w:tcPr>
            <w:tcW w:type="dxa" w:w="2313"/>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Lines</w:t>
            </w:r>
          </w:p>
        </w:tc>
        <w:tc>
          <w:tcPr>
            <w:tcW w:type="dxa" w:w="7325"/>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Item, quantity, unit price and currency. Items can come from the catalogue. Amounts in other currencies are converted using the rates in Settings.</w:t>
            </w:r>
          </w:p>
        </w:tc>
      </w:tr>
      <w:tr>
        <w:trPr>
          <w:cantSplit/>
        </w:trPr>
        <w:tc>
          <w:tcPr>
            <w:tcW w:type="dxa" w:w="2313"/>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Budget line</w:t>
            </w:r>
          </w:p>
        </w:tc>
        <w:tc>
          <w:tcPr>
            <w:tcW w:type="dxa" w:w="7325"/>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The budget the money comes from. PERA shows what is still available on it.</w:t>
            </w:r>
          </w:p>
        </w:tc>
      </w:tr>
      <w:tr>
        <w:trPr>
          <w:cantSplit/>
        </w:trPr>
        <w:tc>
          <w:tcPr>
            <w:tcW w:type="dxa" w:w="2313"/>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Contract</w:t>
            </w:r>
          </w:p>
        </w:tc>
        <w:tc>
          <w:tcPr>
            <w:tcW w:type="dxa" w:w="7325"/>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Optional. Links the purchase to an existing contract so that contract spend can be reported.</w:t>
            </w:r>
          </w:p>
        </w:tc>
      </w:tr>
      <w:tr>
        <w:trPr>
          <w:cantSplit/>
        </w:trPr>
        <w:tc>
          <w:tcPr>
            <w:tcW w:type="dxa" w:w="2313"/>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Due date</w:t>
            </w:r>
          </w:p>
        </w:tc>
        <w:tc>
          <w:tcPr>
            <w:tcW w:type="dxa" w:w="7325"/>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When it is needed. It cannot be a date that has already passed.</w:t>
            </w:r>
          </w:p>
        </w:tc>
      </w:tr>
      <w:tr>
        <w:trPr>
          <w:cantSplit/>
        </w:trPr>
        <w:tc>
          <w:tcPr>
            <w:tcW w:type="dxa" w:w="2313"/>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Pay from</w:t>
            </w:r>
          </w:p>
        </w:tc>
        <w:tc>
          <w:tcPr>
            <w:tcW w:type="dxa" w:w="7325"/>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Which of the company's own accounts should pay, for example the USD FCA or petty cash.</w:t>
            </w:r>
          </w:p>
        </w:tc>
      </w:tr>
      <w:tr>
        <w:trPr>
          <w:cantSplit/>
        </w:trPr>
        <w:tc>
          <w:tcPr>
            <w:tcW w:type="dxa" w:w="2313"/>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Delivery address</w:t>
            </w:r>
          </w:p>
        </w:tc>
        <w:tc>
          <w:tcPr>
            <w:tcW w:type="dxa" w:w="7325"/>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Where goods should go. Defaults to the address marked as default.</w:t>
            </w:r>
          </w:p>
        </w:tc>
      </w:tr>
      <w:tr>
        <w:trPr>
          <w:cantSplit/>
        </w:trPr>
        <w:tc>
          <w:tcPr>
            <w:tcW w:type="dxa" w:w="2313"/>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Distribution address</w:t>
            </w:r>
          </w:p>
        </w:tc>
        <w:tc>
          <w:tcPr>
            <w:tcW w:type="dxa" w:w="7325"/>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Where the supplier should send the invoice.</w:t>
            </w:r>
          </w:p>
        </w:tc>
      </w:tr>
      <w:tr>
        <w:trPr>
          <w:cantSplit/>
        </w:trPr>
        <w:tc>
          <w:tcPr>
            <w:tcW w:type="dxa" w:w="2313"/>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val="false"/>
              <w:spacing w:after="40" w:line="264"/>
            </w:pPr>
            <w:r>
              <w:rPr>
                <w:rFonts w:ascii="Open Sans SemiBold" w:cs="Open Sans SemiBold" w:eastAsia="Open Sans SemiBold" w:hAnsi="Open Sans SemiBold"/>
                <w:color w:val="081D4D"/>
                <w:sz w:val="18"/>
                <w:szCs w:val="18"/>
              </w:rPr>
              <w:t xml:space="preserve">Documents</w:t>
            </w:r>
          </w:p>
        </w:tc>
        <w:tc>
          <w:tcPr>
            <w:tcW w:type="dxa" w:w="7325"/>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val="false"/>
              <w:spacing w:after="40" w:line="264"/>
            </w:pPr>
            <w:r>
              <w:rPr>
                <w:rFonts w:ascii="Open Sans" w:cs="Open Sans" w:eastAsia="Open Sans" w:hAnsi="Open Sans"/>
                <w:sz w:val="18"/>
                <w:szCs w:val="18"/>
              </w:rPr>
              <w:t xml:space="preserve">Quotes, pro-forma invoices, approvals from elsewhere. Every file gets a fingerprint when uploaded (see section 13).</w:t>
            </w:r>
          </w:p>
        </w:tc>
      </w:tr>
    </w:tbl>
    <w:p>
      <w:pPr>
        <w:spacing w:after="120"/>
      </w:pPr>
    </w:p>
    <w:p>
      <w:pPr>
        <w:pStyle w:val="Heading2"/>
        <w:keepNext/>
      </w:pPr>
      <w:r>
        <w:t xml:space="preserve">Checks PERA makes before submitting</w:t>
      </w:r>
    </w:p>
    <w:p>
      <w:pPr>
        <w:spacing w:after="140" w:before="0" w:line="300"/>
      </w:pPr>
      <w:r>
        <w:rPr>
          <w:rFonts w:ascii="Open Sans" w:cs="Open Sans" w:eastAsia="Open Sans" w:hAnsi="Open Sans"/>
        </w:rPr>
        <w:t xml:space="preserve">Before a requisition goes to its approvers, PERA shows a preview of the approval route and runs the checks below. The point is to catch problems before an approver has to.</w:t>
      </w:r>
    </w:p>
    <w:tbl>
      <w:tblPr>
        <w:tblW w:type="dxa" w:w="9638"/>
        <w:tblBorders>
          <w:top w:val="none" w:color="FFFFFF" w:sz="0"/>
          <w:left w:val="none" w:color="FFFFFF" w:sz="0"/>
          <w:bottom w:val="single" w:color="081D4D" w:sz="8"/>
          <w:right w:val="none" w:color="FFFFFF" w:sz="0"/>
          <w:insideH w:val="none" w:color="FFFFFF" w:sz="0"/>
          <w:insideV w:val="none" w:color="FFFFFF" w:sz="0"/>
        </w:tblBorders>
        <w:tblLayout w:type="fixed"/>
      </w:tblPr>
      <w:tblGrid>
        <w:gridCol w:w="2313"/>
        <w:gridCol w:w="7325"/>
      </w:tblGrid>
      <w:tr>
        <w:trPr>
          <w:cantSplit/>
          <w:tblHeader/>
        </w:trPr>
        <w:tc>
          <w:tcPr>
            <w:tcW w:type="dxa" w:w="2313"/>
            <w:tcBorders>
              <w:top w:val="none" w:color="FFFFFF" w:sz="0"/>
              <w:left w:val="none" w:color="FFFFFF" w:sz="0"/>
              <w:bottom w:val="none" w:color="FFFFFF" w:sz="0"/>
              <w:right w:val="none" w:color="FFFFFF" w:sz="0"/>
            </w:tcBorders>
            <w:shd w:fill="081D4D" w:color="auto" w:val="clear"/>
            <w:tcMar>
              <w:top w:type="dxa" w:w="100"/>
              <w:left w:type="dxa" w:w="120"/>
              <w:bottom w:type="dxa" w:w="80"/>
              <w:right w:type="dxa" w:w="120"/>
            </w:tcMar>
            <w:vAlign w:val="top"/>
          </w:tcPr>
          <w:p>
            <w:pPr>
              <w:keepNext/>
              <w:spacing w:after="40" w:line="264"/>
            </w:pPr>
            <w:r>
              <w:rPr>
                <w:rFonts w:ascii="Poppins SemiBold" w:cs="Poppins SemiBold" w:eastAsia="Poppins SemiBold" w:hAnsi="Poppins SemiBold"/>
                <w:color w:val="FFFFFF"/>
                <w:sz w:val="17"/>
                <w:szCs w:val="17"/>
              </w:rPr>
              <w:t xml:space="preserve">Check</w:t>
            </w:r>
          </w:p>
        </w:tc>
        <w:tc>
          <w:tcPr>
            <w:tcW w:type="dxa" w:w="7325"/>
            <w:tcBorders>
              <w:top w:val="none" w:color="FFFFFF" w:sz="0"/>
              <w:left w:val="none" w:color="FFFFFF" w:sz="0"/>
              <w:bottom w:val="none" w:color="FFFFFF" w:sz="0"/>
              <w:right w:val="none" w:color="FFFFFF" w:sz="0"/>
            </w:tcBorders>
            <w:shd w:fill="081D4D" w:color="auto" w:val="clear"/>
            <w:tcMar>
              <w:top w:type="dxa" w:w="100"/>
              <w:left w:type="dxa" w:w="120"/>
              <w:bottom w:type="dxa" w:w="80"/>
              <w:right w:type="dxa" w:w="120"/>
            </w:tcMar>
            <w:vAlign w:val="top"/>
          </w:tcPr>
          <w:p>
            <w:pPr>
              <w:keepNext/>
              <w:spacing w:after="40" w:line="264"/>
            </w:pPr>
            <w:r>
              <w:rPr>
                <w:rFonts w:ascii="Poppins SemiBold" w:cs="Poppins SemiBold" w:eastAsia="Poppins SemiBold" w:hAnsi="Poppins SemiBold"/>
                <w:color w:val="FFFFFF"/>
                <w:sz w:val="17"/>
                <w:szCs w:val="17"/>
              </w:rPr>
              <w:t xml:space="preserve">What happens</w:t>
            </w:r>
          </w:p>
        </w:tc>
      </w:tr>
      <w:tr>
        <w:trPr>
          <w:cantSplit/>
        </w:trPr>
        <w:tc>
          <w:tcPr>
            <w:tcW w:type="dxa" w:w="2313"/>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Due date</w:t>
            </w:r>
          </w:p>
        </w:tc>
        <w:tc>
          <w:tcPr>
            <w:tcW w:type="dxa" w:w="7325"/>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A due date in the past is refused. The database enforces this as well as the form.</w:t>
            </w:r>
          </w:p>
        </w:tc>
      </w:tr>
      <w:tr>
        <w:trPr>
          <w:cantSplit/>
        </w:trPr>
        <w:tc>
          <w:tcPr>
            <w:tcW w:type="dxa" w:w="2313"/>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Possible duplicate</w:t>
            </w:r>
          </w:p>
        </w:tc>
        <w:tc>
          <w:tcPr>
            <w:tcW w:type="dxa" w:w="7325"/>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PERA looks for requisitions from the last 45 days with the same amount (within 2%) and the same or a similar supplier, payee or name. A spelling slip such as "HUJEEN INVESTMENTS" and "HUJEEN IVESTMENTS" is still caught. The requester has to confirm it is not a duplicate and say why. Approvers then see the warning, the matching records and that explanation.</w:t>
            </w:r>
          </w:p>
        </w:tc>
      </w:tr>
      <w:tr>
        <w:trPr>
          <w:cantSplit/>
        </w:trPr>
        <w:tc>
          <w:tcPr>
            <w:tcW w:type="dxa" w:w="2313"/>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Bank details in the notes</w:t>
            </w:r>
          </w:p>
        </w:tc>
        <w:tc>
          <w:tcPr>
            <w:tcW w:type="dxa" w:w="7325"/>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If the justification contains bank details, PERA compares them with the supplier's verified record. A mismatch shows a red warning. If there is no supplier record to compare with, the warning is amber. Payments only ever use the verified supplier details, never what was typed in the notes.</w:t>
            </w:r>
          </w:p>
        </w:tc>
      </w:tr>
      <w:tr>
        <w:trPr>
          <w:cantSplit/>
        </w:trPr>
        <w:tc>
          <w:tcPr>
            <w:tcW w:type="dxa" w:w="2313"/>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val="false"/>
              <w:spacing w:after="40" w:line="264"/>
            </w:pPr>
            <w:r>
              <w:rPr>
                <w:rFonts w:ascii="Open Sans SemiBold" w:cs="Open Sans SemiBold" w:eastAsia="Open Sans SemiBold" w:hAnsi="Open Sans SemiBold"/>
                <w:color w:val="081D4D"/>
                <w:sz w:val="18"/>
                <w:szCs w:val="18"/>
              </w:rPr>
              <w:t xml:space="preserve">Budget</w:t>
            </w:r>
          </w:p>
        </w:tc>
        <w:tc>
          <w:tcPr>
            <w:tcW w:type="dxa" w:w="7325"/>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val="false"/>
              <w:spacing w:after="40" w:line="264"/>
            </w:pPr>
            <w:r>
              <w:rPr>
                <w:rFonts w:ascii="Open Sans" w:cs="Open Sans" w:eastAsia="Open Sans" w:hAnsi="Open Sans"/>
                <w:sz w:val="18"/>
                <w:szCs w:val="18"/>
              </w:rPr>
              <w:t xml:space="preserve">If the requisition would take the budget line over its limit, PERA either warns or blocks the submission. Which one is a setting the administrator chooses.</w:t>
            </w:r>
          </w:p>
        </w:tc>
      </w:tr>
    </w:tbl>
    <w:p>
      <w:pPr>
        <w:spacing w:after="120"/>
      </w:pPr>
    </w:p>
    <w:p>
      <w:pPr>
        <w:pStyle w:val="Heading2"/>
        <w:keepNext/>
      </w:pPr>
      <w:r>
        <w:t xml:space="preserve">After submitting</w:t>
      </w:r>
    </w:p>
    <w:p>
      <w:pPr>
        <w:spacing w:after="140" w:before="0" w:line="300"/>
      </w:pPr>
      <w:r>
        <w:rPr>
          <w:rFonts w:ascii="Open Sans" w:cs="Open Sans" w:eastAsia="Open Sans" w:hAnsi="Open Sans"/>
        </w:rPr>
        <w:t xml:space="preserve">Once submitted, the requisition is locked. If something needs to change, the requester can withdraw it, or an approver can reject it with a reason, and a corrected version can be raised. </w:t>
      </w:r>
      <w:r>
        <w:rPr>
          <w:rFonts w:ascii="Open Sans SemiBold" w:cs="Open Sans SemiBold" w:eastAsia="Open Sans SemiBold" w:hAnsi="Open Sans SemiBold"/>
          <w:color w:val="081D4D"/>
        </w:rPr>
        <w:t xml:space="preserve">Duplicate</w:t>
      </w:r>
      <w:r>
        <w:rPr>
          <w:rFonts w:ascii="Open Sans" w:cs="Open Sans" w:eastAsia="Open Sans" w:hAnsi="Open Sans"/>
        </w:rPr>
        <w:t xml:space="preserve"> on any requisition copies it into a new draft, which saves retyping.</w:t>
      </w:r>
    </w:p>
    <w:p>
      <w:pPr>
        <w:spacing w:after="140" w:before="0" w:line="300"/>
      </w:pPr>
      <w:r>
        <w:rPr>
          <w:rFonts w:ascii="Open Sans" w:cs="Open Sans" w:eastAsia="Open Sans" w:hAnsi="Open Sans"/>
        </w:rPr>
        <w:t xml:space="preserve">Any requisition can be printed or saved as a PDF with the </w:t>
      </w:r>
      <w:r>
        <w:rPr>
          <w:rFonts w:ascii="Open Sans SemiBold" w:cs="Open Sans SemiBold" w:eastAsia="Open Sans SemiBold" w:hAnsi="Open Sans SemiBold"/>
          <w:color w:val="081D4D"/>
        </w:rPr>
        <w:t xml:space="preserve">PDF</w:t>
      </w:r>
      <w:r>
        <w:rPr>
          <w:rFonts w:ascii="Open Sans" w:cs="Open Sans" w:eastAsia="Open Sans" w:hAnsi="Open Sans"/>
        </w:rPr>
        <w:t xml:space="preserve"> button. The printout has the company header, the details and lines, the approvals step by step, and the audit trail. Printing is itself recorded.</w:t>
      </w:r>
    </w:p>
    <w:p>
      <w:pPr>
        <w:pageBreakBefore/>
        <w:spacing w:after="40"/>
      </w:pPr>
      <w:r>
        <w:rPr>
          <w:rFonts w:ascii="Poppins SemiBold" w:cs="Poppins SemiBold" w:eastAsia="Poppins SemiBold" w:hAnsi="Poppins SemiBold"/>
          <w:color w:val="1565C0"/>
          <w:spacing w:val="40"/>
          <w:sz w:val="17"/>
          <w:szCs w:val="17"/>
        </w:rPr>
        <w:t xml:space="preserve">SECTION 05</w:t>
      </w:r>
    </w:p>
    <w:p>
      <w:pPr>
        <w:pStyle w:val="Heading1"/>
        <w:pBdr>
          <w:bottom w:val="single" w:color="5FD6FF" w:sz="18" w:space="8"/>
        </w:pBdr>
      </w:pPr>
      <w:r>
        <w:t xml:space="preserve">Approvals</w:t>
      </w:r>
    </w:p>
    <w:p>
      <w:pPr>
        <w:pStyle w:val="Heading2"/>
        <w:keepNext/>
      </w:pPr>
      <w:r>
        <w:t xml:space="preserve">How PERA chooses the approvers</w:t>
      </w:r>
    </w:p>
    <w:p>
      <w:pPr>
        <w:spacing w:after="140" w:before="0" w:line="300"/>
      </w:pPr>
      <w:r>
        <w:rPr>
          <w:rFonts w:ascii="Open Sans" w:cs="Open Sans" w:eastAsia="Open Sans" w:hAnsi="Open Sans"/>
        </w:rPr>
        <w:t xml:space="preserve">Approval rules are set under </w:t>
      </w:r>
      <w:r>
        <w:rPr>
          <w:rFonts w:ascii="Open Sans SemiBold" w:cs="Open Sans SemiBold" w:eastAsia="Open Sans SemiBold" w:hAnsi="Open Sans SemiBold"/>
          <w:color w:val="081D4D"/>
        </w:rPr>
        <w:t xml:space="preserve">Settings → Approval rules</w:t>
      </w:r>
      <w:r>
        <w:rPr>
          <w:rFonts w:ascii="Open Sans" w:cs="Open Sans" w:eastAsia="Open Sans" w:hAnsi="Open Sans"/>
        </w:rPr>
        <w:t xml:space="preserve">. Requisitions and expense claims use </w:t>
      </w:r>
      <w:r>
        <w:rPr>
          <w:rFonts w:ascii="Open Sans SemiBold" w:cs="Open Sans SemiBold" w:eastAsia="Open Sans SemiBold" w:hAnsi="Open Sans SemiBold"/>
          <w:color w:val="081D4D"/>
        </w:rPr>
        <w:t xml:space="preserve">tiers</w:t>
      </w:r>
      <w:r>
        <w:rPr>
          <w:rFonts w:ascii="Open Sans" w:cs="Open Sans" w:eastAsia="Open Sans" w:hAnsi="Open Sans"/>
        </w:rPr>
        <w:t xml:space="preserve">: bands of value, each with its own approvers. PERA converts the total to the base currency, finds the tier it falls into, and builds the route from that tier. Purchase orders and contracts have their own approver lists.</w:t>
      </w:r>
    </w:p>
    <w:p>
      <w:pPr>
        <w:spacing w:after="140" w:before="0" w:line="300"/>
      </w:pPr>
      <w:r>
        <w:rPr>
          <w:rFonts w:ascii="Open Sans" w:cs="Open Sans" w:eastAsia="Open Sans" w:hAnsi="Open Sans"/>
        </w:rPr>
        <w:t xml:space="preserve">A tier can have one step or several. Step 2 is only asked once step 1 has approved, and only the people in the current step are notified, so nobody is troubled before it is their turn. A step can also be a </w:t>
      </w:r>
      <w:r>
        <w:rPr>
          <w:rFonts w:ascii="Open Sans SemiBold" w:cs="Open Sans SemiBold" w:eastAsia="Open Sans SemiBold" w:hAnsi="Open Sans SemiBold"/>
          <w:color w:val="081D4D"/>
        </w:rPr>
        <w:t xml:space="preserve">pool</w:t>
      </w:r>
      <w:r>
        <w:rPr>
          <w:rFonts w:ascii="Open Sans" w:cs="Open Sans" w:eastAsia="Open Sans" w:hAnsi="Open Sans"/>
        </w:rPr>
        <w:t xml:space="preserve">: a group of people of whom only some need to approve. On the requisition this shows as, for example, "Any 1 of 3", with who approved and who was not needed.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5FD6FF" w:sz="36"/>
              <w:bottom w:val="none" w:color="FFFFFF" w:sz="0"/>
              <w:right w:val="none" w:color="FFFFFF" w:sz="0"/>
            </w:tcBorders>
            <w:shd w:fill="E3F7FF" w:color="auto" w:val="clear"/>
            <w:tcMar>
              <w:top w:type="dxa" w:w="140"/>
              <w:left w:type="dxa" w:w="220"/>
              <w:bottom w:type="dxa" w:w="100"/>
              <w:right w:type="dxa" w:w="220"/>
            </w:tcMar>
          </w:tcPr>
          <w:p>
            <w:pPr>
              <w:spacing w:after="60"/>
            </w:pPr>
            <w:r>
              <w:rPr>
                <w:rFonts w:ascii="Poppins SemiBold" w:cs="Poppins SemiBold" w:eastAsia="Poppins SemiBold" w:hAnsi="Poppins SemiBold"/>
                <w:color w:val="081D4D"/>
                <w:sz w:val="18"/>
                <w:szCs w:val="18"/>
              </w:rPr>
              <w:t xml:space="preserve">An example of approval tiers</w:t>
            </w:r>
          </w:p>
          <w:p>
            <w:pPr>
              <w:spacing w:after="70" w:line="285"/>
            </w:pPr>
            <w:r>
              <w:rPr>
                <w:rFonts w:ascii="Open Sans" w:cs="Open Sans" w:eastAsia="Open Sans" w:hAnsi="Open Sans"/>
                <w:sz w:val="19"/>
                <w:szCs w:val="19"/>
              </w:rPr>
              <w:t xml:space="preserve">The figures below are only an illustration. Each organisation sets its own.</w:t>
            </w:r>
          </w:p>
        </w:tc>
      </w:tr>
    </w:tbl>
    <w:p>
      <w:pPr>
        <w:spacing w:after="160"/>
      </w:pPr>
    </w:p>
    <w:tbl>
      <w:tblPr>
        <w:tblW w:type="dxa" w:w="9638"/>
        <w:tblBorders>
          <w:top w:val="none" w:color="FFFFFF" w:sz="0"/>
          <w:left w:val="none" w:color="FFFFFF" w:sz="0"/>
          <w:bottom w:val="single" w:color="081D4D" w:sz="8"/>
          <w:right w:val="none" w:color="FFFFFF" w:sz="0"/>
          <w:insideH w:val="none" w:color="FFFFFF" w:sz="0"/>
          <w:insideV w:val="none" w:color="FFFFFF" w:sz="0"/>
        </w:tblBorders>
        <w:tblLayout w:type="fixed"/>
      </w:tblPr>
      <w:tblGrid>
        <w:gridCol w:w="2506"/>
        <w:gridCol w:w="4241"/>
        <w:gridCol w:w="2891"/>
      </w:tblGrid>
      <w:tr>
        <w:trPr>
          <w:cantSplit/>
          <w:tblHeader/>
        </w:trPr>
        <w:tc>
          <w:tcPr>
            <w:tcW w:type="dxa" w:w="2506"/>
            <w:tcBorders>
              <w:top w:val="none" w:color="FFFFFF" w:sz="0"/>
              <w:left w:val="none" w:color="FFFFFF" w:sz="0"/>
              <w:bottom w:val="none" w:color="FFFFFF" w:sz="0"/>
              <w:right w:val="none" w:color="FFFFFF" w:sz="0"/>
            </w:tcBorders>
            <w:shd w:fill="081D4D" w:color="auto" w:val="clear"/>
            <w:tcMar>
              <w:top w:type="dxa" w:w="100"/>
              <w:left w:type="dxa" w:w="120"/>
              <w:bottom w:type="dxa" w:w="80"/>
              <w:right w:type="dxa" w:w="120"/>
            </w:tcMar>
            <w:vAlign w:val="top"/>
          </w:tcPr>
          <w:p>
            <w:pPr>
              <w:keepNext/>
              <w:spacing w:after="40" w:line="264"/>
            </w:pPr>
            <w:r>
              <w:rPr>
                <w:rFonts w:ascii="Poppins SemiBold" w:cs="Poppins SemiBold" w:eastAsia="Poppins SemiBold" w:hAnsi="Poppins SemiBold"/>
                <w:color w:val="FFFFFF"/>
                <w:sz w:val="17"/>
                <w:szCs w:val="17"/>
              </w:rPr>
              <w:t xml:space="preserve">Total (USD)</w:t>
            </w:r>
          </w:p>
        </w:tc>
        <w:tc>
          <w:tcPr>
            <w:tcW w:type="dxa" w:w="4241"/>
            <w:tcBorders>
              <w:top w:val="none" w:color="FFFFFF" w:sz="0"/>
              <w:left w:val="none" w:color="FFFFFF" w:sz="0"/>
              <w:bottom w:val="none" w:color="FFFFFF" w:sz="0"/>
              <w:right w:val="none" w:color="FFFFFF" w:sz="0"/>
            </w:tcBorders>
            <w:shd w:fill="081D4D" w:color="auto" w:val="clear"/>
            <w:tcMar>
              <w:top w:type="dxa" w:w="100"/>
              <w:left w:type="dxa" w:w="120"/>
              <w:bottom w:type="dxa" w:w="80"/>
              <w:right w:type="dxa" w:w="120"/>
            </w:tcMar>
            <w:vAlign w:val="top"/>
          </w:tcPr>
          <w:p>
            <w:pPr>
              <w:keepNext/>
              <w:spacing w:after="40" w:line="264"/>
            </w:pPr>
            <w:r>
              <w:rPr>
                <w:rFonts w:ascii="Poppins SemiBold" w:cs="Poppins SemiBold" w:eastAsia="Poppins SemiBold" w:hAnsi="Poppins SemiBold"/>
                <w:color w:val="FFFFFF"/>
                <w:sz w:val="17"/>
                <w:szCs w:val="17"/>
              </w:rPr>
              <w:t xml:space="preserve">Step 1</w:t>
            </w:r>
          </w:p>
        </w:tc>
        <w:tc>
          <w:tcPr>
            <w:tcW w:type="dxa" w:w="2891"/>
            <w:tcBorders>
              <w:top w:val="none" w:color="FFFFFF" w:sz="0"/>
              <w:left w:val="none" w:color="FFFFFF" w:sz="0"/>
              <w:bottom w:val="none" w:color="FFFFFF" w:sz="0"/>
              <w:right w:val="none" w:color="FFFFFF" w:sz="0"/>
            </w:tcBorders>
            <w:shd w:fill="081D4D" w:color="auto" w:val="clear"/>
            <w:tcMar>
              <w:top w:type="dxa" w:w="100"/>
              <w:left w:type="dxa" w:w="120"/>
              <w:bottom w:type="dxa" w:w="80"/>
              <w:right w:type="dxa" w:w="120"/>
            </w:tcMar>
            <w:vAlign w:val="top"/>
          </w:tcPr>
          <w:p>
            <w:pPr>
              <w:keepNext/>
              <w:spacing w:after="40" w:line="264"/>
            </w:pPr>
            <w:r>
              <w:rPr>
                <w:rFonts w:ascii="Poppins SemiBold" w:cs="Poppins SemiBold" w:eastAsia="Poppins SemiBold" w:hAnsi="Poppins SemiBold"/>
                <w:color w:val="FFFFFF"/>
                <w:sz w:val="17"/>
                <w:szCs w:val="17"/>
              </w:rPr>
              <w:t xml:space="preserve">Step 2</w:t>
            </w:r>
          </w:p>
        </w:tc>
      </w:tr>
      <w:tr>
        <w:trPr>
          <w:cantSplit/>
        </w:trPr>
        <w:tc>
          <w:tcPr>
            <w:tcW w:type="dxa" w:w="2506"/>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Up to 1,000</w:t>
            </w:r>
          </w:p>
        </w:tc>
        <w:tc>
          <w:tcPr>
            <w:tcW w:type="dxa" w:w="4241"/>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Head of department</w:t>
            </w:r>
          </w:p>
        </w:tc>
        <w:tc>
          <w:tcPr>
            <w:tcW w:type="dxa" w:w="2891"/>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w:t>
            </w:r>
          </w:p>
        </w:tc>
      </w:tr>
      <w:tr>
        <w:trPr>
          <w:cantSplit/>
        </w:trPr>
        <w:tc>
          <w:tcPr>
            <w:tcW w:type="dxa" w:w="2506"/>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1,000 to 10,000</w:t>
            </w:r>
          </w:p>
        </w:tc>
        <w:tc>
          <w:tcPr>
            <w:tcW w:type="dxa" w:w="4241"/>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Any 1 of CFO, COO</w:t>
            </w:r>
          </w:p>
        </w:tc>
        <w:tc>
          <w:tcPr>
            <w:tcW w:type="dxa" w:w="2891"/>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w:t>
            </w:r>
          </w:p>
        </w:tc>
      </w:tr>
      <w:tr>
        <w:trPr>
          <w:cantSplit/>
        </w:trPr>
        <w:tc>
          <w:tcPr>
            <w:tcW w:type="dxa" w:w="2506"/>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val="false"/>
              <w:spacing w:after="40" w:line="264"/>
            </w:pPr>
            <w:r>
              <w:rPr>
                <w:rFonts w:ascii="Open Sans SemiBold" w:cs="Open Sans SemiBold" w:eastAsia="Open Sans SemiBold" w:hAnsi="Open Sans SemiBold"/>
                <w:color w:val="081D4D"/>
                <w:sz w:val="18"/>
                <w:szCs w:val="18"/>
              </w:rPr>
              <w:t xml:space="preserve">Over 10,000</w:t>
            </w:r>
          </w:p>
        </w:tc>
        <w:tc>
          <w:tcPr>
            <w:tcW w:type="dxa" w:w="4241"/>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val="false"/>
              <w:spacing w:after="40" w:line="264"/>
            </w:pPr>
            <w:r>
              <w:rPr>
                <w:rFonts w:ascii="Open Sans" w:cs="Open Sans" w:eastAsia="Open Sans" w:hAnsi="Open Sans"/>
                <w:sz w:val="18"/>
                <w:szCs w:val="18"/>
              </w:rPr>
              <w:t xml:space="preserve">Any 1 of CFO, COO, Head of IT</w:t>
            </w:r>
          </w:p>
        </w:tc>
        <w:tc>
          <w:tcPr>
            <w:tcW w:type="dxa" w:w="2891"/>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val="false"/>
              <w:spacing w:after="40" w:line="264"/>
            </w:pPr>
            <w:r>
              <w:rPr>
                <w:rFonts w:ascii="Open Sans" w:cs="Open Sans" w:eastAsia="Open Sans" w:hAnsi="Open Sans"/>
                <w:sz w:val="18"/>
                <w:szCs w:val="18"/>
              </w:rPr>
              <w:t xml:space="preserve">CEO</w:t>
            </w:r>
          </w:p>
        </w:tc>
      </w:tr>
    </w:tbl>
    <w:p>
      <w:pPr>
        <w:spacing w:after="120"/>
      </w:pPr>
    </w:p>
    <w:p>
      <w:pPr>
        <w:pStyle w:val="Heading2"/>
        <w:keepNext/>
      </w:pPr>
      <w:r>
        <w:t xml:space="preserve">Rules that always apply</w:t>
      </w:r>
    </w:p>
    <w:p>
      <w:pPr>
        <w:pStyle w:val="ListParagraph"/>
        <w:numPr>
          <w:ilvl w:val="0"/>
          <w:numId w:val="2"/>
        </w:numPr>
        <w:spacing w:after="70" w:line="290"/>
      </w:pPr>
      <w:r>
        <w:rPr>
          <w:rFonts w:ascii="Open Sans" w:cs="Open Sans" w:eastAsia="Open Sans" w:hAnsi="Open Sans"/>
        </w:rPr>
        <w:t xml:space="preserve">A person is never asked to approve their own requisition, expense, order or contract.</w:t>
      </w:r>
    </w:p>
    <w:p>
      <w:pPr>
        <w:pStyle w:val="ListParagraph"/>
        <w:numPr>
          <w:ilvl w:val="0"/>
          <w:numId w:val="2"/>
        </w:numPr>
        <w:spacing w:after="70" w:line="290"/>
      </w:pPr>
      <w:r>
        <w:rPr>
          <w:rFonts w:ascii="Open Sans" w:cs="Open Sans" w:eastAsia="Open Sans" w:hAnsi="Open Sans"/>
        </w:rPr>
        <w:t xml:space="preserve">Nobody can sit in two steps of the same tier, so nobody approves the same request twice.</w:t>
      </w:r>
    </w:p>
    <w:p>
      <w:pPr>
        <w:pStyle w:val="ListParagraph"/>
        <w:numPr>
          <w:ilvl w:val="0"/>
          <w:numId w:val="2"/>
        </w:numPr>
        <w:spacing w:after="70" w:line="290"/>
      </w:pPr>
      <w:r>
        <w:rPr>
          <w:rFonts w:ascii="Open Sans" w:cs="Open Sans" w:eastAsia="Open Sans" w:hAnsi="Open Sans"/>
        </w:rPr>
        <w:t xml:space="preserve">Each approver decides once. A rejection must include a reason, which the requester sees.</w:t>
      </w:r>
    </w:p>
    <w:p>
      <w:pPr>
        <w:pStyle w:val="ListParagraph"/>
        <w:numPr>
          <w:ilvl w:val="0"/>
          <w:numId w:val="2"/>
        </w:numPr>
        <w:spacing w:after="70" w:line="290"/>
      </w:pPr>
      <w:r>
        <w:rPr>
          <w:rFonts w:ascii="Open Sans" w:cs="Open Sans" w:eastAsia="Open Sans" w:hAnsi="Open Sans"/>
        </w:rPr>
        <w:t xml:space="preserve">Approvals only happen through the Approve and Reject actions. The record itself cannot be edited to look approved.</w:t>
      </w:r>
    </w:p>
    <w:p>
      <w:pPr>
        <w:pStyle w:val="Heading2"/>
        <w:keepNext/>
      </w:pPr>
      <w:r>
        <w:t xml:space="preserve">The finance review</w:t>
      </w:r>
    </w:p>
    <w:p>
      <w:pPr>
        <w:spacing w:after="140" w:before="0" w:line="300"/>
      </w:pPr>
      <w:r>
        <w:rPr>
          <w:rFonts w:ascii="Open Sans" w:cs="Open Sans" w:eastAsia="Open Sans" w:hAnsi="Open Sans"/>
        </w:rPr>
        <w:t xml:space="preserve">After the approvers, Finance reviews the request. This is a check rather than a second approval: Finance confirms that the budget line, documents and amounts make sense, then releases it to Procurement (or to payment, for a direct payment or expense claim). If something is wrong they return it with a note. Only Finance can release or return at this stage.</w:t>
      </w:r>
    </w:p>
    <w:p>
      <w:pPr>
        <w:pStyle w:val="Heading2"/>
        <w:keepNext/>
      </w:pPr>
      <w:r>
        <w:t xml:space="preserve">Ways to approve</w:t>
      </w:r>
    </w:p>
    <w:p>
      <w:pPr>
        <w:spacing w:after="140" w:before="0" w:line="300"/>
      </w:pPr>
      <w:r>
        <w:rPr>
          <w:rFonts w:ascii="Open Sans" w:cs="Open Sans" w:eastAsia="Open Sans" w:hAnsi="Open Sans"/>
        </w:rPr>
        <w:t xml:space="preserve">Approvers are busy, so PERA gives them several ways to deal with what is waiting:</w:t>
      </w:r>
    </w:p>
    <w:p>
      <w:pPr>
        <w:pStyle w:val="ListParagraph"/>
        <w:numPr>
          <w:ilvl w:val="0"/>
          <w:numId w:val="2"/>
        </w:numPr>
        <w:spacing w:after="70" w:line="290"/>
      </w:pPr>
      <w:r>
        <w:rPr>
          <w:rFonts w:ascii="Open Sans SemiBold" w:cs="Open Sans SemiBold" w:eastAsia="Open Sans SemiBold" w:hAnsi="Open Sans SemiBold"/>
          <w:color w:val="081D4D"/>
        </w:rPr>
        <w:t xml:space="preserve">One-screen approval.</w:t>
      </w:r>
      <w:r>
        <w:rPr>
          <w:rFonts w:ascii="Open Sans" w:cs="Open Sans" w:eastAsia="Open Sans" w:hAnsi="Open Sans"/>
        </w:rPr>
        <w:t xml:space="preserve"> The amount, any warnings, the justification, lines, documents and budget position are on a single page with Approve and Reject buttons. After deciding, </w:t>
      </w:r>
      <w:r>
        <w:rPr>
          <w:rFonts w:ascii="Open Sans SemiBold" w:cs="Open Sans SemiBold" w:eastAsia="Open Sans SemiBold" w:hAnsi="Open Sans SemiBold"/>
          <w:color w:val="081D4D"/>
        </w:rPr>
        <w:t xml:space="preserve">Next waiting</w:t>
      </w:r>
      <w:r>
        <w:rPr>
          <w:rFonts w:ascii="Open Sans" w:cs="Open Sans" w:eastAsia="Open Sans" w:hAnsi="Open Sans"/>
        </w:rPr>
        <w:t xml:space="preserve"> opens the next item.</w:t>
      </w:r>
    </w:p>
    <w:p>
      <w:pPr>
        <w:pStyle w:val="ListParagraph"/>
        <w:numPr>
          <w:ilvl w:val="0"/>
          <w:numId w:val="2"/>
        </w:numPr>
        <w:spacing w:after="70" w:line="290"/>
      </w:pPr>
      <w:r>
        <w:rPr>
          <w:rFonts w:ascii="Open Sans SemiBold" w:cs="Open Sans SemiBold" w:eastAsia="Open Sans SemiBold" w:hAnsi="Open Sans SemiBold"/>
          <w:color w:val="081D4D"/>
        </w:rPr>
        <w:t xml:space="preserve">From a notification.</w:t>
      </w:r>
      <w:r>
        <w:rPr>
          <w:rFonts w:ascii="Open Sans" w:cs="Open Sans" w:eastAsia="Open Sans" w:hAnsi="Open Sans"/>
        </w:rPr>
        <w:t xml:space="preserve"> Approval notifications inside PERA have Review, Reject and Approve buttons.</w:t>
      </w:r>
    </w:p>
    <w:p>
      <w:pPr>
        <w:pStyle w:val="ListParagraph"/>
        <w:numPr>
          <w:ilvl w:val="0"/>
          <w:numId w:val="2"/>
        </w:numPr>
        <w:spacing w:after="70" w:line="290"/>
      </w:pPr>
      <w:r>
        <w:rPr>
          <w:rFonts w:ascii="Open Sans SemiBold" w:cs="Open Sans SemiBold" w:eastAsia="Open Sans SemiBold" w:hAnsi="Open Sans SemiBold"/>
          <w:color w:val="081D4D"/>
        </w:rPr>
        <w:t xml:space="preserve">From email.</w:t>
      </w:r>
      <w:r>
        <w:rPr>
          <w:rFonts w:ascii="Open Sans" w:cs="Open Sans" w:eastAsia="Open Sans" w:hAnsi="Open Sans"/>
        </w:rPr>
        <w:t xml:space="preserve"> Approval emails have a </w:t>
      </w:r>
      <w:r>
        <w:rPr>
          <w:rFonts w:ascii="Open Sans SemiBold" w:cs="Open Sans SemiBold" w:eastAsia="Open Sans SemiBold" w:hAnsi="Open Sans SemiBold"/>
          <w:color w:val="081D4D"/>
        </w:rPr>
        <w:t xml:space="preserve">Review &amp; approve</w:t>
      </w:r>
      <w:r>
        <w:rPr>
          <w:rFonts w:ascii="Open Sans" w:cs="Open Sans" w:eastAsia="Open Sans" w:hAnsi="Open Sans"/>
        </w:rPr>
        <w:t xml:space="preserve"> button that opens the one-screen approval. The approver still has to sign in, so a forwarded email cannot be used by someone else to approve.</w:t>
      </w:r>
    </w:p>
    <w:p>
      <w:pPr>
        <w:pStyle w:val="ListParagraph"/>
        <w:numPr>
          <w:ilvl w:val="0"/>
          <w:numId w:val="2"/>
        </w:numPr>
        <w:spacing w:after="70" w:line="290"/>
      </w:pPr>
      <w:r>
        <w:rPr>
          <w:rFonts w:ascii="Open Sans SemiBold" w:cs="Open Sans SemiBold" w:eastAsia="Open Sans SemiBold" w:hAnsi="Open Sans SemiBold"/>
          <w:color w:val="081D4D"/>
        </w:rPr>
        <w:t xml:space="preserve">Several at once.</w:t>
      </w:r>
      <w:r>
        <w:rPr>
          <w:rFonts w:ascii="Open Sans" w:cs="Open Sans" w:eastAsia="Open Sans" w:hAnsi="Open Sans"/>
        </w:rPr>
        <w:t xml:space="preserve"> In </w:t>
      </w:r>
      <w:r>
        <w:rPr>
          <w:rFonts w:ascii="Open Sans SemiBold" w:cs="Open Sans SemiBold" w:eastAsia="Open Sans SemiBold" w:hAnsi="Open Sans SemiBold"/>
          <w:color w:val="081D4D"/>
        </w:rPr>
        <w:t xml:space="preserve">My approvals</w:t>
      </w:r>
      <w:r>
        <w:rPr>
          <w:rFonts w:ascii="Open Sans" w:cs="Open Sans" w:eastAsia="Open Sans" w:hAnsi="Open Sans"/>
        </w:rPr>
        <w:t xml:space="preserve">, tick a number of records and choose </w:t>
      </w:r>
      <w:r>
        <w:rPr>
          <w:rFonts w:ascii="Open Sans SemiBold" w:cs="Open Sans SemiBold" w:eastAsia="Open Sans SemiBold" w:hAnsi="Open Sans SemiBold"/>
          <w:color w:val="081D4D"/>
        </w:rPr>
        <w:t xml:space="preserve">Approve selected</w:t>
      </w:r>
      <w:r>
        <w:rPr>
          <w:rFonts w:ascii="Open Sans" w:cs="Open Sans" w:eastAsia="Open Sans" w:hAnsi="Open Sans"/>
        </w:rPr>
        <w:t xml:space="preserve">. Anything flagged as a possible duplicate or with unverified bank details is marked "Check first" and left out unless it is ticked deliberately.</w:t>
      </w:r>
    </w:p>
    <w:p>
      <w:pPr>
        <w:pStyle w:val="Heading2"/>
        <w:keepNext/>
      </w:pPr>
      <w:r>
        <w:t xml:space="preserve">Reminders and escalation</w:t>
      </w:r>
    </w:p>
    <w:p>
      <w:pPr>
        <w:spacing w:after="140" w:before="0" w:line="300"/>
      </w:pPr>
      <w:r>
        <w:rPr>
          <w:rFonts w:ascii="Open Sans" w:cs="Open Sans" w:eastAsia="Open Sans" w:hAnsi="Open Sans"/>
        </w:rPr>
        <w:t xml:space="preserve">Under </w:t>
      </w:r>
      <w:r>
        <w:rPr>
          <w:rFonts w:ascii="Open Sans SemiBold" w:cs="Open Sans SemiBold" w:eastAsia="Open Sans SemiBold" w:hAnsi="Open Sans SemiBold"/>
          <w:color w:val="081D4D"/>
        </w:rPr>
        <w:t xml:space="preserve">Settings → Approval rules → Approval reminders &amp; escalation</w:t>
      </w:r>
      <w:r>
        <w:rPr>
          <w:rFonts w:ascii="Open Sans" w:cs="Open Sans" w:eastAsia="Open Sans" w:hAnsi="Open Sans"/>
        </w:rPr>
        <w:t xml:space="preserve">, the administrator sets how often approvers are reminded and when a stuck request is escalated. The defaults are a reminder every 24 hours and escalation after 72 hours at the same step. On escalation, the chosen people (or all administrators, if nobody is chosen) and the requester are told, and the audit trail records it as done by "Pera (automatic)". Each step is escalated only once.</w:t>
      </w:r>
    </w:p>
    <w:p>
      <w:pPr>
        <w:spacing w:after="140" w:before="0" w:line="300"/>
      </w:pPr>
      <w:r>
        <w:rPr>
          <w:rFonts w:ascii="Open Sans" w:cs="Open Sans" w:eastAsia="Open Sans" w:hAnsi="Open Sans"/>
        </w:rPr>
        <w:t xml:space="preserve">Every pending approval shows how long it has been waiting. The marker is grey at first, turns amber once the reminder time has passed and red once the request has been escalated.</w:t>
      </w:r>
    </w:p>
    <w:p>
      <w:pPr>
        <w:pageBreakBefore/>
        <w:spacing w:after="40"/>
      </w:pPr>
      <w:r>
        <w:rPr>
          <w:rFonts w:ascii="Poppins SemiBold" w:cs="Poppins SemiBold" w:eastAsia="Poppins SemiBold" w:hAnsi="Poppins SemiBold"/>
          <w:color w:val="1565C0"/>
          <w:spacing w:val="40"/>
          <w:sz w:val="17"/>
          <w:szCs w:val="17"/>
        </w:rPr>
        <w:t xml:space="preserve">SECTION 06</w:t>
      </w:r>
    </w:p>
    <w:p>
      <w:pPr>
        <w:pStyle w:val="Heading1"/>
        <w:pBdr>
          <w:bottom w:val="single" w:color="5FD6FF" w:sz="18" w:space="8"/>
        </w:pBdr>
      </w:pPr>
      <w:r>
        <w:t xml:space="preserve">Buying: requests, RFQs, orders and contracts</w:t>
      </w:r>
    </w:p>
    <w:p>
      <w:pPr>
        <w:pStyle w:val="Heading2"/>
        <w:keepNext/>
      </w:pPr>
      <w:r>
        <w:t xml:space="preserve">Requests</w:t>
      </w:r>
    </w:p>
    <w:p>
      <w:pPr>
        <w:spacing w:after="140" w:before="0" w:line="300"/>
      </w:pPr>
      <w:r>
        <w:rPr>
          <w:rFonts w:ascii="Open Sans" w:cs="Open Sans" w:eastAsia="Open Sans" w:hAnsi="Open Sans"/>
        </w:rPr>
        <w:t xml:space="preserve">A request is how staff ask for something that may not need new spending: stationery from stores, a repair, IT support, facilities work. Procurement accepts the request and assigns it to someone. From there it is either issued from stock or converted into a requisition. Requests can repeat weekly, monthly or quarterly, which suits things like monthly stationery.</w:t>
      </w:r>
    </w:p>
    <w:p>
      <w:pPr>
        <w:pStyle w:val="Heading2"/>
        <w:keepNext/>
      </w:pPr>
      <w:r>
        <w:t xml:space="preserve">Requests for quotation (RFQs)</w:t>
      </w:r>
    </w:p>
    <w:p>
      <w:pPr>
        <w:spacing w:after="140" w:before="0" w:line="300"/>
      </w:pPr>
      <w:r>
        <w:rPr>
          <w:rFonts w:ascii="Open Sans" w:cs="Open Sans" w:eastAsia="Open Sans" w:hAnsi="Open Sans"/>
        </w:rPr>
        <w:t xml:space="preserve">When an approved purchase needs competing quotes, Procurement starts an RFQ from the requisition and invites suppliers. Bids are sealed: nobody, including Procurement, can see them until the closing time. Bids are then scored on weighted criteria (price, delivery and technical quality) and the award is made with a written justification, which stays on the record.</w:t>
      </w:r>
    </w:p>
    <w:p>
      <w:pPr>
        <w:pStyle w:val="Heading2"/>
        <w:keepNext/>
      </w:pPr>
      <w:r>
        <w:t xml:space="preserve">Purchase orders</w:t>
      </w:r>
    </w:p>
    <w:p>
      <w:pPr>
        <w:spacing w:after="140" w:before="0" w:line="300"/>
      </w:pPr>
      <w:r>
        <w:rPr>
          <w:rFonts w:ascii="Open Sans" w:cs="Open Sans" w:eastAsia="Open Sans" w:hAnsi="Open Sans"/>
        </w:rPr>
        <w:t xml:space="preserve">A purchase order is raised from an approved requisition or from an RFQ award, and can never be for more than was approved. Orders can have their own approval step. They move from Draft to Pending approval, Pending review and then Open once issued to the supplier. Orders print with the company details and the delivery address taken from the requisition, which Procurement can change to another saved address.</w:t>
      </w:r>
    </w:p>
    <w:p>
      <w:pPr>
        <w:spacing w:after="140" w:before="0" w:line="300"/>
      </w:pPr>
      <w:r>
        <w:rPr>
          <w:rFonts w:ascii="Open Sans" w:cs="Open Sans" w:eastAsia="Open Sans" w:hAnsi="Open Sans"/>
        </w:rPr>
        <w:t xml:space="preserve">Each purchase requisition is given a </w:t>
      </w:r>
      <w:r>
        <w:rPr>
          <w:rFonts w:ascii="Open Sans SemiBold" w:cs="Open Sans SemiBold" w:eastAsia="Open Sans SemiBold" w:hAnsi="Open Sans SemiBold"/>
          <w:color w:val="081D4D"/>
        </w:rPr>
        <w:t xml:space="preserve">purchaser</w:t>
      </w:r>
      <w:r>
        <w:rPr>
          <w:rFonts w:ascii="Open Sans" w:cs="Open Sans" w:eastAsia="Open Sans" w:hAnsi="Open Sans"/>
        </w:rPr>
        <w:t xml:space="preserve">, the person in Procurement responsible for it. A default purchaser is set in Settings and assigned on submission. Procurement can reassign it, and the new purchaser is notified.</w:t>
      </w:r>
    </w:p>
    <w:p>
      <w:pPr>
        <w:pStyle w:val="Heading2"/>
        <w:keepNext/>
      </w:pPr>
      <w:r>
        <w:t xml:space="preserve">Deliveries</w:t>
      </w:r>
    </w:p>
    <w:p>
      <w:pPr>
        <w:spacing w:after="140" w:before="0" w:line="300"/>
      </w:pPr>
      <w:r>
        <w:rPr>
          <w:rFonts w:ascii="Open Sans" w:cs="Open Sans" w:eastAsia="Open Sans" w:hAnsi="Open Sans"/>
        </w:rPr>
        <w:t xml:space="preserve">The requester confirms what arrived against each order. Partial deliveries are recorded as they come in, and the order shows as partially or fully received. Each delivery includes a short supplier rating, which feeds into supplier performance reports.</w:t>
      </w:r>
    </w:p>
    <w:p>
      <w:pPr>
        <w:pStyle w:val="Heading2"/>
        <w:keepNext/>
      </w:pPr>
      <w:r>
        <w:t xml:space="preserve">Contracts</w:t>
      </w:r>
    </w:p>
    <w:p>
      <w:pPr>
        <w:spacing w:after="140" w:before="0" w:line="300"/>
      </w:pPr>
      <w:r>
        <w:rPr>
          <w:rFonts w:ascii="Open Sans" w:cs="Open Sans" w:eastAsia="Open Sans" w:hAnsi="Open Sans"/>
        </w:rPr>
        <w:t xml:space="preserve">Contracts are created as drafts, approved by the contract approvers and then become active. An active contract can be renewed, amended or terminated. Once approved, only its end date, value, notes and documents can be amended. The Contracts page flags those that are expiring soon so renewals are not missed.</w:t>
      </w:r>
    </w:p>
    <w:p>
      <w:pPr>
        <w:pStyle w:val="Heading2"/>
        <w:keepNext/>
      </w:pPr>
      <w:r>
        <w:t xml:space="preserve">Stock</w:t>
      </w:r>
    </w:p>
    <w:p>
      <w:pPr>
        <w:spacing w:after="140" w:before="0" w:line="300"/>
      </w:pPr>
      <w:r>
        <w:rPr>
          <w:rFonts w:ascii="Open Sans" w:cs="Open Sans" w:eastAsia="Open Sans" w:hAnsi="Open Sans"/>
        </w:rPr>
        <w:t xml:space="preserve">If the inventory module is switched on, items can carry stock levels and reorder points. Stock is reduced when requests are issued and increased when goods are received. Stock can never go below zero and every manual adjustment needs a reason.</w:t>
      </w:r>
    </w:p>
    <w:p>
      <w:pPr>
        <w:pageBreakBefore/>
        <w:spacing w:after="40"/>
      </w:pPr>
      <w:r>
        <w:rPr>
          <w:rFonts w:ascii="Poppins SemiBold" w:cs="Poppins SemiBold" w:eastAsia="Poppins SemiBold" w:hAnsi="Poppins SemiBold"/>
          <w:color w:val="1565C0"/>
          <w:spacing w:val="40"/>
          <w:sz w:val="17"/>
          <w:szCs w:val="17"/>
        </w:rPr>
        <w:t xml:space="preserve">SECTION 07</w:t>
      </w:r>
    </w:p>
    <w:p>
      <w:pPr>
        <w:pStyle w:val="Heading1"/>
        <w:pBdr>
          <w:bottom w:val="single" w:color="5FD6FF" w:sz="18" w:space="8"/>
        </w:pBdr>
      </w:pPr>
      <w:r>
        <w:t xml:space="preserve">Paying</w:t>
      </w:r>
    </w:p>
    <w:p>
      <w:pPr>
        <w:pStyle w:val="Heading2"/>
        <w:keepNext/>
      </w:pPr>
      <w:r>
        <w:t xml:space="preserve">Invoices and the three-way match</w:t>
      </w:r>
    </w:p>
    <w:p>
      <w:pPr>
        <w:spacing w:after="140" w:before="0" w:line="300"/>
      </w:pPr>
      <w:r>
        <w:rPr>
          <w:rFonts w:ascii="Open Sans" w:cs="Open Sans" w:eastAsia="Open Sans" w:hAnsi="Open Sans"/>
        </w:rPr>
        <w:t xml:space="preserve">When a supplier's invoice arrives, Finance captures it against the purchase order, typing it in or using Smart scan. PERA compares three things: what was ordered, what was received and what is being invoiced. Any difference is shown before payment. If the supplier has already used that invoice number, PERA refuses it.</w:t>
      </w:r>
    </w:p>
    <w:p>
      <w:pPr>
        <w:pStyle w:val="Heading2"/>
        <w:keepNext/>
      </w:pPr>
      <w:r>
        <w:t xml:space="preserve">Paying and the payment file</w:t>
      </w:r>
    </w:p>
    <w:p>
      <w:pPr>
        <w:spacing w:after="140" w:before="0" w:line="300"/>
      </w:pPr>
      <w:r>
        <w:rPr>
          <w:rFonts w:ascii="Open Sans" w:cs="Open Sans" w:eastAsia="Open Sans" w:hAnsi="Open Sans"/>
        </w:rPr>
        <w:t xml:space="preserve">The payments queue lists everything ready to pay: matched invoices, released direct payments and approved expense claims. Finance confirms which company account the money comes from, records the payment and attaches proof such as the bank confirmation.</w:t>
      </w:r>
    </w:p>
    <w:p>
      <w:pPr>
        <w:spacing w:after="140" w:before="0" w:line="300"/>
      </w:pPr>
      <w:r>
        <w:rPr>
          <w:rFonts w:ascii="Open Sans" w:cs="Open Sans" w:eastAsia="Open Sans" w:hAnsi="Open Sans"/>
        </w:rPr>
        <w:t xml:space="preserve">For larger runs, Finance can select several items and export a </w:t>
      </w:r>
      <w:r>
        <w:rPr>
          <w:rFonts w:ascii="Open Sans SemiBold" w:cs="Open Sans SemiBold" w:eastAsia="Open Sans SemiBold" w:hAnsi="Open Sans SemiBold"/>
          <w:color w:val="081D4D"/>
        </w:rPr>
        <w:t xml:space="preserve">batch payment file</w:t>
      </w:r>
      <w:r>
        <w:rPr>
          <w:rFonts w:ascii="Open Sans" w:cs="Open Sans" w:eastAsia="Open Sans" w:hAnsi="Open Sans"/>
        </w:rPr>
        <w:t xml:space="preserve"> (CSV) for the bank. The file includes the paying account's name, number and GL code. Supplier bank details in the file come only from the verified supplier record.</w:t>
      </w:r>
    </w:p>
    <w:p>
      <w:pPr>
        <w:pStyle w:val="Heading2"/>
        <w:keepNext/>
      </w:pPr>
      <w:r>
        <w:t xml:space="preserve">Paying accounts</w:t>
      </w:r>
    </w:p>
    <w:p>
      <w:pPr>
        <w:spacing w:after="140" w:before="0" w:line="300"/>
      </w:pPr>
      <w:r>
        <w:rPr>
          <w:rFonts w:ascii="Open Sans" w:cs="Open Sans" w:eastAsia="Open Sans" w:hAnsi="Open Sans"/>
        </w:rPr>
        <w:t xml:space="preserve">The company's own bank accounts, such as FCA, current and petty-cash accounts, are kept under </w:t>
      </w:r>
      <w:r>
        <w:rPr>
          <w:rFonts w:ascii="Open Sans SemiBold" w:cs="Open Sans SemiBold" w:eastAsia="Open Sans SemiBold" w:hAnsi="Open Sans SemiBold"/>
          <w:color w:val="081D4D"/>
        </w:rPr>
        <w:t xml:space="preserve">Manage company → Paying accounts</w:t>
      </w:r>
      <w:r>
        <w:rPr>
          <w:rFonts w:ascii="Open Sans" w:cs="Open Sans" w:eastAsia="Open Sans" w:hAnsi="Open Sans"/>
        </w:rPr>
        <w:t xml:space="preserve">. Each requisition says which account should pay, and Finance confirms or changes it when paying.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8D6605" w:sz="36"/>
              <w:bottom w:val="none" w:color="FFFFFF" w:sz="0"/>
              <w:right w:val="none" w:color="FFFFFF" w:sz="0"/>
            </w:tcBorders>
            <w:shd w:fill="FFF7E3" w:color="auto" w:val="clear"/>
            <w:tcMar>
              <w:top w:type="dxa" w:w="140"/>
              <w:left w:type="dxa" w:w="220"/>
              <w:bottom w:type="dxa" w:w="100"/>
              <w:right w:type="dxa" w:w="220"/>
            </w:tcMar>
          </w:tcPr>
          <w:p>
            <w:pPr>
              <w:spacing w:after="60"/>
            </w:pPr>
            <w:r>
              <w:rPr>
                <w:rFonts w:ascii="Poppins SemiBold" w:cs="Poppins SemiBold" w:eastAsia="Poppins SemiBold" w:hAnsi="Poppins SemiBold"/>
                <w:color w:val="8D6605"/>
                <w:sz w:val="18"/>
                <w:szCs w:val="18"/>
              </w:rPr>
              <w:t xml:space="preserve">Protecting against payment fraud</w:t>
            </w:r>
          </w:p>
          <w:p>
            <w:pPr>
              <w:spacing w:after="70" w:line="285"/>
            </w:pPr>
            <w:r>
              <w:rPr>
                <w:rFonts w:ascii="Open Sans" w:cs="Open Sans" w:eastAsia="Open Sans" w:hAnsi="Open Sans"/>
                <w:sz w:val="19"/>
                <w:szCs w:val="19"/>
              </w:rPr>
              <w:t xml:space="preserve">Changing a supplier's bank details is one of the most common routes to fraud. In PERA, any change to a supplier's bank details notifies Finance immediately and is written to the audit trail. Payments only ever use the details on the verified supplier record.</w:t>
            </w:r>
          </w:p>
        </w:tc>
      </w:tr>
    </w:tbl>
    <w:p>
      <w:pPr>
        <w:spacing w:after="160"/>
      </w:pPr>
    </w:p>
    <w:p>
      <w:pPr>
        <w:pageBreakBefore/>
        <w:spacing w:after="40"/>
      </w:pPr>
      <w:r>
        <w:rPr>
          <w:rFonts w:ascii="Poppins SemiBold" w:cs="Poppins SemiBold" w:eastAsia="Poppins SemiBold" w:hAnsi="Poppins SemiBold"/>
          <w:color w:val="1565C0"/>
          <w:spacing w:val="40"/>
          <w:sz w:val="17"/>
          <w:szCs w:val="17"/>
        </w:rPr>
        <w:t xml:space="preserve">SECTION 08</w:t>
      </w:r>
    </w:p>
    <w:p>
      <w:pPr>
        <w:pStyle w:val="Heading1"/>
        <w:pBdr>
          <w:bottom w:val="single" w:color="5FD6FF" w:sz="18" w:space="8"/>
        </w:pBdr>
      </w:pPr>
      <w:r>
        <w:t xml:space="preserve">Expense claims</w:t>
      </w:r>
    </w:p>
    <w:p>
      <w:pPr>
        <w:spacing w:after="140" w:before="0" w:line="300"/>
      </w:pPr>
      <w:r>
        <w:rPr>
          <w:rFonts w:ascii="Open Sans" w:cs="Open Sans" w:eastAsia="Open Sans" w:hAnsi="Open Sans"/>
        </w:rPr>
        <w:t xml:space="preserve">Expense claims are for money a member of staff has already paid out of their own pocket: a taxi to a client, a meal on a trip, an urgent part bought over the counter. The claim records the expense date, the amount, what it was for and who should be reimbursed, with the receipts attached. Smart scan can read a receipt and fill in the claim.</w:t>
      </w:r>
    </w:p>
    <w:p>
      <w:pPr>
        <w:spacing w:after="140" w:before="0" w:line="300"/>
      </w:pPr>
      <w:r>
        <w:rPr>
          <w:rFonts w:ascii="Open Sans" w:cs="Open Sans" w:eastAsia="Open Sans" w:hAnsi="Open Sans"/>
        </w:rPr>
        <w:t xml:space="preserve">Claims are numbered EX- and use the same approval tiers as requisitions, followed by the finance review. Once released, Finance reimburses the claimant and the claim moves to Paid. The Expenses page has tabs for All, Pending, Pending review, Approved, Drafts, Rejected and Paid, and a filter to show just your department.</w:t>
      </w:r>
    </w:p>
    <w:p>
      <w:pPr>
        <w:pageBreakBefore/>
        <w:spacing w:after="40"/>
      </w:pPr>
      <w:r>
        <w:rPr>
          <w:rFonts w:ascii="Poppins SemiBold" w:cs="Poppins SemiBold" w:eastAsia="Poppins SemiBold" w:hAnsi="Poppins SemiBold"/>
          <w:color w:val="1565C0"/>
          <w:spacing w:val="40"/>
          <w:sz w:val="17"/>
          <w:szCs w:val="17"/>
        </w:rPr>
        <w:t xml:space="preserve">SECTION 09</w:t>
      </w:r>
    </w:p>
    <w:p>
      <w:pPr>
        <w:pStyle w:val="Heading1"/>
        <w:pBdr>
          <w:bottom w:val="single" w:color="5FD6FF" w:sz="18" w:space="8"/>
        </w:pBdr>
      </w:pPr>
      <w:r>
        <w:t xml:space="preserve">Suppliers and the catalogue</w:t>
      </w:r>
    </w:p>
    <w:p>
      <w:pPr>
        <w:pStyle w:val="Heading2"/>
        <w:keepNext/>
      </w:pPr>
      <w:r>
        <w:t xml:space="preserve">Suppliers</w:t>
      </w:r>
    </w:p>
    <w:p>
      <w:pPr>
        <w:spacing w:after="140" w:before="0" w:line="300"/>
      </w:pPr>
      <w:r>
        <w:rPr>
          <w:rFonts w:ascii="Open Sans" w:cs="Open Sans" w:eastAsia="Open Sans" w:hAnsi="Open Sans"/>
        </w:rPr>
        <w:t xml:space="preserve">The supplier register holds each supplier's contacts, category, country, bank details and status. New suppliers can be put through an approval step before they can be used. For each supplier PERA keeps:</w:t>
      </w:r>
    </w:p>
    <w:p>
      <w:pPr>
        <w:pStyle w:val="ListParagraph"/>
        <w:numPr>
          <w:ilvl w:val="0"/>
          <w:numId w:val="2"/>
        </w:numPr>
        <w:spacing w:after="70" w:line="290"/>
      </w:pPr>
      <w:r>
        <w:rPr>
          <w:rFonts w:ascii="Open Sans" w:cs="Open Sans" w:eastAsia="Open Sans" w:hAnsi="Open Sans"/>
        </w:rPr>
        <w:t xml:space="preserve">compliance documents such as tax clearance and registration certificates, with expiry dates and an advance warning before they lapse;</w:t>
      </w:r>
    </w:p>
    <w:p>
      <w:pPr>
        <w:pStyle w:val="ListParagraph"/>
        <w:numPr>
          <w:ilvl w:val="0"/>
          <w:numId w:val="2"/>
        </w:numPr>
        <w:spacing w:after="70" w:line="290"/>
      </w:pPr>
      <w:r>
        <w:rPr>
          <w:rFonts w:ascii="Open Sans" w:cs="Open Sans" w:eastAsia="Open Sans" w:hAnsi="Open Sans"/>
        </w:rPr>
        <w:t xml:space="preserve">ESG tags, for example local or SME supplier, used in the reports;</w:t>
      </w:r>
    </w:p>
    <w:p>
      <w:pPr>
        <w:pStyle w:val="ListParagraph"/>
        <w:numPr>
          <w:ilvl w:val="0"/>
          <w:numId w:val="2"/>
        </w:numPr>
        <w:spacing w:after="70" w:line="290"/>
      </w:pPr>
      <w:r>
        <w:rPr>
          <w:rFonts w:ascii="Open Sans" w:cs="Open Sans" w:eastAsia="Open Sans" w:hAnsi="Open Sans"/>
        </w:rPr>
        <w:t xml:space="preserve">performance reviews and the delivery ratings collected on each delivery.</w:t>
      </w:r>
    </w:p>
    <w:p>
      <w:pPr>
        <w:spacing w:after="140" w:before="0" w:line="300"/>
      </w:pPr>
      <w:r>
        <w:rPr>
          <w:rFonts w:ascii="Open Sans" w:cs="Open Sans" w:eastAsia="Open Sans" w:hAnsi="Open Sans"/>
        </w:rPr>
        <w:t xml:space="preserve">Suppliers can be imported from and exported to CSV. A supplier that has ever been used on a transaction cannot be deleted, only deactivated.</w:t>
      </w:r>
    </w:p>
    <w:p>
      <w:pPr>
        <w:pStyle w:val="Heading2"/>
        <w:keepNext/>
      </w:pPr>
      <w:r>
        <w:t xml:space="preserve">The supplier portal</w:t>
      </w:r>
    </w:p>
    <w:p>
      <w:pPr>
        <w:spacing w:after="140" w:before="0" w:line="300"/>
      </w:pPr>
      <w:r>
        <w:rPr>
          <w:rFonts w:ascii="Open Sans" w:cs="Open Sans" w:eastAsia="Open Sans" w:hAnsi="Open Sans"/>
        </w:rPr>
        <w:t xml:space="preserve">If the portal is switched on, Procurement can invite people from a supplier to sign in. In the portal they see their RFQ invitations and submit quotes, see their issued purchase orders, follow their invoices and exchange messages. They cannot see anything belonging to another supplier, or any internal record.</w:t>
      </w:r>
    </w:p>
    <w:p>
      <w:pPr>
        <w:pStyle w:val="Heading2"/>
        <w:keepNext/>
      </w:pPr>
      <w:r>
        <w:t xml:space="preserve">Items and categories</w:t>
      </w:r>
    </w:p>
    <w:p>
      <w:pPr>
        <w:spacing w:after="140" w:before="0" w:line="300"/>
      </w:pPr>
      <w:r>
        <w:rPr>
          <w:rFonts w:ascii="Open Sans" w:cs="Open Sans" w:eastAsia="Open Sans" w:hAnsi="Open Sans"/>
        </w:rPr>
        <w:t xml:space="preserve">The item catalogue holds things the organisation buys regularly, with item numbers, purchase prices and units of measure. Favourite items are quick to add to a requisition. Categories group items and suppliers for reporting. Like suppliers, items and categories that have been used cannot be deleted.</w:t>
      </w:r>
    </w:p>
    <w:p>
      <w:pPr>
        <w:pageBreakBefore/>
        <w:spacing w:after="40"/>
      </w:pPr>
      <w:r>
        <w:rPr>
          <w:rFonts w:ascii="Poppins SemiBold" w:cs="Poppins SemiBold" w:eastAsia="Poppins SemiBold" w:hAnsi="Poppins SemiBold"/>
          <w:color w:val="1565C0"/>
          <w:spacing w:val="40"/>
          <w:sz w:val="17"/>
          <w:szCs w:val="17"/>
        </w:rPr>
        <w:t xml:space="preserve">SECTION 10</w:t>
      </w:r>
    </w:p>
    <w:p>
      <w:pPr>
        <w:pStyle w:val="Heading1"/>
        <w:pBdr>
          <w:bottom w:val="single" w:color="5FD6FF" w:sz="18" w:space="8"/>
        </w:pBdr>
      </w:pPr>
      <w:r>
        <w:t xml:space="preserve">Planning, budgets and reports</w:t>
      </w:r>
    </w:p>
    <w:p>
      <w:pPr>
        <w:pStyle w:val="Heading2"/>
        <w:keepNext/>
      </w:pPr>
      <w:r>
        <w:t xml:space="preserve">Procurement plan</w:t>
      </w:r>
    </w:p>
    <w:p>
      <w:pPr>
        <w:spacing w:after="140" w:before="0" w:line="300"/>
      </w:pPr>
      <w:r>
        <w:rPr>
          <w:rFonts w:ascii="Open Sans" w:cs="Open Sans" w:eastAsia="Open Sans" w:hAnsi="Open Sans"/>
        </w:rPr>
        <w:t xml:space="preserve">Departments record what they plan to buy, by quarter. When the time comes, a requisition can be raised directly from a plan line, so the plan and the actual spend stay connected.</w:t>
      </w:r>
    </w:p>
    <w:p>
      <w:pPr>
        <w:pStyle w:val="Heading2"/>
        <w:keepNext/>
      </w:pPr>
      <w:r>
        <w:t xml:space="preserve">Budgets</w:t>
      </w:r>
    </w:p>
    <w:p>
      <w:pPr>
        <w:spacing w:after="140" w:before="0" w:line="300"/>
      </w:pPr>
      <w:r>
        <w:rPr>
          <w:rFonts w:ascii="Open Sans" w:cs="Open Sans" w:eastAsia="Open Sans" w:hAnsi="Open Sans"/>
        </w:rPr>
        <w:t xml:space="preserve">Budget lines are set by code, department and branch. For each line PERA shows three figures: what has been spent, what is committed (approved but not yet paid) and what is still available. Requisitions show the available balance as they are written, and the administrator decides whether going over the limit is a warning or a hard stop.</w:t>
      </w:r>
    </w:p>
    <w:p>
      <w:pPr>
        <w:pStyle w:val="Heading2"/>
        <w:keepNext/>
      </w:pPr>
      <w:r>
        <w:t xml:space="preserve">Dashboard</w:t>
      </w:r>
    </w:p>
    <w:p>
      <w:pPr>
        <w:spacing w:after="140" w:before="0" w:line="300"/>
      </w:pPr>
      <w:r>
        <w:rPr>
          <w:rFonts w:ascii="Open Sans" w:cs="Open Sans" w:eastAsia="Open Sans" w:hAnsi="Open Sans"/>
        </w:rPr>
        <w:t xml:space="preserve">The dashboard is the first thing people see after signing in. It shows open purchase orders, pending approvals, overdue items and this month's spend, then a breakdown of spend by category and supplier, requisitions over time, budget use and recent activity. It can be viewed for the whole company or for one branch, and from a purchasing, finance, approver or personal angle.</w:t>
      </w:r>
    </w:p>
    <w:p>
      <w:pPr>
        <w:pStyle w:val="Heading2"/>
        <w:keepNext/>
      </w:pPr>
      <w:r>
        <w:t xml:space="preserve">Reports</w:t>
      </w:r>
    </w:p>
    <w:tbl>
      <w:tblPr>
        <w:tblW w:type="dxa" w:w="9638"/>
        <w:tblBorders>
          <w:top w:val="none" w:color="FFFFFF" w:sz="0"/>
          <w:left w:val="none" w:color="FFFFFF" w:sz="0"/>
          <w:bottom w:val="single" w:color="081D4D" w:sz="8"/>
          <w:right w:val="none" w:color="FFFFFF" w:sz="0"/>
          <w:insideH w:val="none" w:color="FFFFFF" w:sz="0"/>
          <w:insideV w:val="none" w:color="FFFFFF" w:sz="0"/>
        </w:tblBorders>
        <w:tblLayout w:type="fixed"/>
      </w:tblPr>
      <w:tblGrid>
        <w:gridCol w:w="2506"/>
        <w:gridCol w:w="7132"/>
      </w:tblGrid>
      <w:tr>
        <w:trPr>
          <w:cantSplit/>
          <w:tblHeader/>
        </w:trPr>
        <w:tc>
          <w:tcPr>
            <w:tcW w:type="dxa" w:w="2506"/>
            <w:tcBorders>
              <w:top w:val="none" w:color="FFFFFF" w:sz="0"/>
              <w:left w:val="none" w:color="FFFFFF" w:sz="0"/>
              <w:bottom w:val="none" w:color="FFFFFF" w:sz="0"/>
              <w:right w:val="none" w:color="FFFFFF" w:sz="0"/>
            </w:tcBorders>
            <w:shd w:fill="081D4D" w:color="auto" w:val="clear"/>
            <w:tcMar>
              <w:top w:type="dxa" w:w="100"/>
              <w:left w:type="dxa" w:w="120"/>
              <w:bottom w:type="dxa" w:w="80"/>
              <w:right w:type="dxa" w:w="120"/>
            </w:tcMar>
            <w:vAlign w:val="top"/>
          </w:tcPr>
          <w:p>
            <w:pPr>
              <w:keepNext/>
              <w:spacing w:after="40" w:line="264"/>
            </w:pPr>
            <w:r>
              <w:rPr>
                <w:rFonts w:ascii="Poppins SemiBold" w:cs="Poppins SemiBold" w:eastAsia="Poppins SemiBold" w:hAnsi="Poppins SemiBold"/>
                <w:color w:val="FFFFFF"/>
                <w:sz w:val="17"/>
                <w:szCs w:val="17"/>
              </w:rPr>
              <w:t xml:space="preserve">Report</w:t>
            </w:r>
          </w:p>
        </w:tc>
        <w:tc>
          <w:tcPr>
            <w:tcW w:type="dxa" w:w="7132"/>
            <w:tcBorders>
              <w:top w:val="none" w:color="FFFFFF" w:sz="0"/>
              <w:left w:val="none" w:color="FFFFFF" w:sz="0"/>
              <w:bottom w:val="none" w:color="FFFFFF" w:sz="0"/>
              <w:right w:val="none" w:color="FFFFFF" w:sz="0"/>
            </w:tcBorders>
            <w:shd w:fill="081D4D" w:color="auto" w:val="clear"/>
            <w:tcMar>
              <w:top w:type="dxa" w:w="100"/>
              <w:left w:type="dxa" w:w="120"/>
              <w:bottom w:type="dxa" w:w="80"/>
              <w:right w:type="dxa" w:w="120"/>
            </w:tcMar>
            <w:vAlign w:val="top"/>
          </w:tcPr>
          <w:p>
            <w:pPr>
              <w:keepNext/>
              <w:spacing w:after="40" w:line="264"/>
            </w:pPr>
            <w:r>
              <w:rPr>
                <w:rFonts w:ascii="Poppins SemiBold" w:cs="Poppins SemiBold" w:eastAsia="Poppins SemiBold" w:hAnsi="Poppins SemiBold"/>
                <w:color w:val="FFFFFF"/>
                <w:sz w:val="17"/>
                <w:szCs w:val="17"/>
              </w:rPr>
              <w:t xml:space="preserve">What it shows</w:t>
            </w:r>
          </w:p>
        </w:tc>
      </w:tr>
      <w:tr>
        <w:trPr>
          <w:cantSplit/>
        </w:trPr>
        <w:tc>
          <w:tcPr>
            <w:tcW w:type="dxa" w:w="2506"/>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Spend</w:t>
            </w:r>
          </w:p>
        </w:tc>
        <w:tc>
          <w:tcPr>
            <w:tcW w:type="dxa" w:w="7132"/>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Spend by month, department and category.</w:t>
            </w:r>
          </w:p>
        </w:tc>
      </w:tr>
      <w:tr>
        <w:trPr>
          <w:cantSplit/>
        </w:trPr>
        <w:tc>
          <w:tcPr>
            <w:tcW w:type="dxa" w:w="2506"/>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Cycle times</w:t>
            </w:r>
          </w:p>
        </w:tc>
        <w:tc>
          <w:tcPr>
            <w:tcW w:type="dxa" w:w="7132"/>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How long approvals take, and the time from request to payment.</w:t>
            </w:r>
          </w:p>
        </w:tc>
      </w:tr>
      <w:tr>
        <w:trPr>
          <w:cantSplit/>
        </w:trPr>
        <w:tc>
          <w:tcPr>
            <w:tcW w:type="dxa" w:w="2506"/>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Sourcing</w:t>
            </w:r>
          </w:p>
        </w:tc>
        <w:tc>
          <w:tcPr>
            <w:tcW w:type="dxa" w:w="7132"/>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The share of spend under contract, competitively sourced, and with local or SME suppliers.</w:t>
            </w:r>
          </w:p>
        </w:tc>
      </w:tr>
      <w:tr>
        <w:trPr>
          <w:cantSplit/>
        </w:trPr>
        <w:tc>
          <w:tcPr>
            <w:tcW w:type="dxa" w:w="2506"/>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val="false"/>
              <w:spacing w:after="40" w:line="264"/>
            </w:pPr>
            <w:r>
              <w:rPr>
                <w:rFonts w:ascii="Open Sans SemiBold" w:cs="Open Sans SemiBold" w:eastAsia="Open Sans SemiBold" w:hAnsi="Open Sans SemiBold"/>
                <w:color w:val="081D4D"/>
                <w:sz w:val="18"/>
                <w:szCs w:val="18"/>
              </w:rPr>
              <w:t xml:space="preserve">Supplier performance</w:t>
            </w:r>
          </w:p>
        </w:tc>
        <w:tc>
          <w:tcPr>
            <w:tcW w:type="dxa" w:w="7132"/>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val="false"/>
              <w:spacing w:after="40" w:line="264"/>
            </w:pPr>
            <w:r>
              <w:rPr>
                <w:rFonts w:ascii="Open Sans" w:cs="Open Sans" w:eastAsia="Open Sans" w:hAnsi="Open Sans"/>
                <w:sz w:val="18"/>
                <w:szCs w:val="18"/>
              </w:rPr>
              <w:t xml:space="preserve">Ratings and reviews per supplier.</w:t>
            </w:r>
          </w:p>
        </w:tc>
      </w:tr>
    </w:tbl>
    <w:p>
      <w:pPr>
        <w:spacing w:after="120"/>
      </w:pPr>
    </w:p>
    <w:p>
      <w:pPr>
        <w:spacing w:after="140" w:before="0" w:line="300"/>
      </w:pPr>
      <w:r>
        <w:rPr>
          <w:rFonts w:ascii="Open Sans" w:cs="Open Sans" w:eastAsia="Open Sans" w:hAnsi="Open Sans"/>
        </w:rPr>
        <w:t xml:space="preserve">Every list in PERA can also be exported to CSV for further analysis.</w:t>
      </w:r>
    </w:p>
    <w:p>
      <w:pPr>
        <w:pageBreakBefore/>
        <w:spacing w:after="40"/>
      </w:pPr>
      <w:r>
        <w:rPr>
          <w:rFonts w:ascii="Poppins SemiBold" w:cs="Poppins SemiBold" w:eastAsia="Poppins SemiBold" w:hAnsi="Poppins SemiBold"/>
          <w:color w:val="1565C0"/>
          <w:spacing w:val="40"/>
          <w:sz w:val="17"/>
          <w:szCs w:val="17"/>
        </w:rPr>
        <w:t xml:space="preserve">SECTION 11</w:t>
      </w:r>
    </w:p>
    <w:p>
      <w:pPr>
        <w:pStyle w:val="Heading1"/>
        <w:pBdr>
          <w:bottom w:val="single" w:color="5FD6FF" w:sz="18" w:space="8"/>
        </w:pBdr>
      </w:pPr>
      <w:r>
        <w:t xml:space="preserve">Staying informed</w:t>
      </w:r>
    </w:p>
    <w:p>
      <w:pPr>
        <w:pStyle w:val="Heading2"/>
        <w:keepNext/>
      </w:pPr>
      <w:r>
        <w:t xml:space="preserve">Notifications</w:t>
      </w:r>
    </w:p>
    <w:p>
      <w:pPr>
        <w:spacing w:after="140" w:before="0" w:line="300"/>
      </w:pPr>
      <w:r>
        <w:rPr>
          <w:rFonts w:ascii="Open Sans" w:cs="Open Sans" w:eastAsia="Open Sans" w:hAnsi="Open Sans"/>
        </w:rPr>
        <w:t xml:space="preserve">PERA tells people when something needs them or when something of theirs has moved: a request waiting for approval, an approval or rejection, a reminder, an escalation, a delivery, a payment. The bell at the top of every page shows the latest. </w:t>
      </w:r>
      <w:r>
        <w:rPr>
          <w:rFonts w:ascii="Open Sans SemiBold" w:cs="Open Sans SemiBold" w:eastAsia="Open Sans SemiBold" w:hAnsi="Open Sans SemiBold"/>
          <w:color w:val="081D4D"/>
        </w:rPr>
        <w:t xml:space="preserve">See all notifications</w:t>
      </w:r>
      <w:r>
        <w:rPr>
          <w:rFonts w:ascii="Open Sans" w:cs="Open Sans" w:eastAsia="Open Sans" w:hAnsi="Open Sans"/>
        </w:rPr>
        <w:t xml:space="preserve"> opens the full list, grouped by day, with search, a type filter and Unread and Viewed tabs. Removing a notification only hides it from your list. Nothing is deleted.</w:t>
      </w:r>
    </w:p>
    <w:p>
      <w:pPr>
        <w:pStyle w:val="Heading2"/>
        <w:keepNext/>
      </w:pPr>
      <w:r>
        <w:t xml:space="preserve">Email and desktop alerts</w:t>
      </w:r>
    </w:p>
    <w:p>
      <w:pPr>
        <w:spacing w:after="140" w:before="0" w:line="300"/>
      </w:pPr>
      <w:r>
        <w:rPr>
          <w:rFonts w:ascii="Open Sans" w:cs="Open Sans" w:eastAsia="Open Sans" w:hAnsi="Open Sans"/>
        </w:rPr>
        <w:t xml:space="preserve">Notifications are also sent by email. Under </w:t>
      </w:r>
      <w:r>
        <w:rPr>
          <w:rFonts w:ascii="Open Sans SemiBold" w:cs="Open Sans SemiBold" w:eastAsia="Open Sans SemiBold" w:hAnsi="Open Sans SemiBold"/>
          <w:color w:val="081D4D"/>
        </w:rPr>
        <w:t xml:space="preserve">My profile → Email &amp; alerts</w:t>
      </w:r>
      <w:r>
        <w:rPr>
          <w:rFonts w:ascii="Open Sans" w:cs="Open Sans" w:eastAsia="Open Sans" w:hAnsi="Open Sans"/>
        </w:rPr>
        <w:t xml:space="preserve">, each person chooses which kinds they want by email, whether they want desktop pop-ups, and whether to be reminded before supplier documents expire. Security emails, such as password changes, are always sent.</w:t>
      </w:r>
    </w:p>
    <w:p>
      <w:pPr>
        <w:pStyle w:val="Heading2"/>
        <w:keepNext/>
      </w:pPr>
      <w:r>
        <w:t xml:space="preserve">Comments and messages</w:t>
      </w:r>
    </w:p>
    <w:p>
      <w:pPr>
        <w:spacing w:after="140" w:before="0" w:line="300"/>
      </w:pPr>
      <w:r>
        <w:rPr>
          <w:rFonts w:ascii="Open Sans" w:cs="Open Sans" w:eastAsia="Open Sans" w:hAnsi="Open Sans"/>
        </w:rPr>
        <w:t xml:space="preserve">Every record has a comments thread. Typing @ followed by a first name notifies that person. All the conversations a person is part of are collected on the Messages page, so a question about a requisition never gets lost in email.</w:t>
      </w:r>
    </w:p>
    <w:p>
      <w:pPr>
        <w:pStyle w:val="Heading2"/>
        <w:keepNext/>
      </w:pPr>
      <w:r>
        <w:t xml:space="preserve">My profile</w:t>
      </w:r>
    </w:p>
    <w:p>
      <w:pPr>
        <w:spacing w:after="140" w:before="0" w:line="300"/>
      </w:pPr>
      <w:r>
        <w:rPr>
          <w:rFonts w:ascii="Open Sans" w:cs="Open Sans" w:eastAsia="Open Sans" w:hAnsi="Open Sans"/>
        </w:rPr>
        <w:t xml:space="preserve">From the user menu, </w:t>
      </w:r>
      <w:r>
        <w:rPr>
          <w:rFonts w:ascii="Open Sans SemiBold" w:cs="Open Sans SemiBold" w:eastAsia="Open Sans SemiBold" w:hAnsi="Open Sans SemiBold"/>
          <w:color w:val="081D4D"/>
        </w:rPr>
        <w:t xml:space="preserve">My profile</w:t>
      </w:r>
      <w:r>
        <w:rPr>
          <w:rFonts w:ascii="Open Sans" w:cs="Open Sans" w:eastAsia="Open Sans" w:hAnsi="Open Sans"/>
        </w:rPr>
        <w:t xml:space="preserve"> lets each person set their photo, job title and phone number, choose a light or dark theme, pick which dashboard view opens first, change their password and sign out of every device at once.</w:t>
      </w:r>
    </w:p>
    <w:p>
      <w:pPr>
        <w:pageBreakBefore/>
        <w:spacing w:after="40"/>
      </w:pPr>
      <w:r>
        <w:rPr>
          <w:rFonts w:ascii="Poppins SemiBold" w:cs="Poppins SemiBold" w:eastAsia="Poppins SemiBold" w:hAnsi="Poppins SemiBold"/>
          <w:color w:val="1565C0"/>
          <w:spacing w:val="40"/>
          <w:sz w:val="17"/>
          <w:szCs w:val="17"/>
        </w:rPr>
        <w:t xml:space="preserve">SECTION 12</w:t>
      </w:r>
    </w:p>
    <w:p>
      <w:pPr>
        <w:pStyle w:val="Heading1"/>
        <w:pBdr>
          <w:bottom w:val="single" w:color="5FD6FF" w:sz="18" w:space="8"/>
        </w:pBdr>
      </w:pPr>
      <w:r>
        <w:t xml:space="preserve">Setting up and running PERA</w:t>
      </w:r>
    </w:p>
    <w:p>
      <w:pPr>
        <w:pStyle w:val="Heading2"/>
        <w:keepNext/>
      </w:pPr>
      <w:r>
        <w:t xml:space="preserve">The setup wizard</w:t>
      </w:r>
    </w:p>
    <w:p>
      <w:pPr>
        <w:spacing w:after="140" w:before="0" w:line="300"/>
      </w:pPr>
      <w:r>
        <w:rPr>
          <w:rFonts w:ascii="Open Sans" w:cs="Open Sans" w:eastAsia="Open Sans" w:hAnsi="Open Sans"/>
        </w:rPr>
        <w:t xml:space="preserve">A new installation opens with a four-step wizard for the client administrator:</w:t>
      </w:r>
    </w:p>
    <w:p>
      <w:pPr>
        <w:pStyle w:val="ListParagraph"/>
        <w:numPr>
          <w:ilvl w:val="0"/>
          <w:numId w:val="3"/>
        </w:numPr>
        <w:spacing w:after="70" w:line="290"/>
      </w:pPr>
      <w:r>
        <w:rPr>
          <w:rFonts w:ascii="Open Sans SemiBold" w:cs="Open Sans SemiBold" w:eastAsia="Open Sans SemiBold" w:hAnsi="Open Sans SemiBold"/>
          <w:color w:val="081D4D"/>
        </w:rPr>
        <w:t xml:space="preserve">Your account.</w:t>
      </w:r>
      <w:r>
        <w:rPr>
          <w:rFonts w:ascii="Open Sans" w:cs="Open Sans" w:eastAsia="Open Sans" w:hAnsi="Open Sans"/>
        </w:rPr>
        <w:t xml:space="preserve"> The administrator's own details.</w:t>
      </w:r>
    </w:p>
    <w:p>
      <w:pPr>
        <w:pStyle w:val="ListParagraph"/>
        <w:numPr>
          <w:ilvl w:val="0"/>
          <w:numId w:val="3"/>
        </w:numPr>
        <w:spacing w:after="70" w:line="290"/>
      </w:pPr>
      <w:r>
        <w:rPr>
          <w:rFonts w:ascii="Open Sans SemiBold" w:cs="Open Sans SemiBold" w:eastAsia="Open Sans SemiBold" w:hAnsi="Open Sans SemiBold"/>
          <w:color w:val="081D4D"/>
        </w:rPr>
        <w:t xml:space="preserve">Your company.</w:t>
      </w:r>
      <w:r>
        <w:rPr>
          <w:rFonts w:ascii="Open Sans" w:cs="Open Sans" w:eastAsia="Open Sans" w:hAnsi="Open Sans"/>
        </w:rPr>
        <w:t xml:space="preserve"> Company name, currencies, departments with their codes, branches and the head-office address.</w:t>
      </w:r>
    </w:p>
    <w:p>
      <w:pPr>
        <w:pStyle w:val="ListParagraph"/>
        <w:numPr>
          <w:ilvl w:val="0"/>
          <w:numId w:val="3"/>
        </w:numPr>
        <w:spacing w:after="70" w:line="290"/>
      </w:pPr>
      <w:r>
        <w:rPr>
          <w:rFonts w:ascii="Open Sans SemiBold" w:cs="Open Sans SemiBold" w:eastAsia="Open Sans SemiBold" w:hAnsi="Open Sans SemiBold"/>
          <w:color w:val="081D4D"/>
        </w:rPr>
        <w:t xml:space="preserve">People and approvals.</w:t>
      </w:r>
      <w:r>
        <w:rPr>
          <w:rFonts w:ascii="Open Sans" w:cs="Open Sans" w:eastAsia="Open Sans" w:hAnsi="Open Sans"/>
        </w:rPr>
        <w:t xml:space="preserve"> The people who will use PERA, their roles, who approves what, and which modules are switched on.</w:t>
      </w:r>
    </w:p>
    <w:p>
      <w:pPr>
        <w:pStyle w:val="ListParagraph"/>
        <w:numPr>
          <w:ilvl w:val="0"/>
          <w:numId w:val="3"/>
        </w:numPr>
        <w:spacing w:after="70" w:line="290"/>
      </w:pPr>
      <w:r>
        <w:rPr>
          <w:rFonts w:ascii="Open Sans SemiBold" w:cs="Open Sans SemiBold" w:eastAsia="Open Sans SemiBold" w:hAnsi="Open Sans SemiBold"/>
          <w:color w:val="081D4D"/>
        </w:rPr>
        <w:t xml:space="preserve">Check and activate.</w:t>
      </w:r>
      <w:r>
        <w:rPr>
          <w:rFonts w:ascii="Open Sans" w:cs="Open Sans" w:eastAsia="Open Sans" w:hAnsi="Open Sans"/>
        </w:rPr>
        <w:t xml:space="preserve"> A summary of everything entered. </w:t>
      </w:r>
      <w:r>
        <w:rPr>
          <w:rFonts w:ascii="Open Sans SemiBold" w:cs="Open Sans SemiBold" w:eastAsia="Open Sans SemiBold" w:hAnsi="Open Sans SemiBold"/>
          <w:color w:val="081D4D"/>
        </w:rPr>
        <w:t xml:space="preserve">Activate</w:t>
      </w:r>
      <w:r>
        <w:rPr>
          <w:rFonts w:ascii="Open Sans" w:cs="Open Sans" w:eastAsia="Open Sans" w:hAnsi="Open Sans"/>
        </w:rPr>
        <w:t xml:space="preserve"> puts it live.</w:t>
      </w:r>
    </w:p>
    <w:p>
      <w:pPr>
        <w:pStyle w:val="Heading2"/>
        <w:keepNext/>
      </w:pPr>
      <w:r>
        <w:t xml:space="preserve">Manage company</w:t>
      </w:r>
    </w:p>
    <w:p>
      <w:pPr>
        <w:spacing w:after="140" w:before="0" w:line="300"/>
      </w:pPr>
      <w:r>
        <w:rPr>
          <w:rFonts w:ascii="Open Sans" w:cs="Open Sans" w:eastAsia="Open Sans" w:hAnsi="Open Sans"/>
        </w:rPr>
        <w:t xml:space="preserve">Administrators find day-to-day housekeeping under </w:t>
      </w:r>
      <w:r>
        <w:rPr>
          <w:rFonts w:ascii="Open Sans SemiBold" w:cs="Open Sans SemiBold" w:eastAsia="Open Sans SemiBold" w:hAnsi="Open Sans SemiBold"/>
          <w:color w:val="081D4D"/>
        </w:rPr>
        <w:t xml:space="preserve">Manage company</w:t>
      </w:r>
      <w:r>
        <w:rPr>
          <w:rFonts w:ascii="Open Sans" w:cs="Open Sans" w:eastAsia="Open Sans" w:hAnsi="Open Sans"/>
        </w:rPr>
        <w:t xml:space="preserve"> in the user menu:</w:t>
      </w:r>
    </w:p>
    <w:p>
      <w:pPr>
        <w:pStyle w:val="ListParagraph"/>
        <w:numPr>
          <w:ilvl w:val="0"/>
          <w:numId w:val="2"/>
        </w:numPr>
        <w:spacing w:after="70" w:line="290"/>
      </w:pPr>
      <w:r>
        <w:rPr>
          <w:rFonts w:ascii="Open Sans SemiBold" w:cs="Open Sans SemiBold" w:eastAsia="Open Sans SemiBold" w:hAnsi="Open Sans SemiBold"/>
          <w:color w:val="081D4D"/>
        </w:rPr>
        <w:t xml:space="preserve">Users.</w:t>
      </w:r>
      <w:r>
        <w:rPr>
          <w:rFonts w:ascii="Open Sans" w:cs="Open Sans" w:eastAsia="Open Sans" w:hAnsi="Open Sans"/>
        </w:rPr>
        <w:t xml:space="preserve"> Active, Pending (added but never signed in) and Inactive tabs, last sign-in dates, and a warning for logins unused for 90 days or more. People are deactivated rather than deleted, so their history stays intact.</w:t>
      </w:r>
    </w:p>
    <w:p>
      <w:pPr>
        <w:pStyle w:val="ListParagraph"/>
        <w:numPr>
          <w:ilvl w:val="0"/>
          <w:numId w:val="2"/>
        </w:numPr>
        <w:spacing w:after="70" w:line="290"/>
      </w:pPr>
      <w:r>
        <w:rPr>
          <w:rFonts w:ascii="Open Sans SemiBold" w:cs="Open Sans SemiBold" w:eastAsia="Open Sans SemiBold" w:hAnsi="Open Sans SemiBold"/>
          <w:color w:val="081D4D"/>
        </w:rPr>
        <w:t xml:space="preserve">Departments.</w:t>
      </w:r>
      <w:r>
        <w:rPr>
          <w:rFonts w:ascii="Open Sans" w:cs="Open Sans" w:eastAsia="Open Sans" w:hAnsi="Open Sans"/>
        </w:rPr>
        <w:t xml:space="preserve"> Codes, dates added, how many people and records each has. A department that has been used keeps its name for the audit trail.</w:t>
      </w:r>
    </w:p>
    <w:p>
      <w:pPr>
        <w:pStyle w:val="ListParagraph"/>
        <w:numPr>
          <w:ilvl w:val="0"/>
          <w:numId w:val="2"/>
        </w:numPr>
        <w:spacing w:after="70" w:line="290"/>
      </w:pPr>
      <w:r>
        <w:rPr>
          <w:rFonts w:ascii="Open Sans SemiBold" w:cs="Open Sans SemiBold" w:eastAsia="Open Sans SemiBold" w:hAnsi="Open Sans SemiBold"/>
          <w:color w:val="081D4D"/>
        </w:rPr>
        <w:t xml:space="preserve">Addresses.</w:t>
      </w:r>
      <w:r>
        <w:rPr>
          <w:rFonts w:ascii="Open Sans" w:cs="Open Sans" w:eastAsia="Open Sans" w:hAnsi="Open Sans"/>
        </w:rPr>
        <w:t xml:space="preserve"> Delivery and distribution addresses, each with a default.</w:t>
      </w:r>
    </w:p>
    <w:p>
      <w:pPr>
        <w:pStyle w:val="ListParagraph"/>
        <w:numPr>
          <w:ilvl w:val="0"/>
          <w:numId w:val="2"/>
        </w:numPr>
        <w:spacing w:after="70" w:line="290"/>
      </w:pPr>
      <w:r>
        <w:rPr>
          <w:rFonts w:ascii="Open Sans SemiBold" w:cs="Open Sans SemiBold" w:eastAsia="Open Sans SemiBold" w:hAnsi="Open Sans SemiBold"/>
          <w:color w:val="081D4D"/>
        </w:rPr>
        <w:t xml:space="preserve">Paying accounts.</w:t>
      </w:r>
      <w:r>
        <w:rPr>
          <w:rFonts w:ascii="Open Sans" w:cs="Open Sans" w:eastAsia="Open Sans" w:hAnsi="Open Sans"/>
        </w:rPr>
        <w:t xml:space="preserve"> The company's own bank and petty-cash accounts.</w:t>
      </w:r>
    </w:p>
    <w:p>
      <w:pPr>
        <w:pStyle w:val="Heading2"/>
        <w:keepNext/>
      </w:pPr>
      <w:r>
        <w:t xml:space="preserve">Settings</w:t>
      </w:r>
    </w:p>
    <w:p>
      <w:pPr>
        <w:spacing w:after="140" w:before="0" w:line="300"/>
      </w:pPr>
      <w:r>
        <w:rPr>
          <w:rFonts w:ascii="Open Sans SemiBold" w:cs="Open Sans SemiBold" w:eastAsia="Open Sans SemiBold" w:hAnsi="Open Sans SemiBold"/>
          <w:color w:val="081D4D"/>
        </w:rPr>
        <w:t xml:space="preserve">Settings</w:t>
      </w:r>
      <w:r>
        <w:rPr>
          <w:rFonts w:ascii="Open Sans" w:cs="Open Sans" w:eastAsia="Open Sans" w:hAnsi="Open Sans"/>
        </w:rPr>
        <w:t xml:space="preserve"> holds the rules: company details and currency rates, branches, approval tiers and the purchase order and contract approvers, the finance review step, budget control, the default purchaser, reminders and escalation, help-desk contacts, branding and sign-in.</w:t>
      </w:r>
    </w:p>
    <w:p>
      <w:pPr>
        <w:pStyle w:val="Heading2"/>
        <w:keepNext/>
      </w:pPr>
      <w:r>
        <w:t xml:space="preserve">Modules</w:t>
      </w:r>
    </w:p>
    <w:p>
      <w:pPr>
        <w:spacing w:after="140" w:before="0" w:line="300"/>
      </w:pPr>
      <w:r>
        <w:rPr>
          <w:rFonts w:ascii="Open Sans" w:cs="Open Sans" w:eastAsia="Open Sans" w:hAnsi="Open Sans"/>
        </w:rPr>
        <w:t xml:space="preserve">Not every organisation needs everything. Under </w:t>
      </w:r>
      <w:r>
        <w:rPr>
          <w:rFonts w:ascii="Open Sans SemiBold" w:cs="Open Sans SemiBold" w:eastAsia="Open Sans SemiBold" w:hAnsi="Open Sans SemiBold"/>
          <w:color w:val="081D4D"/>
        </w:rPr>
        <w:t xml:space="preserve">Settings → Modules</w:t>
      </w:r>
      <w:r>
        <w:rPr>
          <w:rFonts w:ascii="Open Sans" w:cs="Open Sans" w:eastAsia="Open Sans" w:hAnsi="Open Sans"/>
        </w:rPr>
        <w:t xml:space="preserve">, parts of PERA can be switched off. A switched-off module disappears from menus, forms and pages, but nothing is deleted and it can be switched back on at any time.</w:t>
      </w:r>
    </w:p>
    <w:tbl>
      <w:tblPr>
        <w:tblW w:type="dxa" w:w="9638"/>
        <w:tblBorders>
          <w:top w:val="none" w:color="FFFFFF" w:sz="0"/>
          <w:left w:val="none" w:color="FFFFFF" w:sz="0"/>
          <w:bottom w:val="single" w:color="081D4D" w:sz="8"/>
          <w:right w:val="none" w:color="FFFFFF" w:sz="0"/>
          <w:insideH w:val="none" w:color="FFFFFF" w:sz="0"/>
          <w:insideV w:val="none" w:color="FFFFFF" w:sz="0"/>
        </w:tblBorders>
        <w:tblLayout w:type="fixed"/>
      </w:tblPr>
      <w:tblGrid>
        <w:gridCol w:w="4819"/>
        <w:gridCol w:w="4819"/>
      </w:tblGrid>
      <w:tr>
        <w:trPr>
          <w:cantSplit/>
          <w:tblHeader/>
        </w:trPr>
        <w:tc>
          <w:tcPr>
            <w:tcW w:type="dxa" w:w="4819"/>
            <w:tcBorders>
              <w:top w:val="none" w:color="FFFFFF" w:sz="0"/>
              <w:left w:val="none" w:color="FFFFFF" w:sz="0"/>
              <w:bottom w:val="none" w:color="FFFFFF" w:sz="0"/>
              <w:right w:val="none" w:color="FFFFFF" w:sz="0"/>
            </w:tcBorders>
            <w:shd w:fill="081D4D" w:color="auto" w:val="clear"/>
            <w:tcMar>
              <w:top w:type="dxa" w:w="100"/>
              <w:left w:type="dxa" w:w="120"/>
              <w:bottom w:type="dxa" w:w="80"/>
              <w:right w:type="dxa" w:w="120"/>
            </w:tcMar>
            <w:vAlign w:val="top"/>
          </w:tcPr>
          <w:p>
            <w:pPr>
              <w:keepNext/>
              <w:spacing w:after="40" w:line="264"/>
            </w:pPr>
            <w:r>
              <w:rPr>
                <w:rFonts w:ascii="Poppins SemiBold" w:cs="Poppins SemiBold" w:eastAsia="Poppins SemiBold" w:hAnsi="Poppins SemiBold"/>
                <w:color w:val="FFFFFF"/>
                <w:sz w:val="17"/>
                <w:szCs w:val="17"/>
              </w:rPr>
              <w:t xml:space="preserve">Can be switched off</w:t>
            </w:r>
          </w:p>
        </w:tc>
        <w:tc>
          <w:tcPr>
            <w:tcW w:type="dxa" w:w="4819"/>
            <w:tcBorders>
              <w:top w:val="none" w:color="FFFFFF" w:sz="0"/>
              <w:left w:val="none" w:color="FFFFFF" w:sz="0"/>
              <w:bottom w:val="none" w:color="FFFFFF" w:sz="0"/>
              <w:right w:val="none" w:color="FFFFFF" w:sz="0"/>
            </w:tcBorders>
            <w:shd w:fill="081D4D" w:color="auto" w:val="clear"/>
            <w:tcMar>
              <w:top w:type="dxa" w:w="100"/>
              <w:left w:type="dxa" w:w="120"/>
              <w:bottom w:type="dxa" w:w="80"/>
              <w:right w:type="dxa" w:w="120"/>
            </w:tcMar>
            <w:vAlign w:val="top"/>
          </w:tcPr>
          <w:p>
            <w:pPr>
              <w:keepNext/>
              <w:spacing w:after="40" w:line="264"/>
            </w:pPr>
            <w:r>
              <w:rPr>
                <w:rFonts w:ascii="Poppins SemiBold" w:cs="Poppins SemiBold" w:eastAsia="Poppins SemiBold" w:hAnsi="Poppins SemiBold"/>
                <w:color w:val="FFFFFF"/>
                <w:sz w:val="17"/>
                <w:szCs w:val="17"/>
              </w:rPr>
              <w:t xml:space="preserve">Always on</w:t>
            </w:r>
          </w:p>
        </w:tc>
      </w:tr>
      <w:tr>
        <w:trPr>
          <w:cantSplit/>
        </w:trPr>
        <w:tc>
          <w:tcPr>
            <w:tcW w:type="dxa" w:w="4819"/>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Expense claims</w:t>
            </w:r>
          </w:p>
        </w:tc>
        <w:tc>
          <w:tcPr>
            <w:tcW w:type="dxa" w:w="4819"/>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Requisitions and approvals</w:t>
            </w:r>
          </w:p>
        </w:tc>
      </w:tr>
      <w:tr>
        <w:trPr>
          <w:cantSplit/>
        </w:trPr>
        <w:tc>
          <w:tcPr>
            <w:tcW w:type="dxa" w:w="4819"/>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Requests</w:t>
            </w:r>
          </w:p>
        </w:tc>
        <w:tc>
          <w:tcPr>
            <w:tcW w:type="dxa" w:w="4819"/>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Purchase orders and deliveries</w:t>
            </w:r>
          </w:p>
        </w:tc>
      </w:tr>
      <w:tr>
        <w:trPr>
          <w:cantSplit/>
        </w:trPr>
        <w:tc>
          <w:tcPr>
            <w:tcW w:type="dxa" w:w="4819"/>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Contracts</w:t>
            </w:r>
          </w:p>
        </w:tc>
        <w:tc>
          <w:tcPr>
            <w:tcW w:type="dxa" w:w="4819"/>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Invoices and payments</w:t>
            </w:r>
          </w:p>
        </w:tc>
      </w:tr>
      <w:tr>
        <w:trPr>
          <w:cantSplit/>
        </w:trPr>
        <w:tc>
          <w:tcPr>
            <w:tcW w:type="dxa" w:w="4819"/>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RFQs</w:t>
            </w:r>
          </w:p>
        </w:tc>
        <w:tc>
          <w:tcPr>
            <w:tcW w:type="dxa" w:w="4819"/>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Suppliers and items</w:t>
            </w:r>
          </w:p>
        </w:tc>
      </w:tr>
      <w:tr>
        <w:trPr>
          <w:cantSplit/>
        </w:trPr>
        <w:tc>
          <w:tcPr>
            <w:tcW w:type="dxa" w:w="4819"/>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Procurement plan</w:t>
            </w:r>
          </w:p>
        </w:tc>
        <w:tc>
          <w:tcPr>
            <w:tcW w:type="dxa" w:w="4819"/>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Reports</w:t>
            </w:r>
          </w:p>
        </w:tc>
      </w:tr>
      <w:tr>
        <w:trPr>
          <w:cantSplit/>
        </w:trPr>
        <w:tc>
          <w:tcPr>
            <w:tcW w:type="dxa" w:w="4819"/>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Budgets</w:t>
            </w:r>
          </w:p>
        </w:tc>
        <w:tc>
          <w:tcPr>
            <w:tcW w:type="dxa" w:w="4819"/>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Audit trail</w:t>
            </w:r>
          </w:p>
        </w:tc>
      </w:tr>
      <w:tr>
        <w:trPr>
          <w:cantSplit/>
        </w:trPr>
        <w:tc>
          <w:tcPr>
            <w:tcW w:type="dxa" w:w="4819"/>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Inventory</w:t>
            </w:r>
          </w:p>
        </w:tc>
        <w:tc>
          <w:tcPr>
            <w:tcW w:type="dxa" w:w="4819"/>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p>
        </w:tc>
      </w:tr>
      <w:tr>
        <w:trPr>
          <w:cantSplit/>
        </w:trPr>
        <w:tc>
          <w:tcPr>
            <w:tcW w:type="dxa" w:w="4819"/>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Smart scan</w:t>
            </w:r>
          </w:p>
        </w:tc>
        <w:tc>
          <w:tcPr>
            <w:tcW w:type="dxa" w:w="4819"/>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p>
        </w:tc>
      </w:tr>
      <w:tr>
        <w:trPr>
          <w:cantSplit/>
        </w:trPr>
        <w:tc>
          <w:tcPr>
            <w:tcW w:type="dxa" w:w="4819"/>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val="false"/>
              <w:spacing w:after="40" w:line="264"/>
            </w:pPr>
            <w:r>
              <w:rPr>
                <w:rFonts w:ascii="Open Sans" w:cs="Open Sans" w:eastAsia="Open Sans" w:hAnsi="Open Sans"/>
                <w:sz w:val="18"/>
                <w:szCs w:val="18"/>
              </w:rPr>
              <w:t xml:space="preserve">Supplier portal</w:t>
            </w:r>
          </w:p>
        </w:tc>
        <w:tc>
          <w:tcPr>
            <w:tcW w:type="dxa" w:w="4819"/>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val="false"/>
              <w:spacing w:after="40" w:line="264"/>
            </w:pPr>
          </w:p>
        </w:tc>
      </w:tr>
    </w:tbl>
    <w:p>
      <w:pPr>
        <w:spacing w:after="120"/>
      </w:pPr>
    </w:p>
    <w:p>
      <w:pPr>
        <w:pStyle w:val="Heading2"/>
        <w:keepNext/>
      </w:pPr>
      <w:r>
        <w:t xml:space="preserve">Branding and sign-in</w:t>
      </w:r>
    </w:p>
    <w:p>
      <w:pPr>
        <w:spacing w:after="140" w:before="0" w:line="300"/>
      </w:pPr>
      <w:r>
        <w:rPr>
          <w:rFonts w:ascii="Open Sans" w:cs="Open Sans" w:eastAsia="Open Sans" w:hAnsi="Open Sans"/>
        </w:rPr>
        <w:t xml:space="preserve">Each client can show their own logo and brand colour. PERA re-colours itself to match and picks readable text colours automatically. People sign in with an email and password, or with their Microsoft work account if the organisation uses Office 365. With Microsoft sign-in, the administrator can choose to let staff from approved email domains join automatically on their first sign-in. They join as requisitioners and the administrator then sets their role.</w:t>
      </w:r>
    </w:p>
    <w:p>
      <w:pPr>
        <w:pageBreakBefore/>
        <w:spacing w:after="40"/>
      </w:pPr>
      <w:r>
        <w:rPr>
          <w:rFonts w:ascii="Poppins SemiBold" w:cs="Poppins SemiBold" w:eastAsia="Poppins SemiBold" w:hAnsi="Poppins SemiBold"/>
          <w:color w:val="1565C0"/>
          <w:spacing w:val="40"/>
          <w:sz w:val="17"/>
          <w:szCs w:val="17"/>
        </w:rPr>
        <w:t xml:space="preserve">SECTION 13</w:t>
      </w:r>
    </w:p>
    <w:p>
      <w:pPr>
        <w:pStyle w:val="Heading1"/>
        <w:pBdr>
          <w:bottom w:val="single" w:color="5FD6FF" w:sz="18" w:space="8"/>
        </w:pBdr>
      </w:pPr>
      <w:r>
        <w:t xml:space="preserve">Security and control</w:t>
      </w:r>
    </w:p>
    <w:p>
      <w:pPr>
        <w:spacing w:after="140" w:before="0" w:line="300"/>
      </w:pPr>
      <w:r>
        <w:rPr>
          <w:rFonts w:ascii="Open Sans" w:cs="Open Sans" w:eastAsia="Open Sans" w:hAnsi="Open Sans"/>
        </w:rPr>
        <w:t xml:space="preserve">Procurement is where a lot of fraud and error happens, so PERA is built to make the right thing easy and the wrong thing difficult. The controls below are enforced by the database, which means they hold even if someone tries to get around the screens.</w:t>
      </w:r>
    </w:p>
    <w:tbl>
      <w:tblPr>
        <w:tblW w:type="dxa" w:w="9638"/>
        <w:tblBorders>
          <w:top w:val="none" w:color="FFFFFF" w:sz="0"/>
          <w:left w:val="none" w:color="FFFFFF" w:sz="0"/>
          <w:bottom w:val="single" w:color="081D4D" w:sz="8"/>
          <w:right w:val="none" w:color="FFFFFF" w:sz="0"/>
          <w:insideH w:val="none" w:color="FFFFFF" w:sz="0"/>
          <w:insideV w:val="none" w:color="FFFFFF" w:sz="0"/>
        </w:tblBorders>
        <w:tblLayout w:type="fixed"/>
      </w:tblPr>
      <w:tblGrid>
        <w:gridCol w:w="2506"/>
        <w:gridCol w:w="7132"/>
      </w:tblGrid>
      <w:tr>
        <w:trPr>
          <w:cantSplit/>
          <w:tblHeader/>
        </w:trPr>
        <w:tc>
          <w:tcPr>
            <w:tcW w:type="dxa" w:w="2506"/>
            <w:tcBorders>
              <w:top w:val="none" w:color="FFFFFF" w:sz="0"/>
              <w:left w:val="none" w:color="FFFFFF" w:sz="0"/>
              <w:bottom w:val="none" w:color="FFFFFF" w:sz="0"/>
              <w:right w:val="none" w:color="FFFFFF" w:sz="0"/>
            </w:tcBorders>
            <w:shd w:fill="081D4D" w:color="auto" w:val="clear"/>
            <w:tcMar>
              <w:top w:type="dxa" w:w="100"/>
              <w:left w:type="dxa" w:w="120"/>
              <w:bottom w:type="dxa" w:w="80"/>
              <w:right w:type="dxa" w:w="120"/>
            </w:tcMar>
            <w:vAlign w:val="top"/>
          </w:tcPr>
          <w:p>
            <w:pPr>
              <w:keepNext/>
              <w:spacing w:after="40" w:line="264"/>
            </w:pPr>
            <w:r>
              <w:rPr>
                <w:rFonts w:ascii="Poppins SemiBold" w:cs="Poppins SemiBold" w:eastAsia="Poppins SemiBold" w:hAnsi="Poppins SemiBold"/>
                <w:color w:val="FFFFFF"/>
                <w:sz w:val="17"/>
                <w:szCs w:val="17"/>
              </w:rPr>
              <w:t xml:space="preserve">Control</w:t>
            </w:r>
          </w:p>
        </w:tc>
        <w:tc>
          <w:tcPr>
            <w:tcW w:type="dxa" w:w="7132"/>
            <w:tcBorders>
              <w:top w:val="none" w:color="FFFFFF" w:sz="0"/>
              <w:left w:val="none" w:color="FFFFFF" w:sz="0"/>
              <w:bottom w:val="none" w:color="FFFFFF" w:sz="0"/>
              <w:right w:val="none" w:color="FFFFFF" w:sz="0"/>
            </w:tcBorders>
            <w:shd w:fill="081D4D" w:color="auto" w:val="clear"/>
            <w:tcMar>
              <w:top w:type="dxa" w:w="100"/>
              <w:left w:type="dxa" w:w="120"/>
              <w:bottom w:type="dxa" w:w="80"/>
              <w:right w:type="dxa" w:w="120"/>
            </w:tcMar>
            <w:vAlign w:val="top"/>
          </w:tcPr>
          <w:p>
            <w:pPr>
              <w:keepNext/>
              <w:spacing w:after="40" w:line="264"/>
            </w:pPr>
            <w:r>
              <w:rPr>
                <w:rFonts w:ascii="Poppins SemiBold" w:cs="Poppins SemiBold" w:eastAsia="Poppins SemiBold" w:hAnsi="Poppins SemiBold"/>
                <w:color w:val="FFFFFF"/>
                <w:sz w:val="17"/>
                <w:szCs w:val="17"/>
              </w:rPr>
              <w:t xml:space="preserve">How PERA enforces it</w:t>
            </w:r>
          </w:p>
        </w:tc>
      </w:tr>
      <w:tr>
        <w:trPr>
          <w:cantSplit/>
        </w:trPr>
        <w:tc>
          <w:tcPr>
            <w:tcW w:type="dxa" w:w="2506"/>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Separation of duties</w:t>
            </w:r>
          </w:p>
        </w:tc>
        <w:tc>
          <w:tcPr>
            <w:tcW w:type="dxa" w:w="7132"/>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Authors are removed from their own approval routes. Only Procurement raises and cancels orders, only the requester or Procurement records deliveries, and only Finance pays and closes.</w:t>
            </w:r>
          </w:p>
        </w:tc>
      </w:tr>
      <w:tr>
        <w:trPr>
          <w:cantSplit/>
        </w:trPr>
        <w:tc>
          <w:tcPr>
            <w:tcW w:type="dxa" w:w="2506"/>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Approval integrity</w:t>
            </w:r>
          </w:p>
        </w:tc>
        <w:tc>
          <w:tcPr>
            <w:tcW w:type="dxa" w:w="7132"/>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The route is set by the server from Settings, not by the person submitting. Approvals can only be given through the approval action, once per person.</w:t>
            </w:r>
          </w:p>
        </w:tc>
      </w:tr>
      <w:tr>
        <w:trPr>
          <w:cantSplit/>
        </w:trPr>
        <w:tc>
          <w:tcPr>
            <w:tcW w:type="dxa" w:w="2506"/>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Locked records</w:t>
            </w:r>
          </w:p>
        </w:tc>
        <w:tc>
          <w:tcPr>
            <w:tcW w:type="dxa" w:w="7132"/>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Only drafts can be edited. Record numbers, authors and times are set by the server, so nobody can backdate a record or pose as someone else.</w:t>
            </w:r>
          </w:p>
        </w:tc>
      </w:tr>
      <w:tr>
        <w:trPr>
          <w:cantSplit/>
        </w:trPr>
        <w:tc>
          <w:tcPr>
            <w:tcW w:type="dxa" w:w="2506"/>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Tamper-evident audit trail</w:t>
            </w:r>
          </w:p>
        </w:tc>
        <w:tc>
          <w:tcPr>
            <w:tcW w:type="dxa" w:w="7132"/>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Every audit entry carries a fingerprint of the entry before it, forming a chain. Entries cannot be edited or deleted. </w:t>
            </w:r>
            <w:r>
              <w:rPr>
                <w:rFonts w:ascii="Open Sans SemiBold" w:cs="Open Sans SemiBold" w:eastAsia="Open Sans SemiBold" w:hAnsi="Open Sans SemiBold"/>
                <w:color w:val="081D4D"/>
                <w:sz w:val="18"/>
                <w:szCs w:val="18"/>
              </w:rPr>
              <w:t xml:space="preserve">Audit trail → Verify integrity</w:t>
            </w:r>
            <w:r>
              <w:rPr>
                <w:rFonts w:ascii="Open Sans" w:cs="Open Sans" w:eastAsia="Open Sans" w:hAnsi="Open Sans"/>
                <w:sz w:val="18"/>
                <w:szCs w:val="18"/>
              </w:rPr>
              <w:t xml:space="preserve"> checks the whole chain and shows where it was broken, if it ever was.</w:t>
            </w:r>
          </w:p>
        </w:tc>
      </w:tr>
      <w:tr>
        <w:trPr>
          <w:cantSplit/>
        </w:trPr>
        <w:tc>
          <w:tcPr>
            <w:tcW w:type="dxa" w:w="2506"/>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File fingerprints</w:t>
            </w:r>
          </w:p>
        </w:tc>
        <w:tc>
          <w:tcPr>
            <w:tcW w:type="dxa" w:w="7132"/>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Each uploaded document gets a SHA-256 fingerprint. It is checked again every time the file is opened, and any change is flagged and logged.</w:t>
            </w:r>
          </w:p>
        </w:tc>
      </w:tr>
      <w:tr>
        <w:trPr>
          <w:cantSplit/>
        </w:trPr>
        <w:tc>
          <w:tcPr>
            <w:tcW w:type="dxa" w:w="2506"/>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Bank detail changes</w:t>
            </w:r>
          </w:p>
        </w:tc>
        <w:tc>
          <w:tcPr>
            <w:tcW w:type="dxa" w:w="7132"/>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Changing a supplier's bank details alerts Finance and is logged. Payments use only verified details.</w:t>
            </w:r>
          </w:p>
        </w:tc>
      </w:tr>
      <w:tr>
        <w:trPr>
          <w:cantSplit/>
        </w:trPr>
        <w:tc>
          <w:tcPr>
            <w:tcW w:type="dxa" w:w="2506"/>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Sealed bids</w:t>
            </w:r>
          </w:p>
        </w:tc>
        <w:tc>
          <w:tcPr>
            <w:tcW w:type="dxa" w:w="7132"/>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RFQ bids are hidden from everyone until the closing time.</w:t>
            </w:r>
          </w:p>
        </w:tc>
      </w:tr>
      <w:tr>
        <w:trPr>
          <w:cantSplit/>
        </w:trPr>
        <w:tc>
          <w:tcPr>
            <w:tcW w:type="dxa" w:w="2506"/>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Supplier isolation</w:t>
            </w:r>
          </w:p>
        </w:tc>
        <w:tc>
          <w:tcPr>
            <w:tcW w:type="dxa" w:w="7132"/>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Suppliers can only see their own RFQs, orders, invoices and messages.</w:t>
            </w:r>
          </w:p>
        </w:tc>
      </w:tr>
      <w:tr>
        <w:trPr>
          <w:cantSplit/>
        </w:trPr>
        <w:tc>
          <w:tcPr>
            <w:tcW w:type="dxa" w:w="2506"/>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No deletions</w:t>
            </w:r>
          </w:p>
        </w:tc>
        <w:tc>
          <w:tcPr>
            <w:tcW w:type="dxa" w:w="7132"/>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Transactions, documents, reviews, comments and the audit trail can never be deleted. Suppliers, items and categories can only be deleted if they were never used.</w:t>
            </w:r>
          </w:p>
        </w:tc>
      </w:tr>
      <w:tr>
        <w:trPr>
          <w:cantSplit/>
        </w:trPr>
        <w:tc>
          <w:tcPr>
            <w:tcW w:type="dxa" w:w="2506"/>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val="false"/>
              <w:spacing w:after="40" w:line="264"/>
            </w:pPr>
            <w:r>
              <w:rPr>
                <w:rFonts w:ascii="Open Sans SemiBold" w:cs="Open Sans SemiBold" w:eastAsia="Open Sans SemiBold" w:hAnsi="Open Sans SemiBold"/>
                <w:color w:val="081D4D"/>
                <w:sz w:val="18"/>
                <w:szCs w:val="18"/>
              </w:rPr>
              <w:t xml:space="preserve">Sign-in</w:t>
            </w:r>
          </w:p>
        </w:tc>
        <w:tc>
          <w:tcPr>
            <w:tcW w:type="dxa" w:w="7132"/>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val="false"/>
              <w:spacing w:after="40" w:line="264"/>
            </w:pPr>
            <w:r>
              <w:rPr>
                <w:rFonts w:ascii="Open Sans" w:cs="Open Sans" w:eastAsia="Open Sans" w:hAnsi="Open Sans"/>
                <w:sz w:val="18"/>
                <w:szCs w:val="18"/>
              </w:rPr>
              <w:t xml:space="preserve">Passwords of 10 or more characters, sign out on all devices, and password reset that never reveals whether an email has an account. Email approval links still require a sign-in.</w:t>
            </w:r>
          </w:p>
        </w:tc>
      </w:tr>
    </w:tbl>
    <w:p>
      <w:pPr>
        <w:spacing w:after="120"/>
      </w:pPr>
    </w:p>
    <w:p>
      <w:pPr>
        <w:pageBreakBefore/>
        <w:spacing w:after="40"/>
      </w:pPr>
      <w:r>
        <w:rPr>
          <w:rFonts w:ascii="Poppins SemiBold" w:cs="Poppins SemiBold" w:eastAsia="Poppins SemiBold" w:hAnsi="Poppins SemiBold"/>
          <w:color w:val="1565C0"/>
          <w:spacing w:val="40"/>
          <w:sz w:val="17"/>
          <w:szCs w:val="17"/>
        </w:rPr>
        <w:t xml:space="preserve">SECTION 14</w:t>
      </w:r>
    </w:p>
    <w:p>
      <w:pPr>
        <w:pStyle w:val="Heading1"/>
        <w:pBdr>
          <w:bottom w:val="single" w:color="5FD6FF" w:sz="18" w:space="8"/>
        </w:pBdr>
      </w:pPr>
      <w:r>
        <w:t xml:space="preserve">How PERA is built and hosted</w:t>
      </w:r>
    </w:p>
    <w:p>
      <w:pPr>
        <w:spacing w:after="140" w:before="0" w:line="300"/>
      </w:pPr>
      <w:r>
        <w:rPr>
          <w:rFonts w:ascii="Open Sans" w:cs="Open Sans" w:eastAsia="Open Sans" w:hAnsi="Open Sans"/>
        </w:rPr>
        <w:t xml:space="preserve">PERA runs in a web browser. There is nothing to install on staff computers, and it works on any modern browser on a laptop, tablet or phone.</w:t>
      </w:r>
    </w:p>
    <w:p>
      <w:pPr>
        <w:pStyle w:val="Heading2"/>
        <w:keepNext/>
      </w:pPr>
      <w:r>
        <w:t xml:space="preserve">The parts</w:t>
      </w:r>
    </w:p>
    <w:tbl>
      <w:tblPr>
        <w:tblW w:type="dxa" w:w="9638"/>
        <w:tblBorders>
          <w:top w:val="none" w:color="FFFFFF" w:sz="0"/>
          <w:left w:val="none" w:color="FFFFFF" w:sz="0"/>
          <w:bottom w:val="single" w:color="081D4D" w:sz="8"/>
          <w:right w:val="none" w:color="FFFFFF" w:sz="0"/>
          <w:insideH w:val="none" w:color="FFFFFF" w:sz="0"/>
          <w:insideV w:val="none" w:color="FFFFFF" w:sz="0"/>
        </w:tblBorders>
        <w:tblLayout w:type="fixed"/>
      </w:tblPr>
      <w:tblGrid>
        <w:gridCol w:w="2120"/>
        <w:gridCol w:w="7518"/>
      </w:tblGrid>
      <w:tr>
        <w:trPr>
          <w:cantSplit/>
          <w:tblHeader/>
        </w:trPr>
        <w:tc>
          <w:tcPr>
            <w:tcW w:type="dxa" w:w="2120"/>
            <w:tcBorders>
              <w:top w:val="none" w:color="FFFFFF" w:sz="0"/>
              <w:left w:val="none" w:color="FFFFFF" w:sz="0"/>
              <w:bottom w:val="none" w:color="FFFFFF" w:sz="0"/>
              <w:right w:val="none" w:color="FFFFFF" w:sz="0"/>
            </w:tcBorders>
            <w:shd w:fill="081D4D" w:color="auto" w:val="clear"/>
            <w:tcMar>
              <w:top w:type="dxa" w:w="100"/>
              <w:left w:type="dxa" w:w="120"/>
              <w:bottom w:type="dxa" w:w="80"/>
              <w:right w:type="dxa" w:w="120"/>
            </w:tcMar>
            <w:vAlign w:val="top"/>
          </w:tcPr>
          <w:p>
            <w:pPr>
              <w:keepNext/>
              <w:spacing w:after="40" w:line="264"/>
            </w:pPr>
            <w:r>
              <w:rPr>
                <w:rFonts w:ascii="Poppins SemiBold" w:cs="Poppins SemiBold" w:eastAsia="Poppins SemiBold" w:hAnsi="Poppins SemiBold"/>
                <w:color w:val="FFFFFF"/>
                <w:sz w:val="17"/>
                <w:szCs w:val="17"/>
              </w:rPr>
              <w:t xml:space="preserve">Part</w:t>
            </w:r>
          </w:p>
        </w:tc>
        <w:tc>
          <w:tcPr>
            <w:tcW w:type="dxa" w:w="7518"/>
            <w:tcBorders>
              <w:top w:val="none" w:color="FFFFFF" w:sz="0"/>
              <w:left w:val="none" w:color="FFFFFF" w:sz="0"/>
              <w:bottom w:val="none" w:color="FFFFFF" w:sz="0"/>
              <w:right w:val="none" w:color="FFFFFF" w:sz="0"/>
            </w:tcBorders>
            <w:shd w:fill="081D4D" w:color="auto" w:val="clear"/>
            <w:tcMar>
              <w:top w:type="dxa" w:w="100"/>
              <w:left w:type="dxa" w:w="120"/>
              <w:bottom w:type="dxa" w:w="80"/>
              <w:right w:type="dxa" w:w="120"/>
            </w:tcMar>
            <w:vAlign w:val="top"/>
          </w:tcPr>
          <w:p>
            <w:pPr>
              <w:keepNext/>
              <w:spacing w:after="40" w:line="264"/>
            </w:pPr>
            <w:r>
              <w:rPr>
                <w:rFonts w:ascii="Poppins SemiBold" w:cs="Poppins SemiBold" w:eastAsia="Poppins SemiBold" w:hAnsi="Poppins SemiBold"/>
                <w:color w:val="FFFFFF"/>
                <w:sz w:val="17"/>
                <w:szCs w:val="17"/>
              </w:rPr>
              <w:t xml:space="preserve">What it does</w:t>
            </w:r>
          </w:p>
        </w:tc>
      </w:tr>
      <w:tr>
        <w:trPr>
          <w:cantSplit/>
        </w:trPr>
        <w:tc>
          <w:tcPr>
            <w:tcW w:type="dxa" w:w="2120"/>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The PERA app</w:t>
            </w:r>
          </w:p>
        </w:tc>
        <w:tc>
          <w:tcPr>
            <w:tcW w:type="dxa" w:w="7518"/>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A single web page that holds the whole user interface. It can be hosted on any web server or a service such as Vercel, Netlify or Azure Static Web Apps, at an address like pera.company.co.zw.</w:t>
            </w:r>
          </w:p>
        </w:tc>
      </w:tr>
      <w:tr>
        <w:trPr>
          <w:cantSplit/>
        </w:trPr>
        <w:tc>
          <w:tcPr>
            <w:tcW w:type="dxa" w:w="2120"/>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Supabase</w:t>
            </w:r>
          </w:p>
        </w:tc>
        <w:tc>
          <w:tcPr>
            <w:tcW w:type="dxa" w:w="7518"/>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The back end. It provides the PostgreSQL database with all of PERA's rules, user sign-in, private file storage for documents, and live updates so screens refresh when something changes.</w:t>
            </w:r>
          </w:p>
        </w:tc>
      </w:tr>
      <w:tr>
        <w:trPr>
          <w:cantSplit/>
        </w:trPr>
        <w:tc>
          <w:tcPr>
            <w:tcW w:type="dxa" w:w="2120"/>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SemiBold" w:cs="Open Sans SemiBold" w:eastAsia="Open Sans SemiBold" w:hAnsi="Open Sans SemiBold"/>
                <w:color w:val="081D4D"/>
                <w:sz w:val="18"/>
                <w:szCs w:val="18"/>
              </w:rPr>
              <w:t xml:space="preserve">Email</w:t>
            </w:r>
          </w:p>
        </w:tc>
        <w:tc>
          <w:tcPr>
            <w:tcW w:type="dxa" w:w="7518"/>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A small function on Supabase sends each notification as an email through Resend, using the client's own sender address.</w:t>
            </w:r>
          </w:p>
        </w:tc>
      </w:tr>
      <w:tr>
        <w:trPr>
          <w:cantSplit/>
        </w:trPr>
        <w:tc>
          <w:tcPr>
            <w:tcW w:type="dxa" w:w="2120"/>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val="false"/>
              <w:spacing w:after="40" w:line="264"/>
            </w:pPr>
            <w:r>
              <w:rPr>
                <w:rFonts w:ascii="Open Sans SemiBold" w:cs="Open Sans SemiBold" w:eastAsia="Open Sans SemiBold" w:hAnsi="Open Sans SemiBold"/>
                <w:color w:val="081D4D"/>
                <w:sz w:val="18"/>
                <w:szCs w:val="18"/>
              </w:rPr>
              <w:t xml:space="preserve">Scheduled jobs</w:t>
            </w:r>
          </w:p>
        </w:tc>
        <w:tc>
          <w:tcPr>
            <w:tcW w:type="dxa" w:w="7518"/>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val="false"/>
              <w:spacing w:after="40" w:line="264"/>
            </w:pPr>
            <w:r>
              <w:rPr>
                <w:rFonts w:ascii="Open Sans" w:cs="Open Sans" w:eastAsia="Open Sans" w:hAnsi="Open Sans"/>
                <w:sz w:val="18"/>
                <w:szCs w:val="18"/>
              </w:rPr>
              <w:t xml:space="preserve">An hourly job sends approval reminders and escalations. A daily job creates scheduled recurring requests.</w:t>
            </w:r>
          </w:p>
        </w:tc>
      </w:tr>
    </w:tbl>
    <w:p>
      <w:pPr>
        <w:spacing w:after="120"/>
      </w:pPr>
    </w:p>
    <w:p>
      <w:pPr>
        <w:pStyle w:val="Heading2"/>
        <w:keepNext/>
      </w:pPr>
      <w:r>
        <w:t xml:space="preserve">One database per client</w:t>
      </w:r>
    </w:p>
    <w:p>
      <w:pPr>
        <w:spacing w:after="140" w:before="0" w:line="300"/>
      </w:pPr>
      <w:r>
        <w:rPr>
          <w:rFonts w:ascii="Open Sans" w:cs="Open Sans" w:eastAsia="Open Sans" w:hAnsi="Open Sans"/>
        </w:rPr>
        <w:t xml:space="preserve">Each organisation that uses PERA has its own Supabase project: its own database, its own sign-ins and its own file storage. One client's data is never stored alongside another's, and each can be hosted in the region that suits them.</w:t>
      </w:r>
    </w:p>
    <w:p>
      <w:pPr>
        <w:pStyle w:val="Heading2"/>
        <w:keepNext/>
      </w:pPr>
      <w:r>
        <w:t xml:space="preserve">Demo mode</w:t>
      </w:r>
    </w:p>
    <w:p>
      <w:pPr>
        <w:spacing w:after="140" w:before="0" w:line="300"/>
      </w:pPr>
      <w:r>
        <w:rPr>
          <w:rFonts w:ascii="Open Sans" w:cs="Open Sans" w:eastAsia="Open Sans" w:hAnsi="Open Sans"/>
        </w:rPr>
        <w:t xml:space="preserve">Without a database connected, PERA runs in demo mode with a fictional company, Northgate Holdings, and its staff. From the user menu you can switch between people (a requester, the CEO, the CFO, the payables officer, a procurement officer, a supplier) and try the whole process. Demo data stays in that browser only and can be reset from Settings.</w:t>
      </w:r>
    </w:p>
    <w:p>
      <w:pPr>
        <w:pStyle w:val="Heading2"/>
        <w:keepNext/>
      </w:pPr>
      <w:r>
        <w:t xml:space="preserve">Backups</w:t>
      </w:r>
    </w:p>
    <w:p>
      <w:pPr>
        <w:spacing w:after="140" w:before="0" w:line="300"/>
      </w:pPr>
      <w:r>
        <w:rPr>
          <w:rFonts w:ascii="Open Sans" w:cs="Open Sans" w:eastAsia="Open Sans" w:hAnsi="Open Sans"/>
        </w:rPr>
        <w:t xml:space="preserve">Supabase's paid plans take daily backups. For long-term records, it is good practice to also export the main lists (requisitions, audit trail, spend and suppliers) to CSV every month. Documents are kept in a private storage area that only signed-in users can reach.</w:t>
      </w:r>
    </w:p>
    <w:p>
      <w:pPr>
        <w:pageBreakBefore/>
        <w:spacing w:after="40"/>
      </w:pPr>
      <w:r>
        <w:rPr>
          <w:rFonts w:ascii="Poppins SemiBold" w:cs="Poppins SemiBold" w:eastAsia="Poppins SemiBold" w:hAnsi="Poppins SemiBold"/>
          <w:color w:val="1565C0"/>
          <w:spacing w:val="40"/>
          <w:sz w:val="17"/>
          <w:szCs w:val="17"/>
        </w:rPr>
        <w:t xml:space="preserve">APPENDIX A</w:t>
      </w:r>
    </w:p>
    <w:p>
      <w:pPr>
        <w:pStyle w:val="Heading1"/>
        <w:pBdr>
          <w:bottom w:val="single" w:color="5FD6FF" w:sz="18" w:space="8"/>
        </w:pBdr>
      </w:pPr>
      <w:r>
        <w:t xml:space="preserve">Glossary</w:t>
      </w:r>
    </w:p>
    <w:tbl>
      <w:tblPr>
        <w:tblW w:type="dxa" w:w="9638"/>
        <w:tblBorders>
          <w:top w:val="none" w:color="FFFFFF" w:sz="0"/>
          <w:left w:val="none" w:color="FFFFFF" w:sz="0"/>
          <w:bottom w:val="single" w:color="081D4D" w:sz="8"/>
          <w:right w:val="none" w:color="FFFFFF" w:sz="0"/>
          <w:insideH w:val="none" w:color="FFFFFF" w:sz="0"/>
          <w:insideV w:val="none" w:color="FFFFFF" w:sz="0"/>
        </w:tblBorders>
        <w:tblLayout w:type="fixed"/>
      </w:tblPr>
      <w:tblGrid>
        <w:gridCol w:w="2506"/>
        <w:gridCol w:w="7132"/>
      </w:tblGrid>
      <w:tr>
        <w:trPr>
          <w:cantSplit/>
          <w:tblHeader/>
        </w:trPr>
        <w:tc>
          <w:tcPr>
            <w:tcW w:type="dxa" w:w="2506"/>
            <w:tcBorders>
              <w:top w:val="none" w:color="FFFFFF" w:sz="0"/>
              <w:left w:val="none" w:color="FFFFFF" w:sz="0"/>
              <w:bottom w:val="none" w:color="FFFFFF" w:sz="0"/>
              <w:right w:val="none" w:color="FFFFFF" w:sz="0"/>
            </w:tcBorders>
            <w:shd w:fill="081D4D" w:color="auto" w:val="clear"/>
            <w:tcMar>
              <w:top w:type="dxa" w:w="100"/>
              <w:left w:type="dxa" w:w="120"/>
              <w:bottom w:type="dxa" w:w="80"/>
              <w:right w:type="dxa" w:w="120"/>
            </w:tcMar>
            <w:vAlign w:val="top"/>
          </w:tcPr>
          <w:p>
            <w:pPr>
              <w:keepNext/>
              <w:spacing w:after="40" w:line="264"/>
            </w:pPr>
            <w:r>
              <w:rPr>
                <w:rFonts w:ascii="Poppins SemiBold" w:cs="Poppins SemiBold" w:eastAsia="Poppins SemiBold" w:hAnsi="Poppins SemiBold"/>
                <w:color w:val="FFFFFF"/>
                <w:sz w:val="17"/>
                <w:szCs w:val="17"/>
              </w:rPr>
              <w:t xml:space="preserve">Term</w:t>
            </w:r>
          </w:p>
        </w:tc>
        <w:tc>
          <w:tcPr>
            <w:tcW w:type="dxa" w:w="7132"/>
            <w:tcBorders>
              <w:top w:val="none" w:color="FFFFFF" w:sz="0"/>
              <w:left w:val="none" w:color="FFFFFF" w:sz="0"/>
              <w:bottom w:val="none" w:color="FFFFFF" w:sz="0"/>
              <w:right w:val="none" w:color="FFFFFF" w:sz="0"/>
            </w:tcBorders>
            <w:shd w:fill="081D4D" w:color="auto" w:val="clear"/>
            <w:tcMar>
              <w:top w:type="dxa" w:w="100"/>
              <w:left w:type="dxa" w:w="120"/>
              <w:bottom w:type="dxa" w:w="80"/>
              <w:right w:type="dxa" w:w="120"/>
            </w:tcMar>
            <w:vAlign w:val="top"/>
          </w:tcPr>
          <w:p>
            <w:pPr>
              <w:keepNext/>
              <w:spacing w:after="40" w:line="264"/>
            </w:pPr>
            <w:r>
              <w:rPr>
                <w:rFonts w:ascii="Poppins SemiBold" w:cs="Poppins SemiBold" w:eastAsia="Poppins SemiBold" w:hAnsi="Poppins SemiBold"/>
                <w:color w:val="FFFFFF"/>
                <w:sz w:val="17"/>
                <w:szCs w:val="17"/>
              </w:rPr>
              <w:t xml:space="preserve">Meaning</w:t>
            </w:r>
          </w:p>
        </w:tc>
      </w:tr>
      <w:tr>
        <w:trPr>
          <w:cantSplit/>
        </w:trPr>
        <w:tc>
          <w:tcPr>
            <w:tcW w:type="dxa" w:w="2506"/>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val="false"/>
              <w:spacing w:after="40" w:line="264"/>
            </w:pPr>
            <w:r>
              <w:rPr>
                <w:rFonts w:ascii="Open Sans SemiBold" w:cs="Open Sans SemiBold" w:eastAsia="Open Sans SemiBold" w:hAnsi="Open Sans SemiBold"/>
                <w:color w:val="081D4D"/>
                <w:sz w:val="18"/>
                <w:szCs w:val="18"/>
              </w:rPr>
              <w:t xml:space="preserve">Requisition</w:t>
            </w:r>
          </w:p>
        </w:tc>
        <w:tc>
          <w:tcPr>
            <w:tcW w:type="dxa" w:w="7132"/>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val="false"/>
              <w:spacing w:after="40" w:line="264"/>
            </w:pPr>
            <w:r>
              <w:rPr>
                <w:rFonts w:ascii="Open Sans" w:cs="Open Sans" w:eastAsia="Open Sans" w:hAnsi="Open Sans"/>
                <w:sz w:val="18"/>
                <w:szCs w:val="18"/>
              </w:rPr>
              <w:t xml:space="preserve">A request to spend money, numbered R-. Either a purchase or a direct payment.</w:t>
            </w:r>
          </w:p>
        </w:tc>
      </w:tr>
      <w:tr>
        <w:trPr>
          <w:cantSplit/>
        </w:trPr>
        <w:tc>
          <w:tcPr>
            <w:tcW w:type="dxa" w:w="2506"/>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val="false"/>
              <w:spacing w:after="40" w:line="264"/>
            </w:pPr>
            <w:r>
              <w:rPr>
                <w:rFonts w:ascii="Open Sans SemiBold" w:cs="Open Sans SemiBold" w:eastAsia="Open Sans SemiBold" w:hAnsi="Open Sans SemiBold"/>
                <w:color w:val="081D4D"/>
                <w:sz w:val="18"/>
                <w:szCs w:val="18"/>
              </w:rPr>
              <w:t xml:space="preserve">Direct payment</w:t>
            </w:r>
          </w:p>
        </w:tc>
        <w:tc>
          <w:tcPr>
            <w:tcW w:type="dxa" w:w="7132"/>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val="false"/>
              <w:spacing w:after="40" w:line="264"/>
            </w:pPr>
            <w:r>
              <w:rPr>
                <w:rFonts w:ascii="Open Sans" w:cs="Open Sans" w:eastAsia="Open Sans" w:hAnsi="Open Sans"/>
                <w:sz w:val="18"/>
                <w:szCs w:val="18"/>
              </w:rPr>
              <w:t xml:space="preserve">A requisition paid without a purchase order, such as a fee, subscription or petty cash.</w:t>
            </w:r>
          </w:p>
        </w:tc>
      </w:tr>
      <w:tr>
        <w:trPr>
          <w:cantSplit/>
        </w:trPr>
        <w:tc>
          <w:tcPr>
            <w:tcW w:type="dxa" w:w="2506"/>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val="false"/>
              <w:spacing w:after="40" w:line="264"/>
            </w:pPr>
            <w:r>
              <w:rPr>
                <w:rFonts w:ascii="Open Sans SemiBold" w:cs="Open Sans SemiBold" w:eastAsia="Open Sans SemiBold" w:hAnsi="Open Sans SemiBold"/>
                <w:color w:val="081D4D"/>
                <w:sz w:val="18"/>
                <w:szCs w:val="18"/>
              </w:rPr>
              <w:t xml:space="preserve">Expense claim</w:t>
            </w:r>
          </w:p>
        </w:tc>
        <w:tc>
          <w:tcPr>
            <w:tcW w:type="dxa" w:w="7132"/>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val="false"/>
              <w:spacing w:after="40" w:line="264"/>
            </w:pPr>
            <w:r>
              <w:rPr>
                <w:rFonts w:ascii="Open Sans" w:cs="Open Sans" w:eastAsia="Open Sans" w:hAnsi="Open Sans"/>
                <w:sz w:val="18"/>
                <w:szCs w:val="18"/>
              </w:rPr>
              <w:t xml:space="preserve">A claim to be paid back for money already spent, numbered EX-.</w:t>
            </w:r>
          </w:p>
        </w:tc>
      </w:tr>
      <w:tr>
        <w:trPr>
          <w:cantSplit/>
        </w:trPr>
        <w:tc>
          <w:tcPr>
            <w:tcW w:type="dxa" w:w="2506"/>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val="false"/>
              <w:spacing w:after="40" w:line="264"/>
            </w:pPr>
            <w:r>
              <w:rPr>
                <w:rFonts w:ascii="Open Sans SemiBold" w:cs="Open Sans SemiBold" w:eastAsia="Open Sans SemiBold" w:hAnsi="Open Sans SemiBold"/>
                <w:color w:val="081D4D"/>
                <w:sz w:val="18"/>
                <w:szCs w:val="18"/>
              </w:rPr>
              <w:t xml:space="preserve">Request</w:t>
            </w:r>
          </w:p>
        </w:tc>
        <w:tc>
          <w:tcPr>
            <w:tcW w:type="dxa" w:w="7132"/>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val="false"/>
              <w:spacing w:after="40" w:line="264"/>
            </w:pPr>
            <w:r>
              <w:rPr>
                <w:rFonts w:ascii="Open Sans" w:cs="Open Sans" w:eastAsia="Open Sans" w:hAnsi="Open Sans"/>
                <w:sz w:val="18"/>
                <w:szCs w:val="18"/>
              </w:rPr>
              <w:t xml:space="preserve">An internal ask for stores, repairs, IT or facilities, numbered RQ-.</w:t>
            </w:r>
          </w:p>
        </w:tc>
      </w:tr>
      <w:tr>
        <w:trPr>
          <w:cantSplit/>
        </w:trPr>
        <w:tc>
          <w:tcPr>
            <w:tcW w:type="dxa" w:w="2506"/>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val="false"/>
              <w:spacing w:after="40" w:line="264"/>
            </w:pPr>
            <w:r>
              <w:rPr>
                <w:rFonts w:ascii="Open Sans SemiBold" w:cs="Open Sans SemiBold" w:eastAsia="Open Sans SemiBold" w:hAnsi="Open Sans SemiBold"/>
                <w:color w:val="081D4D"/>
                <w:sz w:val="18"/>
                <w:szCs w:val="18"/>
              </w:rPr>
              <w:t xml:space="preserve">RFQ</w:t>
            </w:r>
          </w:p>
        </w:tc>
        <w:tc>
          <w:tcPr>
            <w:tcW w:type="dxa" w:w="7132"/>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val="false"/>
              <w:spacing w:after="40" w:line="264"/>
            </w:pPr>
            <w:r>
              <w:rPr>
                <w:rFonts w:ascii="Open Sans" w:cs="Open Sans" w:eastAsia="Open Sans" w:hAnsi="Open Sans"/>
                <w:sz w:val="18"/>
                <w:szCs w:val="18"/>
              </w:rPr>
              <w:t xml:space="preserve">Request for quotation. Suppliers are invited to submit sealed bids.</w:t>
            </w:r>
          </w:p>
        </w:tc>
      </w:tr>
      <w:tr>
        <w:trPr>
          <w:cantSplit/>
        </w:trPr>
        <w:tc>
          <w:tcPr>
            <w:tcW w:type="dxa" w:w="2506"/>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val="false"/>
              <w:spacing w:after="40" w:line="264"/>
            </w:pPr>
            <w:r>
              <w:rPr>
                <w:rFonts w:ascii="Open Sans SemiBold" w:cs="Open Sans SemiBold" w:eastAsia="Open Sans SemiBold" w:hAnsi="Open Sans SemiBold"/>
                <w:color w:val="081D4D"/>
                <w:sz w:val="18"/>
                <w:szCs w:val="18"/>
              </w:rPr>
              <w:t xml:space="preserve">Purchase order (PO)</w:t>
            </w:r>
          </w:p>
        </w:tc>
        <w:tc>
          <w:tcPr>
            <w:tcW w:type="dxa" w:w="7132"/>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val="false"/>
              <w:spacing w:after="40" w:line="264"/>
            </w:pPr>
            <w:r>
              <w:rPr>
                <w:rFonts w:ascii="Open Sans" w:cs="Open Sans" w:eastAsia="Open Sans" w:hAnsi="Open Sans"/>
                <w:sz w:val="18"/>
                <w:szCs w:val="18"/>
              </w:rPr>
              <w:t xml:space="preserve">The formal order sent to a supplier, numbered PO-.</w:t>
            </w:r>
          </w:p>
        </w:tc>
      </w:tr>
      <w:tr>
        <w:trPr>
          <w:cantSplit/>
        </w:trPr>
        <w:tc>
          <w:tcPr>
            <w:tcW w:type="dxa" w:w="2506"/>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val="false"/>
              <w:spacing w:after="40" w:line="264"/>
            </w:pPr>
            <w:r>
              <w:rPr>
                <w:rFonts w:ascii="Open Sans SemiBold" w:cs="Open Sans SemiBold" w:eastAsia="Open Sans SemiBold" w:hAnsi="Open Sans SemiBold"/>
                <w:color w:val="081D4D"/>
                <w:sz w:val="18"/>
                <w:szCs w:val="18"/>
              </w:rPr>
              <w:t xml:space="preserve">Contract</w:t>
            </w:r>
          </w:p>
        </w:tc>
        <w:tc>
          <w:tcPr>
            <w:tcW w:type="dxa" w:w="7132"/>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val="false"/>
              <w:spacing w:after="40" w:line="264"/>
            </w:pPr>
            <w:r>
              <w:rPr>
                <w:rFonts w:ascii="Open Sans" w:cs="Open Sans" w:eastAsia="Open Sans" w:hAnsi="Open Sans"/>
                <w:sz w:val="18"/>
                <w:szCs w:val="18"/>
              </w:rPr>
              <w:t xml:space="preserve">An agreement with a supplier over a period, numbered CT-.</w:t>
            </w:r>
          </w:p>
        </w:tc>
      </w:tr>
      <w:tr>
        <w:trPr>
          <w:cantSplit/>
        </w:trPr>
        <w:tc>
          <w:tcPr>
            <w:tcW w:type="dxa" w:w="2506"/>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val="false"/>
              <w:spacing w:after="40" w:line="264"/>
            </w:pPr>
            <w:r>
              <w:rPr>
                <w:rFonts w:ascii="Open Sans SemiBold" w:cs="Open Sans SemiBold" w:eastAsia="Open Sans SemiBold" w:hAnsi="Open Sans SemiBold"/>
                <w:color w:val="081D4D"/>
                <w:sz w:val="18"/>
                <w:szCs w:val="18"/>
              </w:rPr>
              <w:t xml:space="preserve">Tier</w:t>
            </w:r>
          </w:p>
        </w:tc>
        <w:tc>
          <w:tcPr>
            <w:tcW w:type="dxa" w:w="7132"/>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val="false"/>
              <w:spacing w:after="40" w:line="264"/>
            </w:pPr>
            <w:r>
              <w:rPr>
                <w:rFonts w:ascii="Open Sans" w:cs="Open Sans" w:eastAsia="Open Sans" w:hAnsi="Open Sans"/>
                <w:sz w:val="18"/>
                <w:szCs w:val="18"/>
              </w:rPr>
              <w:t xml:space="preserve">A band of value with its own approval route.</w:t>
            </w:r>
          </w:p>
        </w:tc>
      </w:tr>
      <w:tr>
        <w:trPr>
          <w:cantSplit/>
        </w:trPr>
        <w:tc>
          <w:tcPr>
            <w:tcW w:type="dxa" w:w="2506"/>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val="false"/>
              <w:spacing w:after="40" w:line="264"/>
            </w:pPr>
            <w:r>
              <w:rPr>
                <w:rFonts w:ascii="Open Sans SemiBold" w:cs="Open Sans SemiBold" w:eastAsia="Open Sans SemiBold" w:hAnsi="Open Sans SemiBold"/>
                <w:color w:val="081D4D"/>
                <w:sz w:val="18"/>
                <w:szCs w:val="18"/>
              </w:rPr>
              <w:t xml:space="preserve">Step</w:t>
            </w:r>
          </w:p>
        </w:tc>
        <w:tc>
          <w:tcPr>
            <w:tcW w:type="dxa" w:w="7132"/>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val="false"/>
              <w:spacing w:after="40" w:line="264"/>
            </w:pPr>
            <w:r>
              <w:rPr>
                <w:rFonts w:ascii="Open Sans" w:cs="Open Sans" w:eastAsia="Open Sans" w:hAnsi="Open Sans"/>
                <w:sz w:val="18"/>
                <w:szCs w:val="18"/>
              </w:rPr>
              <w:t xml:space="preserve">One stage within a tier's approval route. Steps are asked in order.</w:t>
            </w:r>
          </w:p>
        </w:tc>
      </w:tr>
      <w:tr>
        <w:trPr>
          <w:cantSplit/>
        </w:trPr>
        <w:tc>
          <w:tcPr>
            <w:tcW w:type="dxa" w:w="2506"/>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val="false"/>
              <w:spacing w:after="40" w:line="264"/>
            </w:pPr>
            <w:r>
              <w:rPr>
                <w:rFonts w:ascii="Open Sans SemiBold" w:cs="Open Sans SemiBold" w:eastAsia="Open Sans SemiBold" w:hAnsi="Open Sans SemiBold"/>
                <w:color w:val="081D4D"/>
                <w:sz w:val="18"/>
                <w:szCs w:val="18"/>
              </w:rPr>
              <w:t xml:space="preserve">Pool</w:t>
            </w:r>
          </w:p>
        </w:tc>
        <w:tc>
          <w:tcPr>
            <w:tcW w:type="dxa" w:w="7132"/>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val="false"/>
              <w:spacing w:after="40" w:line="264"/>
            </w:pPr>
            <w:r>
              <w:rPr>
                <w:rFonts w:ascii="Open Sans" w:cs="Open Sans" w:eastAsia="Open Sans" w:hAnsi="Open Sans"/>
                <w:sz w:val="18"/>
                <w:szCs w:val="18"/>
              </w:rPr>
              <w:t xml:space="preserve">A step where only some of the listed people need to approve, for example any 1 of 3.</w:t>
            </w:r>
          </w:p>
        </w:tc>
      </w:tr>
      <w:tr>
        <w:trPr>
          <w:cantSplit/>
        </w:trPr>
        <w:tc>
          <w:tcPr>
            <w:tcW w:type="dxa" w:w="2506"/>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val="false"/>
              <w:spacing w:after="40" w:line="264"/>
            </w:pPr>
            <w:r>
              <w:rPr>
                <w:rFonts w:ascii="Open Sans SemiBold" w:cs="Open Sans SemiBold" w:eastAsia="Open Sans SemiBold" w:hAnsi="Open Sans SemiBold"/>
                <w:color w:val="081D4D"/>
                <w:sz w:val="18"/>
                <w:szCs w:val="18"/>
              </w:rPr>
              <w:t xml:space="preserve">Finance review</w:t>
            </w:r>
          </w:p>
        </w:tc>
        <w:tc>
          <w:tcPr>
            <w:tcW w:type="dxa" w:w="7132"/>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val="false"/>
              <w:spacing w:after="40" w:line="264"/>
            </w:pPr>
            <w:r>
              <w:rPr>
                <w:rFonts w:ascii="Open Sans" w:cs="Open Sans" w:eastAsia="Open Sans" w:hAnsi="Open Sans"/>
                <w:sz w:val="18"/>
                <w:szCs w:val="18"/>
              </w:rPr>
              <w:t xml:space="preserve">Finance's check of an approved request before it is released.</w:t>
            </w:r>
          </w:p>
        </w:tc>
      </w:tr>
      <w:tr>
        <w:trPr>
          <w:cantSplit/>
        </w:trPr>
        <w:tc>
          <w:tcPr>
            <w:tcW w:type="dxa" w:w="2506"/>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val="false"/>
              <w:spacing w:after="40" w:line="264"/>
            </w:pPr>
            <w:r>
              <w:rPr>
                <w:rFonts w:ascii="Open Sans SemiBold" w:cs="Open Sans SemiBold" w:eastAsia="Open Sans SemiBold" w:hAnsi="Open Sans SemiBold"/>
                <w:color w:val="081D4D"/>
                <w:sz w:val="18"/>
                <w:szCs w:val="18"/>
              </w:rPr>
              <w:t xml:space="preserve">Purchaser</w:t>
            </w:r>
          </w:p>
        </w:tc>
        <w:tc>
          <w:tcPr>
            <w:tcW w:type="dxa" w:w="7132"/>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val="false"/>
              <w:spacing w:after="40" w:line="264"/>
            </w:pPr>
            <w:r>
              <w:rPr>
                <w:rFonts w:ascii="Open Sans" w:cs="Open Sans" w:eastAsia="Open Sans" w:hAnsi="Open Sans"/>
                <w:sz w:val="18"/>
                <w:szCs w:val="18"/>
              </w:rPr>
              <w:t xml:space="preserve">The person in Procurement responsible for buying against a requisition.</w:t>
            </w:r>
          </w:p>
        </w:tc>
      </w:tr>
      <w:tr>
        <w:trPr>
          <w:cantSplit/>
        </w:trPr>
        <w:tc>
          <w:tcPr>
            <w:tcW w:type="dxa" w:w="2506"/>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val="false"/>
              <w:spacing w:after="40" w:line="264"/>
            </w:pPr>
            <w:r>
              <w:rPr>
                <w:rFonts w:ascii="Open Sans SemiBold" w:cs="Open Sans SemiBold" w:eastAsia="Open Sans SemiBold" w:hAnsi="Open Sans SemiBold"/>
                <w:color w:val="081D4D"/>
                <w:sz w:val="18"/>
                <w:szCs w:val="18"/>
              </w:rPr>
              <w:t xml:space="preserve">Three-way match</w:t>
            </w:r>
          </w:p>
        </w:tc>
        <w:tc>
          <w:tcPr>
            <w:tcW w:type="dxa" w:w="7132"/>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val="false"/>
              <w:spacing w:after="40" w:line="264"/>
            </w:pPr>
            <w:r>
              <w:rPr>
                <w:rFonts w:ascii="Open Sans" w:cs="Open Sans" w:eastAsia="Open Sans" w:hAnsi="Open Sans"/>
                <w:sz w:val="18"/>
                <w:szCs w:val="18"/>
              </w:rPr>
              <w:t xml:space="preserve">Comparing the purchase order, what was received and the supplier's invoice before paying.</w:t>
            </w:r>
          </w:p>
        </w:tc>
      </w:tr>
      <w:tr>
        <w:trPr>
          <w:cantSplit/>
        </w:trPr>
        <w:tc>
          <w:tcPr>
            <w:tcW w:type="dxa" w:w="2506"/>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val="false"/>
              <w:spacing w:after="40" w:line="264"/>
            </w:pPr>
            <w:r>
              <w:rPr>
                <w:rFonts w:ascii="Open Sans SemiBold" w:cs="Open Sans SemiBold" w:eastAsia="Open Sans SemiBold" w:hAnsi="Open Sans SemiBold"/>
                <w:color w:val="081D4D"/>
                <w:sz w:val="18"/>
                <w:szCs w:val="18"/>
              </w:rPr>
              <w:t xml:space="preserve">Committed</w:t>
            </w:r>
          </w:p>
        </w:tc>
        <w:tc>
          <w:tcPr>
            <w:tcW w:type="dxa" w:w="7132"/>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val="false"/>
              <w:spacing w:after="40" w:line="264"/>
            </w:pPr>
            <w:r>
              <w:rPr>
                <w:rFonts w:ascii="Open Sans" w:cs="Open Sans" w:eastAsia="Open Sans" w:hAnsi="Open Sans"/>
                <w:sz w:val="18"/>
                <w:szCs w:val="18"/>
              </w:rPr>
              <w:t xml:space="preserve">Money approved against a budget line but not yet paid.</w:t>
            </w:r>
          </w:p>
        </w:tc>
      </w:tr>
      <w:tr>
        <w:trPr>
          <w:cantSplit/>
        </w:trPr>
        <w:tc>
          <w:tcPr>
            <w:tcW w:type="dxa" w:w="2506"/>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val="false"/>
              <w:spacing w:after="40" w:line="264"/>
            </w:pPr>
            <w:r>
              <w:rPr>
                <w:rFonts w:ascii="Open Sans SemiBold" w:cs="Open Sans SemiBold" w:eastAsia="Open Sans SemiBold" w:hAnsi="Open Sans SemiBold"/>
                <w:color w:val="081D4D"/>
                <w:sz w:val="18"/>
                <w:szCs w:val="18"/>
              </w:rPr>
              <w:t xml:space="preserve">Delegate</w:t>
            </w:r>
          </w:p>
        </w:tc>
        <w:tc>
          <w:tcPr>
            <w:tcW w:type="dxa" w:w="7132"/>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val="false"/>
              <w:spacing w:after="40" w:line="264"/>
            </w:pPr>
            <w:r>
              <w:rPr>
                <w:rFonts w:ascii="Open Sans" w:cs="Open Sans" w:eastAsia="Open Sans" w:hAnsi="Open Sans"/>
                <w:sz w:val="18"/>
                <w:szCs w:val="18"/>
              </w:rPr>
              <w:t xml:space="preserve">A colleague who approves on someone's behalf while they are away.</w:t>
            </w:r>
          </w:p>
        </w:tc>
      </w:tr>
      <w:tr>
        <w:trPr>
          <w:cantSplit/>
        </w:trPr>
        <w:tc>
          <w:tcPr>
            <w:tcW w:type="dxa" w:w="2506"/>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val="false"/>
              <w:spacing w:after="40" w:line="264"/>
            </w:pPr>
            <w:r>
              <w:rPr>
                <w:rFonts w:ascii="Open Sans SemiBold" w:cs="Open Sans SemiBold" w:eastAsia="Open Sans SemiBold" w:hAnsi="Open Sans SemiBold"/>
                <w:color w:val="081D4D"/>
                <w:sz w:val="18"/>
                <w:szCs w:val="18"/>
              </w:rPr>
              <w:t xml:space="preserve">Escalation</w:t>
            </w:r>
          </w:p>
        </w:tc>
        <w:tc>
          <w:tcPr>
            <w:tcW w:type="dxa" w:w="7132"/>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val="false"/>
              <w:spacing w:after="40" w:line="264"/>
            </w:pPr>
            <w:r>
              <w:rPr>
                <w:rFonts w:ascii="Open Sans" w:cs="Open Sans" w:eastAsia="Open Sans" w:hAnsi="Open Sans"/>
                <w:sz w:val="18"/>
                <w:szCs w:val="18"/>
              </w:rPr>
              <w:t xml:space="preserve">Telling a manager or administrator that an approval has waited too long.</w:t>
            </w:r>
          </w:p>
        </w:tc>
      </w:tr>
      <w:tr>
        <w:trPr>
          <w:cantSplit/>
        </w:trPr>
        <w:tc>
          <w:tcPr>
            <w:tcW w:type="dxa" w:w="2506"/>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val="false"/>
              <w:spacing w:after="40" w:line="264"/>
            </w:pPr>
            <w:r>
              <w:rPr>
                <w:rFonts w:ascii="Open Sans SemiBold" w:cs="Open Sans SemiBold" w:eastAsia="Open Sans SemiBold" w:hAnsi="Open Sans SemiBold"/>
                <w:color w:val="081D4D"/>
                <w:sz w:val="18"/>
                <w:szCs w:val="18"/>
              </w:rPr>
              <w:t xml:space="preserve">Distribution address</w:t>
            </w:r>
          </w:p>
        </w:tc>
        <w:tc>
          <w:tcPr>
            <w:tcW w:type="dxa" w:w="7132"/>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val="false"/>
              <w:spacing w:after="40" w:line="264"/>
            </w:pPr>
            <w:r>
              <w:rPr>
                <w:rFonts w:ascii="Open Sans" w:cs="Open Sans" w:eastAsia="Open Sans" w:hAnsi="Open Sans"/>
                <w:sz w:val="18"/>
                <w:szCs w:val="18"/>
              </w:rPr>
              <w:t xml:space="preserve">The address a supplier should send invoices to.</w:t>
            </w:r>
          </w:p>
        </w:tc>
      </w:tr>
      <w:tr>
        <w:trPr>
          <w:cantSplit/>
        </w:trPr>
        <w:tc>
          <w:tcPr>
            <w:tcW w:type="dxa" w:w="2506"/>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val="false"/>
              <w:spacing w:after="40" w:line="264"/>
            </w:pPr>
            <w:r>
              <w:rPr>
                <w:rFonts w:ascii="Open Sans SemiBold" w:cs="Open Sans SemiBold" w:eastAsia="Open Sans SemiBold" w:hAnsi="Open Sans SemiBold"/>
                <w:color w:val="081D4D"/>
                <w:sz w:val="18"/>
                <w:szCs w:val="18"/>
              </w:rPr>
              <w:t xml:space="preserve">Paying account</w:t>
            </w:r>
          </w:p>
        </w:tc>
        <w:tc>
          <w:tcPr>
            <w:tcW w:type="dxa" w:w="7132"/>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val="false"/>
              <w:spacing w:after="40" w:line="264"/>
            </w:pPr>
            <w:r>
              <w:rPr>
                <w:rFonts w:ascii="Open Sans" w:cs="Open Sans" w:eastAsia="Open Sans" w:hAnsi="Open Sans"/>
                <w:sz w:val="18"/>
                <w:szCs w:val="18"/>
              </w:rPr>
              <w:t xml:space="preserve">One of the company's own bank or petty-cash accounts that payments are made from.</w:t>
            </w:r>
          </w:p>
        </w:tc>
      </w:tr>
    </w:tbl>
    <w:p>
      <w:pPr>
        <w:spacing w:after="120"/>
      </w:pPr>
    </w:p>
    <w:p>
      <w:pPr>
        <w:pageBreakBefore/>
        <w:spacing w:after="40"/>
      </w:pPr>
      <w:r>
        <w:rPr>
          <w:rFonts w:ascii="Poppins SemiBold" w:cs="Poppins SemiBold" w:eastAsia="Poppins SemiBold" w:hAnsi="Poppins SemiBold"/>
          <w:color w:val="1565C0"/>
          <w:spacing w:val="40"/>
          <w:sz w:val="17"/>
          <w:szCs w:val="17"/>
        </w:rPr>
        <w:t xml:space="preserve">APPENDIX B</w:t>
      </w:r>
    </w:p>
    <w:p>
      <w:pPr>
        <w:pStyle w:val="Heading1"/>
        <w:pBdr>
          <w:bottom w:val="single" w:color="5FD6FF" w:sz="18" w:space="8"/>
        </w:pBdr>
      </w:pPr>
      <w:r>
        <w:t xml:space="preserve">Going-live checklist</w:t>
      </w:r>
    </w:p>
    <w:p>
      <w:pPr>
        <w:spacing w:after="140" w:before="0" w:line="300"/>
      </w:pPr>
      <w:r>
        <w:rPr>
          <w:rFonts w:ascii="Open Sans" w:cs="Open Sans" w:eastAsia="Open Sans" w:hAnsi="Open Sans"/>
        </w:rPr>
        <w:t xml:space="preserve">A short list for bringing a new organisation onto PERA. Most of it is done once.</w:t>
      </w:r>
    </w:p>
    <w:tbl>
      <w:tblPr>
        <w:tblW w:type="dxa" w:w="9638"/>
        <w:tblBorders>
          <w:top w:val="none" w:color="FFFFFF" w:sz="0"/>
          <w:left w:val="none" w:color="FFFFFF" w:sz="0"/>
          <w:bottom w:val="single" w:color="081D4D" w:sz="8"/>
          <w:right w:val="none" w:color="FFFFFF" w:sz="0"/>
          <w:insideH w:val="none" w:color="FFFFFF" w:sz="0"/>
          <w:insideV w:val="none" w:color="FFFFFF" w:sz="0"/>
        </w:tblBorders>
        <w:tblLayout w:type="fixed"/>
      </w:tblPr>
      <w:tblGrid>
        <w:gridCol w:w="578"/>
        <w:gridCol w:w="6168"/>
        <w:gridCol w:w="2891"/>
      </w:tblGrid>
      <w:tr>
        <w:trPr>
          <w:cantSplit/>
          <w:tblHeader/>
        </w:trPr>
        <w:tc>
          <w:tcPr>
            <w:tcW w:type="dxa" w:w="578"/>
            <w:tcBorders>
              <w:top w:val="none" w:color="FFFFFF" w:sz="0"/>
              <w:left w:val="none" w:color="FFFFFF" w:sz="0"/>
              <w:bottom w:val="none" w:color="FFFFFF" w:sz="0"/>
              <w:right w:val="none" w:color="FFFFFF" w:sz="0"/>
            </w:tcBorders>
            <w:shd w:fill="081D4D" w:color="auto" w:val="clear"/>
            <w:tcMar>
              <w:top w:type="dxa" w:w="100"/>
              <w:left w:type="dxa" w:w="120"/>
              <w:bottom w:type="dxa" w:w="80"/>
              <w:right w:type="dxa" w:w="120"/>
            </w:tcMar>
            <w:vAlign w:val="top"/>
          </w:tcPr>
          <w:p>
            <w:pPr>
              <w:keepNext/>
              <w:spacing w:after="40" w:line="264"/>
            </w:pPr>
          </w:p>
        </w:tc>
        <w:tc>
          <w:tcPr>
            <w:tcW w:type="dxa" w:w="6168"/>
            <w:tcBorders>
              <w:top w:val="none" w:color="FFFFFF" w:sz="0"/>
              <w:left w:val="none" w:color="FFFFFF" w:sz="0"/>
              <w:bottom w:val="none" w:color="FFFFFF" w:sz="0"/>
              <w:right w:val="none" w:color="FFFFFF" w:sz="0"/>
            </w:tcBorders>
            <w:shd w:fill="081D4D" w:color="auto" w:val="clear"/>
            <w:tcMar>
              <w:top w:type="dxa" w:w="100"/>
              <w:left w:type="dxa" w:w="120"/>
              <w:bottom w:type="dxa" w:w="80"/>
              <w:right w:type="dxa" w:w="120"/>
            </w:tcMar>
            <w:vAlign w:val="top"/>
          </w:tcPr>
          <w:p>
            <w:pPr>
              <w:keepNext/>
              <w:spacing w:after="40" w:line="264"/>
            </w:pPr>
            <w:r>
              <w:rPr>
                <w:rFonts w:ascii="Poppins SemiBold" w:cs="Poppins SemiBold" w:eastAsia="Poppins SemiBold" w:hAnsi="Poppins SemiBold"/>
                <w:color w:val="FFFFFF"/>
                <w:sz w:val="17"/>
                <w:szCs w:val="17"/>
              </w:rPr>
              <w:t xml:space="preserve">Task</w:t>
            </w:r>
          </w:p>
        </w:tc>
        <w:tc>
          <w:tcPr>
            <w:tcW w:type="dxa" w:w="2891"/>
            <w:tcBorders>
              <w:top w:val="none" w:color="FFFFFF" w:sz="0"/>
              <w:left w:val="none" w:color="FFFFFF" w:sz="0"/>
              <w:bottom w:val="none" w:color="FFFFFF" w:sz="0"/>
              <w:right w:val="none" w:color="FFFFFF" w:sz="0"/>
            </w:tcBorders>
            <w:shd w:fill="081D4D" w:color="auto" w:val="clear"/>
            <w:tcMar>
              <w:top w:type="dxa" w:w="100"/>
              <w:left w:type="dxa" w:w="120"/>
              <w:bottom w:type="dxa" w:w="80"/>
              <w:right w:type="dxa" w:w="120"/>
            </w:tcMar>
            <w:vAlign w:val="top"/>
          </w:tcPr>
          <w:p>
            <w:pPr>
              <w:keepNext/>
              <w:spacing w:after="40" w:line="264"/>
            </w:pPr>
            <w:r>
              <w:rPr>
                <w:rFonts w:ascii="Poppins SemiBold" w:cs="Poppins SemiBold" w:eastAsia="Poppins SemiBold" w:hAnsi="Poppins SemiBold"/>
                <w:color w:val="FFFFFF"/>
                <w:sz w:val="17"/>
                <w:szCs w:val="17"/>
              </w:rPr>
              <w:t xml:space="preserve">Who</w:t>
            </w:r>
          </w:p>
        </w:tc>
      </w:tr>
      <w:tr>
        <w:trPr>
          <w:cantSplit/>
        </w:trPr>
        <w:tc>
          <w:tcPr>
            <w:tcW w:type="dxa" w:w="578"/>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w:t>
            </w:r>
          </w:p>
        </w:tc>
        <w:tc>
          <w:tcPr>
            <w:tcW w:type="dxa" w:w="6168"/>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Create the organisation's Supabase project in a suitable region.</w:t>
            </w:r>
          </w:p>
        </w:tc>
        <w:tc>
          <w:tcPr>
            <w:tcW w:type="dxa" w:w="2891"/>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HeartPath</w:t>
            </w:r>
          </w:p>
        </w:tc>
      </w:tr>
      <w:tr>
        <w:trPr>
          <w:cantSplit/>
        </w:trPr>
        <w:tc>
          <w:tcPr>
            <w:tcW w:type="dxa" w:w="578"/>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w:t>
            </w:r>
          </w:p>
        </w:tc>
        <w:tc>
          <w:tcPr>
            <w:tcW w:type="dxa" w:w="6168"/>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Run the PERA database script with the administrator's email filled in.</w:t>
            </w:r>
          </w:p>
        </w:tc>
        <w:tc>
          <w:tcPr>
            <w:tcW w:type="dxa" w:w="2891"/>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HeartPath</w:t>
            </w:r>
          </w:p>
        </w:tc>
      </w:tr>
      <w:tr>
        <w:trPr>
          <w:cantSplit/>
        </w:trPr>
        <w:tc>
          <w:tcPr>
            <w:tcW w:type="dxa" w:w="578"/>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w:t>
            </w:r>
          </w:p>
        </w:tc>
        <w:tc>
          <w:tcPr>
            <w:tcW w:type="dxa" w:w="6168"/>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Connect the app to the project and host it at the organisation's address.</w:t>
            </w:r>
          </w:p>
        </w:tc>
        <w:tc>
          <w:tcPr>
            <w:tcW w:type="dxa" w:w="2891"/>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HeartPath</w:t>
            </w:r>
          </w:p>
        </w:tc>
      </w:tr>
      <w:tr>
        <w:trPr>
          <w:cantSplit/>
        </w:trPr>
        <w:tc>
          <w:tcPr>
            <w:tcW w:type="dxa" w:w="578"/>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w:t>
            </w:r>
          </w:p>
        </w:tc>
        <w:tc>
          <w:tcPr>
            <w:tcW w:type="dxa" w:w="6168"/>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Set the sign-in addresses in Supabase so password resets and invitations work.</w:t>
            </w:r>
          </w:p>
        </w:tc>
        <w:tc>
          <w:tcPr>
            <w:tcW w:type="dxa" w:w="2891"/>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HeartPath</w:t>
            </w:r>
          </w:p>
        </w:tc>
      </w:tr>
      <w:tr>
        <w:trPr>
          <w:cantSplit/>
        </w:trPr>
        <w:tc>
          <w:tcPr>
            <w:tcW w:type="dxa" w:w="578"/>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w:t>
            </w:r>
          </w:p>
        </w:tc>
        <w:tc>
          <w:tcPr>
            <w:tcW w:type="dxa" w:w="6168"/>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Set up email notifications with the organisation's sender address.</w:t>
            </w:r>
          </w:p>
        </w:tc>
        <w:tc>
          <w:tcPr>
            <w:tcW w:type="dxa" w:w="2891"/>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HeartPath</w:t>
            </w:r>
          </w:p>
        </w:tc>
      </w:tr>
      <w:tr>
        <w:trPr>
          <w:cantSplit/>
        </w:trPr>
        <w:tc>
          <w:tcPr>
            <w:tcW w:type="dxa" w:w="578"/>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w:t>
            </w:r>
          </w:p>
        </w:tc>
        <w:tc>
          <w:tcPr>
            <w:tcW w:type="dxa" w:w="6168"/>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Schedule the hourly reminder job.</w:t>
            </w:r>
          </w:p>
        </w:tc>
        <w:tc>
          <w:tcPr>
            <w:tcW w:type="dxa" w:w="2891"/>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HeartPath</w:t>
            </w:r>
          </w:p>
        </w:tc>
      </w:tr>
      <w:tr>
        <w:trPr>
          <w:cantSplit/>
        </w:trPr>
        <w:tc>
          <w:tcPr>
            <w:tcW w:type="dxa" w:w="578"/>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w:t>
            </w:r>
          </w:p>
        </w:tc>
        <w:tc>
          <w:tcPr>
            <w:tcW w:type="dxa" w:w="6168"/>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Sign in as administrator and complete the setup wizard.</w:t>
            </w:r>
          </w:p>
        </w:tc>
        <w:tc>
          <w:tcPr>
            <w:tcW w:type="dxa" w:w="2891"/>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Client administrator</w:t>
            </w:r>
          </w:p>
        </w:tc>
      </w:tr>
      <w:tr>
        <w:trPr>
          <w:cantSplit/>
        </w:trPr>
        <w:tc>
          <w:tcPr>
            <w:tcW w:type="dxa" w:w="578"/>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w:t>
            </w:r>
          </w:p>
        </w:tc>
        <w:tc>
          <w:tcPr>
            <w:tcW w:type="dxa" w:w="6168"/>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Add addresses, paying accounts and budget lines.</w:t>
            </w:r>
          </w:p>
        </w:tc>
        <w:tc>
          <w:tcPr>
            <w:tcW w:type="dxa" w:w="2891"/>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Client administrator, Finance</w:t>
            </w:r>
          </w:p>
        </w:tc>
      </w:tr>
      <w:tr>
        <w:trPr>
          <w:cantSplit/>
        </w:trPr>
        <w:tc>
          <w:tcPr>
            <w:tcW w:type="dxa" w:w="578"/>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w:t>
            </w:r>
          </w:p>
        </w:tc>
        <w:tc>
          <w:tcPr>
            <w:tcW w:type="dxa" w:w="6168"/>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Set approval tiers, steps and the purchase order and contract approvers.</w:t>
            </w:r>
          </w:p>
        </w:tc>
        <w:tc>
          <w:tcPr>
            <w:tcW w:type="dxa" w:w="2891"/>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Client administrator</w:t>
            </w:r>
          </w:p>
        </w:tc>
      </w:tr>
      <w:tr>
        <w:trPr>
          <w:cantSplit/>
        </w:trPr>
        <w:tc>
          <w:tcPr>
            <w:tcW w:type="dxa" w:w="578"/>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w:t>
            </w:r>
          </w:p>
        </w:tc>
        <w:tc>
          <w:tcPr>
            <w:tcW w:type="dxa" w:w="6168"/>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Import suppliers and items, and upload supplier compliance documents.</w:t>
            </w:r>
          </w:p>
        </w:tc>
        <w:tc>
          <w:tcPr>
            <w:tcW w:type="dxa" w:w="2891"/>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Procurement</w:t>
            </w:r>
          </w:p>
        </w:tc>
      </w:tr>
      <w:tr>
        <w:trPr>
          <w:cantSplit/>
        </w:trPr>
        <w:tc>
          <w:tcPr>
            <w:tcW w:type="dxa" w:w="578"/>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w:t>
            </w:r>
          </w:p>
        </w:tc>
        <w:tc>
          <w:tcPr>
            <w:tcW w:type="dxa" w:w="6168"/>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Add users with their roles and departments, and ask them to create their logins.</w:t>
            </w:r>
          </w:p>
        </w:tc>
        <w:tc>
          <w:tcPr>
            <w:tcW w:type="dxa" w:w="2891"/>
            <w:tcBorders>
              <w:top w:val="none" w:color="FFFFFF" w:sz="0"/>
              <w:left w:val="none" w:color="FFFFFF" w:sz="0"/>
              <w:bottom w:val="single" w:color="D6DEEB" w:sz="4"/>
              <w:right w:val="none" w:color="FFFFFF" w:sz="0"/>
            </w:tcBorders>
            <w:shd w:fill="FFFFFF" w:color="auto" w:val="clear"/>
            <w:tcMar>
              <w:top w:type="dxa" w:w="90"/>
              <w:left w:type="dxa" w:w="120"/>
              <w:bottom w:type="dxa" w:w="60"/>
              <w:right w:type="dxa" w:w="120"/>
            </w:tcMar>
            <w:vAlign w:val="top"/>
          </w:tcPr>
          <w:p>
            <w:pPr>
              <w:keepNext/>
              <w:spacing w:after="40" w:line="264"/>
            </w:pPr>
            <w:r>
              <w:rPr>
                <w:rFonts w:ascii="Open Sans" w:cs="Open Sans" w:eastAsia="Open Sans" w:hAnsi="Open Sans"/>
                <w:sz w:val="18"/>
                <w:szCs w:val="18"/>
              </w:rPr>
              <w:t xml:space="preserve">Client administrator</w:t>
            </w:r>
          </w:p>
        </w:tc>
      </w:tr>
      <w:tr>
        <w:trPr>
          <w:cantSplit/>
        </w:trPr>
        <w:tc>
          <w:tcPr>
            <w:tcW w:type="dxa" w:w="578"/>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val="false"/>
              <w:spacing w:after="40" w:line="264"/>
            </w:pPr>
            <w:r>
              <w:rPr>
                <w:rFonts w:ascii="Open Sans" w:cs="Open Sans" w:eastAsia="Open Sans" w:hAnsi="Open Sans"/>
                <w:sz w:val="18"/>
                <w:szCs w:val="18"/>
              </w:rPr>
              <w:t xml:space="preserve">☐</w:t>
            </w:r>
          </w:p>
        </w:tc>
        <w:tc>
          <w:tcPr>
            <w:tcW w:type="dxa" w:w="6168"/>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val="false"/>
              <w:spacing w:after="40" w:line="264"/>
            </w:pPr>
            <w:r>
              <w:rPr>
                <w:rFonts w:ascii="Open Sans" w:cs="Open Sans" w:eastAsia="Open Sans" w:hAnsi="Open Sans"/>
                <w:sz w:val="18"/>
                <w:szCs w:val="18"/>
              </w:rPr>
              <w:t xml:space="preserve">Run a test requisition all the way through to payment.</w:t>
            </w:r>
          </w:p>
        </w:tc>
        <w:tc>
          <w:tcPr>
            <w:tcW w:type="dxa" w:w="2891"/>
            <w:tcBorders>
              <w:top w:val="none" w:color="FFFFFF" w:sz="0"/>
              <w:left w:val="none" w:color="FFFFFF" w:sz="0"/>
              <w:bottom w:val="single" w:color="D6DEEB" w:sz="4"/>
              <w:right w:val="none" w:color="FFFFFF" w:sz="0"/>
            </w:tcBorders>
            <w:shd w:fill="F6F8FC" w:color="auto" w:val="clear"/>
            <w:tcMar>
              <w:top w:type="dxa" w:w="90"/>
              <w:left w:type="dxa" w:w="120"/>
              <w:bottom w:type="dxa" w:w="60"/>
              <w:right w:type="dxa" w:w="120"/>
            </w:tcMar>
            <w:vAlign w:val="top"/>
          </w:tcPr>
          <w:p>
            <w:pPr>
              <w:keepNext w:val="false"/>
              <w:spacing w:after="40" w:line="264"/>
            </w:pPr>
            <w:r>
              <w:rPr>
                <w:rFonts w:ascii="Open Sans" w:cs="Open Sans" w:eastAsia="Open Sans" w:hAnsi="Open Sans"/>
                <w:sz w:val="18"/>
                <w:szCs w:val="18"/>
              </w:rPr>
              <w:t xml:space="preserve">Everyone</w:t>
            </w:r>
          </w:p>
        </w:tc>
      </w:tr>
    </w:tbl>
    <w:p>
      <w:pPr>
        <w:spacing w:after="120"/>
      </w:pPr>
    </w:p>
    <w:sectPr>
      <w:headerReference w:type="default" r:id="rId6"/>
      <w:footerReference w:type="default" r:id="rId7"/>
      <w:pgSz w:w="11906" w:h="16838" w:orient="portrait"/>
      <w:pgMar w:top="1300" w:right="1134" w:bottom="1200" w:left="1134" w:header="600" w:footer="56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oppins SemiBold">
    <w:family w:val="auto"/>
    <w:pitch w:val="variable"/>
    <w:sig w:usb0="E0002AFF" w:usb1="C000247B" w:usb2="00000009" w:usb3="00000000" w:csb0="000001FF" w:csb1="00000000"/>
    <w:embedRegular r:id="rId1" w:fontKey="{216996a9-868a-2f94-3cb0-b52fd8c04a5e}"/>
  </w:font>
  <w:font w:name="Open Sans">
    <w:family w:val="auto"/>
    <w:pitch w:val="variable"/>
    <w:sig w:usb0="E0002AFF" w:usb1="C000247B" w:usb2="00000009" w:usb3="00000000" w:csb0="000001FF" w:csb1="00000000"/>
    <w:embedRegular r:id="rId2" w:fontKey="{ebe619c1-f4cd-98dc-126e-4ddaeb5892c5}"/>
  </w:font>
  <w:font w:name="Open Sans SemiBold">
    <w:family w:val="auto"/>
    <w:pitch w:val="variable"/>
    <w:sig w:usb0="E0002AFF" w:usb1="C000247B" w:usb2="00000009" w:usb3="00000000" w:csb0="000001FF" w:csb1="00000000"/>
    <w:embedRegular r:id="rId3" w:fontKey="{e0193cc7-b877-7df4-ba5e-4a47ee5018c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Open Sans" w:cs="Open Sans" w:eastAsia="Open Sans" w:hAnsi="Open Sans"/>
        <w:color w:val="7A89A6"/>
        <w:sz w:val="16"/>
        <w:szCs w:val="16"/>
      </w:rPr>
      <w:t xml:space="preserve">HeartPath Solutions</w:t>
    </w:r>
    <w:r>
      <w:rPr>
        <w:rFonts w:ascii="Poppins SemiBold" w:cs="Poppins SemiBold" w:eastAsia="Poppins SemiBold" w:hAnsi="Poppins SemiBold"/>
        <w:color w:val="081D4D"/>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EB" w:sz="4" w:space="6"/>
      </w:pBdr>
      <w:tabs>
        <w:tab w:val="right" w:pos="9638"/>
      </w:tabs>
    </w:pPr>
    <w:r>
      <w:rPr>
        <w:rFonts w:ascii="Poppins SemiBold" w:cs="Poppins SemiBold" w:eastAsia="Poppins SemiBold" w:hAnsi="Poppins SemiBold"/>
        <w:color w:val="081D4D"/>
        <w:sz w:val="16"/>
        <w:szCs w:val="16"/>
      </w:rPr>
      <w:t xml:space="preserve">PERA</w:t>
    </w:r>
    <w:r>
      <w:rPr>
        <w:rFonts w:ascii="Open Sans" w:cs="Open Sans" w:eastAsia="Open Sans" w:hAnsi="Open Sans"/>
        <w:color w:val="7A89A6"/>
        <w:sz w:val="16"/>
        <w:szCs w:val="16"/>
      </w:rPr>
      <w:t xml:space="preserve">   Product guide</w:t>
    </w:r>
    <w:r>
      <w:rPr>
        <w:rFonts w:ascii="Open Sans" w:cs="Open Sans" w:eastAsia="Open Sans" w:hAnsi="Open Sans"/>
        <w:color w:val="7A89A6"/>
        <w:sz w:val="16"/>
        <w:szCs w:val="16"/>
      </w:rPr>
      <w:t xml:space="preserve">	Version 1.0  ·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300"/>
      </w:pPr>
      <w:rPr>
        <w:color w:val="5FD6FF"/>
        <w:sz w:val="14"/>
        <w:szCs w:val="14"/>
      </w:rPr>
    </w:lvl>
    <w:lvl w:ilvl="1" w15:tentative="1">
      <w:start w:val="1"/>
      <w:numFmt w:val="bullet"/>
      <w:lvlText w:val="–"/>
      <w:lvlJc w:val="left"/>
      <w:pPr>
        <w:ind w:left="760" w:hanging="300"/>
      </w:pPr>
      <w:rPr>
        <w:color w:val="7A89A6"/>
        <w:sz w:val="18"/>
        <w:szCs w:val="18"/>
      </w:rPr>
    </w:lvl>
  </w:abstractNum>
  <w:abstractNum w:abstractNumId="3" w15:restartNumberingAfterBreak="0">
    <w:multiLevelType w:val="hybridMultilevel"/>
    <w:lvl w:ilvl="0" w15:tentative="1">
      <w:start w:val="1"/>
      <w:numFmt w:val="decimal"/>
      <w:lvlText w:val="%1."/>
      <w:lvlJc w:val="left"/>
      <w:pPr>
        <w:ind w:left="420" w:hanging="320"/>
      </w:pPr>
      <w:rPr>
        <w:rFonts w:ascii="Poppins SemiBold" w:cs="Poppins SemiBold" w:eastAsia="Poppins SemiBold" w:hAnsi="Poppins SemiBold"/>
        <w:color w:val="1565C0"/>
      </w:rPr>
    </w:lvl>
  </w:abstractNum>
  <w:abstractNum w:abstractNumId="4" w15:restartNumberingAfterBreak="0">
    <w:multiLevelType w:val="hybridMultilevel"/>
    <w:lvl w:ilvl="0" w15:tentative="1">
      <w:start w:val="1"/>
      <w:numFmt w:val="decimal"/>
      <w:lvlText w:val="%1."/>
      <w:lvlJc w:val="left"/>
      <w:pPr>
        <w:ind w:left="420" w:hanging="320"/>
      </w:pPr>
      <w:rPr>
        <w:rFonts w:ascii="Poppins SemiBold" w:cs="Poppins SemiBold" w:eastAsia="Poppins SemiBold" w:hAnsi="Poppins SemiBold"/>
        <w:color w:val="1565C0"/>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mbedTrueTypeFonts/>
  <w:saveSubsetFonts/>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1F2A44"/>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pPr>
      <w:spacing w:after="280"/>
    </w:pPr>
    <w:rPr>
      <w:rFonts w:ascii="Poppins SemiBold" w:cs="Poppins SemiBold" w:eastAsia="Poppins SemiBold" w:hAnsi="Poppins SemiBold"/>
      <w:color w:val="081D4D"/>
      <w:sz w:val="44"/>
      <w:szCs w:val="44"/>
    </w:rPr>
  </w:style>
  <w:style w:type="paragraph" w:styleId="Heading1">
    <w:name w:val="Heading 1"/>
    <w:basedOn w:val="Normal"/>
    <w:next w:val="Normal"/>
    <w:qFormat/>
    <w:pPr>
      <w:spacing w:before="0" w:after="300"/>
      <w:outlineLvl w:val="0"/>
    </w:pPr>
    <w:rPr>
      <w:rFonts w:ascii="Poppins SemiBold" w:cs="Poppins SemiBold" w:eastAsia="Poppins SemiBold" w:hAnsi="Poppins SemiBold"/>
      <w:color w:val="081D4D"/>
      <w:sz w:val="44"/>
      <w:szCs w:val="44"/>
    </w:rPr>
  </w:style>
  <w:style w:type="paragraph" w:styleId="Heading2">
    <w:name w:val="Heading 2"/>
    <w:basedOn w:val="Normal"/>
    <w:next w:val="Normal"/>
    <w:qFormat/>
    <w:pPr>
      <w:spacing w:before="320" w:after="120"/>
      <w:outlineLvl w:val="1"/>
    </w:pPr>
    <w:rPr>
      <w:rFonts w:ascii="Poppins SemiBold" w:cs="Poppins SemiBold" w:eastAsia="Poppins SemiBold" w:hAnsi="Poppins SemiBold"/>
      <w:color w:val="081D4D"/>
      <w:sz w:val="27"/>
      <w:szCs w:val="27"/>
    </w:rPr>
  </w:style>
  <w:style w:type="paragraph" w:styleId="Heading3">
    <w:name w:val="Heading 3"/>
    <w:basedOn w:val="Normal"/>
    <w:next w:val="Normal"/>
    <w:qFormat/>
    <w:pPr>
      <w:spacing w:before="200" w:after="80"/>
      <w:outlineLvl w:val="2"/>
    </w:pPr>
    <w:rPr>
      <w:rFonts w:ascii="Poppins SemiBold" w:cs="Poppins SemiBold" w:eastAsia="Poppins SemiBold" w:hAnsi="Poppins SemiBold"/>
      <w:color w:val="1565C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549ac0c3cf3f2413c38a7f16493fac473431509.png"/><Relationship Id="rId9"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PERA Product Guide</dc:title>
  <dc:creator>HeartPath Solutions</dc:creator>
  <dc:description>What PERA is and how it works</dc:description>
  <cp:lastModifiedBy>Un-named</cp:lastModifiedBy>
  <cp:revision>1</cp:revision>
  <dcterms:created xsi:type="dcterms:W3CDTF">2026-10-20T08:32:37.550Z</dcterms:created>
  <dcterms:modified xsi:type="dcterms:W3CDTF">2026-10-20T08:32:37.554Z</dcterms:modified>
</cp:coreProperties>
</file>

<file path=docProps/custom.xml><?xml version="1.0" encoding="utf-8"?>
<Properties xmlns="http://schemas.openxmlformats.org/officeDocument/2006/custom-properties" xmlns:vt="http://schemas.openxmlformats.org/officeDocument/2006/docPropsVTypes"/>
</file>