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4E9347" w14:textId="77777777" w:rsidR="00FA3186" w:rsidRDefault="00000000">
      <w:pPr>
        <w:spacing w:after="60"/>
      </w:pPr>
      <w:r>
        <w:rPr>
          <w:b/>
          <w:bCs/>
          <w:color w:val="1F3A5F"/>
          <w:sz w:val="34"/>
          <w:szCs w:val="34"/>
        </w:rPr>
        <w:t>Ficha de Escopo do Projeto</w:t>
      </w:r>
    </w:p>
    <w:p w14:paraId="4C74F0EC" w14:textId="7D225E26" w:rsidR="00FA3186" w:rsidRDefault="00000000">
      <w:pPr>
        <w:spacing w:after="160"/>
      </w:pPr>
      <w:r>
        <w:rPr>
          <w:color w:val="5A6472"/>
          <w:sz w:val="19"/>
          <w:szCs w:val="19"/>
        </w:rPr>
        <w:t>Projeto Integrado em Ciência de Dados (ECD-108) — Módulo 1</w:t>
      </w:r>
      <w:r>
        <w:br/>
      </w:r>
      <w:r>
        <w:rPr>
          <w:color w:val="5A6472"/>
          <w:sz w:val="19"/>
          <w:szCs w:val="19"/>
        </w:rPr>
        <w:t>PPGMCS/UNIMONTES  |  Prof.ª Luciana Balieiro Cosme  |  Setembro de 2026</w:t>
      </w:r>
      <w:r>
        <w:br/>
      </w:r>
      <w:r>
        <w:rPr>
          <w:color w:val="5A6472"/>
          <w:sz w:val="19"/>
          <w:szCs w:val="19"/>
        </w:rPr>
        <w:t xml:space="preserve">Aluno: </w:t>
      </w:r>
      <w:r>
        <w:rPr>
          <w:b/>
          <w:bCs/>
          <w:color w:val="5A6472"/>
          <w:sz w:val="19"/>
          <w:szCs w:val="19"/>
        </w:rPr>
        <w:t>Samuel Rodrigues Gonçalves</w:t>
      </w:r>
    </w:p>
    <w:p w14:paraId="3D4B6E51" w14:textId="77777777" w:rsidR="00FA3186" w:rsidRDefault="00FA3186">
      <w:pPr>
        <w:pBdr>
          <w:bottom w:val="single" w:sz="6" w:space="1" w:color="C9D1DA"/>
        </w:pBdr>
        <w:spacing w:after="120"/>
      </w:pPr>
    </w:p>
    <w:p w14:paraId="11D3F870" w14:textId="77777777" w:rsidR="00FA3186" w:rsidRDefault="00000000">
      <w:pPr>
        <w:spacing w:before="260" w:after="100"/>
      </w:pPr>
      <w:r>
        <w:rPr>
          <w:b/>
          <w:bCs/>
          <w:color w:val="1F3A5F"/>
          <w:sz w:val="24"/>
          <w:szCs w:val="24"/>
        </w:rPr>
        <w:t>1. Quem é afetado pelo problema?</w:t>
      </w:r>
    </w:p>
    <w:p w14:paraId="0BEEA074" w14:textId="77777777" w:rsidR="00FA3186" w:rsidRDefault="00000000">
      <w:pPr>
        <w:spacing w:after="140" w:line="276" w:lineRule="auto"/>
        <w:jc w:val="both"/>
      </w:pPr>
      <w:r>
        <w:t xml:space="preserve">O </w:t>
      </w:r>
      <w:r>
        <w:rPr>
          <w:b/>
          <w:bCs/>
        </w:rPr>
        <w:t>operador de sala de controle</w:t>
      </w:r>
      <w:r>
        <w:t xml:space="preserve"> e o </w:t>
      </w:r>
      <w:r>
        <w:rPr>
          <w:b/>
          <w:bCs/>
        </w:rPr>
        <w:t>analista de segurança OT</w:t>
      </w:r>
      <w:r>
        <w:t xml:space="preserve"> de uma planta de processo contínuo supervisionada por SCADA/DCS. O operador decide, dentro do turno, se um desvio é variação normal, falha de instrumento ou manipulação da malha de controle; o analista recebe esse indício e decide se abre investigação — decisão que concorre com a meta de disponibilidade da linha. No testbed que fornece os dados, esse sistema é uma planta de geração com turbina a vapor e bombeamento hidráulico.</w:t>
      </w:r>
    </w:p>
    <w:p w14:paraId="5C8E4BB8" w14:textId="77777777" w:rsidR="00FA3186" w:rsidRDefault="00000000">
      <w:pPr>
        <w:spacing w:before="260" w:after="100"/>
      </w:pPr>
      <w:r>
        <w:rPr>
          <w:b/>
          <w:bCs/>
          <w:color w:val="1F3A5F"/>
          <w:sz w:val="24"/>
          <w:szCs w:val="24"/>
        </w:rPr>
        <w:t>2. Qual é o problema?</w:t>
      </w:r>
    </w:p>
    <w:p w14:paraId="59FBB9EB" w14:textId="77777777" w:rsidR="00FA3186" w:rsidRDefault="00000000">
      <w:pPr>
        <w:spacing w:after="140" w:line="276" w:lineRule="auto"/>
        <w:jc w:val="both"/>
      </w:pPr>
      <w:r>
        <w:t xml:space="preserve">A detecção de manipulação no nível do controle depende hoje de </w:t>
      </w:r>
      <w:r>
        <w:rPr>
          <w:b/>
          <w:bCs/>
        </w:rPr>
        <w:t>limites fixos de alarme</w:t>
      </w:r>
      <w:r>
        <w:t xml:space="preserve"> configurados tag a tag, herdados do projeto de automação e desenhados para falha de equipamento, não para adversário. Um ataque que altera setpoint ou comando de atuador </w:t>
      </w:r>
      <w:r>
        <w:rPr>
          <w:b/>
          <w:bCs/>
        </w:rPr>
        <w:t>mantendo a variável dentro da faixa operacional</w:t>
      </w:r>
      <w:r>
        <w:t xml:space="preserve"> não dispara alarme: só se torna visível quando o efeito já ocorreu. Falta uma camada que observe as 86 tags </w:t>
      </w:r>
      <w:r>
        <w:rPr>
          <w:b/>
          <w:bCs/>
        </w:rPr>
        <w:t>em conjunto</w:t>
      </w:r>
      <w:r>
        <w:t xml:space="preserve"> e sinalize a combinação anômala antes do desvio.</w:t>
      </w:r>
    </w:p>
    <w:p w14:paraId="291851AD" w14:textId="77777777" w:rsidR="00FA3186" w:rsidRDefault="00000000">
      <w:pPr>
        <w:spacing w:before="260" w:after="100"/>
      </w:pPr>
      <w:r>
        <w:rPr>
          <w:b/>
          <w:bCs/>
          <w:color w:val="1F3A5F"/>
          <w:sz w:val="24"/>
          <w:szCs w:val="24"/>
        </w:rPr>
        <w:t>3. Qual o impacto do problema?</w:t>
      </w:r>
    </w:p>
    <w:p w14:paraId="25022381" w14:textId="77777777" w:rsidR="00FA3186" w:rsidRDefault="00000000">
      <w:pPr>
        <w:spacing w:after="140" w:line="276" w:lineRule="auto"/>
        <w:jc w:val="both"/>
      </w:pPr>
      <w:r>
        <w:t xml:space="preserve">Ataque a ambiente industrial é frequente, mas quase sempre ransomware — indisponibilidade percebida no mesmo dia. O ataque tratado aqui é o que </w:t>
      </w:r>
      <w:r>
        <w:rPr>
          <w:b/>
          <w:bCs/>
        </w:rPr>
        <w:t>não</w:t>
      </w:r>
      <w:r>
        <w:t xml:space="preserve"> se percebe, e deixou de ser hipotético: em julho de 2026 a CISA documentou campanha ativa contra PLCs Rockwell, Schneider e Siemens em água, energia e municípios, na qual a lógica maliciosa </w:t>
      </w:r>
      <w:r>
        <w:rPr>
          <w:b/>
          <w:bCs/>
        </w:rPr>
        <w:t>preservava o funcionamento aparente, desabilitava o shutdown e o alarme e manipulava as telas de HMI e SCADA</w:t>
      </w:r>
      <w:r>
        <w:t xml:space="preserve"> [1]. O tempo médio de permanência não detectada em ambientes OT é de </w:t>
      </w:r>
      <w:r>
        <w:rPr>
          <w:b/>
          <w:bCs/>
        </w:rPr>
        <w:t>42 dias</w:t>
      </w:r>
      <w:r>
        <w:t>, contra 5 dias em organizações com visibilidade de processo [2] — é esse intervalo que o projeto ataca.</w:t>
      </w:r>
    </w:p>
    <w:p w14:paraId="5E18D48B" w14:textId="77777777" w:rsidR="00FA3186" w:rsidRDefault="00000000">
      <w:pPr>
        <w:spacing w:after="140" w:line="276" w:lineRule="auto"/>
        <w:jc w:val="both"/>
      </w:pPr>
      <w:r>
        <w:t xml:space="preserve">O custo do erro é assimétrico nos dois sentidos: falso negativo é ataque em curso; excesso de falso positivo faz o operador ignorar a ferramenta, e detector ignorado vale zero — é isso que define a métrica do item 5. Vale registrar ainda que a assinatura procurada (comando e processo deixarem de fazer sentido juntos) também aparece em instrumento descalibrado, malha esquecida em manual e desvio operacional: </w:t>
      </w:r>
      <w:r>
        <w:rPr>
          <w:b/>
          <w:bCs/>
        </w:rPr>
        <w:t>a camada se paga como observabilidade de processo mesmo sem ataque algum</w:t>
      </w:r>
      <w:r>
        <w:t>.</w:t>
      </w:r>
    </w:p>
    <w:p w14:paraId="799EB9AD" w14:textId="77777777" w:rsidR="00FA3186" w:rsidRDefault="00000000">
      <w:pPr>
        <w:spacing w:before="260" w:after="100"/>
      </w:pPr>
      <w:r>
        <w:rPr>
          <w:b/>
          <w:bCs/>
          <w:color w:val="1F3A5F"/>
          <w:sz w:val="24"/>
          <w:szCs w:val="24"/>
        </w:rPr>
        <w:t>4. Que dados existem?</w:t>
      </w:r>
    </w:p>
    <w:p w14:paraId="5946123D" w14:textId="77777777" w:rsidR="00FA3186" w:rsidRDefault="00000000">
      <w:pPr>
        <w:spacing w:after="140" w:line="276" w:lineRule="auto"/>
        <w:jc w:val="both"/>
      </w:pPr>
      <w:r>
        <w:rPr>
          <w:b/>
          <w:bCs/>
        </w:rPr>
        <w:t>HAI Security Dataset 23.05</w:t>
      </w:r>
      <w:r>
        <w:t xml:space="preserve"> (National Security Research Institute, Coreia do Sul) — github.com/icsdataset/hai, licença CC BY-SA 4.0, download público e direto, verificado em 19/09/2026. CSV de série temporal a 1 Hz: </w:t>
      </w:r>
      <w:r>
        <w:rPr>
          <w:b/>
          <w:bCs/>
        </w:rPr>
        <w:t>249 h</w:t>
      </w:r>
      <w:r>
        <w:t xml:space="preserve"> de operação normal (4 arquivos, 494,8 MB) e </w:t>
      </w:r>
      <w:r>
        <w:rPr>
          <w:b/>
          <w:bCs/>
        </w:rPr>
        <w:t>79 h rotuladas</w:t>
      </w:r>
      <w:r>
        <w:t xml:space="preserve"> (2 arquivos, 284.400 registros, 156,6 MB) contendo </w:t>
      </w:r>
      <w:r>
        <w:rPr>
          <w:b/>
          <w:bCs/>
        </w:rPr>
        <w:t>52 ataques</w:t>
      </w:r>
      <w:r>
        <w:t xml:space="preserve">, período de 12 a 19/08/2022. São </w:t>
      </w:r>
      <w:r>
        <w:rPr>
          <w:b/>
          <w:bCs/>
        </w:rPr>
        <w:t>86 tags</w:t>
      </w:r>
      <w:r>
        <w:t xml:space="preserve"> de sensores e atuadores, sem valores ausentes. Prevalência da classe positiva: </w:t>
      </w:r>
      <w:r>
        <w:rPr>
          <w:b/>
          <w:bCs/>
        </w:rPr>
        <w:t>4,00%</w:t>
      </w:r>
      <w:r>
        <w:t>. Detalhamento no anexo (Entrega 1).</w:t>
      </w:r>
    </w:p>
    <w:p w14:paraId="703699AE" w14:textId="77777777" w:rsidR="00FA3186" w:rsidRDefault="00000000">
      <w:pPr>
        <w:spacing w:before="260" w:after="100"/>
      </w:pPr>
      <w:r>
        <w:rPr>
          <w:b/>
          <w:bCs/>
          <w:color w:val="1F3A5F"/>
          <w:sz w:val="24"/>
          <w:szCs w:val="24"/>
        </w:rPr>
        <w:t>5. Como o sucesso será medido?</w:t>
      </w:r>
    </w:p>
    <w:p w14:paraId="79B29B26" w14:textId="77777777" w:rsidR="00FA3186" w:rsidRDefault="00000000">
      <w:pPr>
        <w:spacing w:after="140" w:line="276" w:lineRule="auto"/>
        <w:jc w:val="both"/>
      </w:pPr>
      <w:r>
        <w:t xml:space="preserve">A acurácia é inutilizável: responder sempre “normal” rende </w:t>
      </w:r>
      <w:r>
        <w:rPr>
          <w:b/>
          <w:bCs/>
        </w:rPr>
        <w:t>96,00%</w:t>
      </w:r>
      <w:r>
        <w:t xml:space="preserve"> sem detectar nenhum ataque. A avaliação é por </w:t>
      </w:r>
      <w:r>
        <w:rPr>
          <w:b/>
          <w:bCs/>
        </w:rPr>
        <w:t>evento</w:t>
      </w:r>
      <w:r>
        <w:t>, não por segundo.</w:t>
      </w:r>
    </w:p>
    <w:tbl>
      <w:tblPr>
        <w:tblW w:w="9360" w:type="dxa"/>
        <w:tblBorders>
          <w:insideH w:val="single" w:sz="4" w:space="0" w:color="C9D1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FA3186" w14:paraId="49DAC1A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bottom w:w="90" w:type="dxa"/>
              <w:right w:w="160" w:type="dxa"/>
            </w:tcMar>
          </w:tcPr>
          <w:p w14:paraId="53F6F312" w14:textId="77777777" w:rsidR="00FA3186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Técnica (primária)</w:t>
            </w:r>
          </w:p>
        </w:tc>
        <w:tc>
          <w:tcPr>
            <w:tcW w:w="6660" w:type="dxa"/>
            <w:tcMar>
              <w:top w:w="90" w:type="dxa"/>
              <w:bottom w:w="90" w:type="dxa"/>
            </w:tcMar>
          </w:tcPr>
          <w:p w14:paraId="43D7D387" w14:textId="77777777" w:rsidR="00FA3186" w:rsidRDefault="00000000">
            <w:pPr>
              <w:spacing w:line="264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Cobertura de eventos sob orçamento de alarme</w:t>
            </w:r>
            <w:r>
              <w:rPr>
                <w:sz w:val="20"/>
                <w:szCs w:val="20"/>
              </w:rPr>
              <w:t xml:space="preserve"> — proporção dos 52 ataques com ao menos um segundo corretamente sinalizado, sob a restrição de </w:t>
            </w:r>
            <w:r>
              <w:rPr>
                <w:b/>
                <w:bCs/>
                <w:sz w:val="20"/>
                <w:szCs w:val="20"/>
              </w:rPr>
              <w:t>no máximo 1 alarme falso por hora</w:t>
            </w:r>
            <w:r>
              <w:rPr>
                <w:sz w:val="20"/>
                <w:szCs w:val="20"/>
              </w:rPr>
              <w:t xml:space="preserve"> de operação normal. Meta: </w:t>
            </w:r>
            <w:r>
              <w:rPr>
                <w:b/>
                <w:bCs/>
                <w:sz w:val="20"/>
                <w:szCs w:val="20"/>
              </w:rPr>
              <w:t>≥ 70%</w:t>
            </w:r>
            <w:r>
              <w:rPr>
                <w:sz w:val="20"/>
                <w:szCs w:val="20"/>
              </w:rPr>
              <w:t>.</w:t>
            </w:r>
          </w:p>
        </w:tc>
      </w:tr>
      <w:tr w:rsidR="00FA3186" w14:paraId="1B7596A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bottom w:w="90" w:type="dxa"/>
              <w:right w:w="160" w:type="dxa"/>
            </w:tcMar>
          </w:tcPr>
          <w:p w14:paraId="6843F4D0" w14:textId="77777777" w:rsidR="00FA3186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Técnica (apoio)</w:t>
            </w:r>
          </w:p>
        </w:tc>
        <w:tc>
          <w:tcPr>
            <w:tcW w:w="6660" w:type="dxa"/>
            <w:tcMar>
              <w:top w:w="90" w:type="dxa"/>
              <w:bottom w:w="90" w:type="dxa"/>
            </w:tcMar>
          </w:tcPr>
          <w:p w14:paraId="1213C4E7" w14:textId="77777777" w:rsidR="00FA3186" w:rsidRDefault="00000000">
            <w:pPr>
              <w:spacing w:line="264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Latência mediana de detecção</w:t>
            </w:r>
            <w:r>
              <w:rPr>
                <w:sz w:val="20"/>
                <w:szCs w:val="20"/>
              </w:rPr>
              <w:t xml:space="preserve"> (meta ≤ 60 s, abaixo da mediana de duração dos ataques, que é 132 s) e </w:t>
            </w:r>
            <w:r>
              <w:rPr>
                <w:b/>
                <w:bCs/>
                <w:sz w:val="20"/>
                <w:szCs w:val="20"/>
              </w:rPr>
              <w:t>PR-AUC</w:t>
            </w:r>
            <w:r>
              <w:rPr>
                <w:sz w:val="20"/>
                <w:szCs w:val="20"/>
              </w:rPr>
              <w:t xml:space="preserve"> por ponto, adequada à prevalência de 4%.</w:t>
            </w:r>
          </w:p>
        </w:tc>
      </w:tr>
      <w:tr w:rsidR="00FA3186" w14:paraId="547ECD3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bottom w:w="90" w:type="dxa"/>
              <w:right w:w="160" w:type="dxa"/>
            </w:tcMar>
          </w:tcPr>
          <w:p w14:paraId="0920679F" w14:textId="77777777" w:rsidR="00FA3186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Negócio</w:t>
            </w:r>
          </w:p>
        </w:tc>
        <w:tc>
          <w:tcPr>
            <w:tcW w:w="6660" w:type="dxa"/>
            <w:tcMar>
              <w:top w:w="90" w:type="dxa"/>
              <w:bottom w:w="90" w:type="dxa"/>
            </w:tcMar>
          </w:tcPr>
          <w:p w14:paraId="3B33FD07" w14:textId="77777777" w:rsidR="00FA3186" w:rsidRDefault="00000000">
            <w:pPr>
              <w:spacing w:line="264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Alarmes falsos por turno de 8 horas</w:t>
            </w:r>
            <w:r>
              <w:rPr>
                <w:sz w:val="20"/>
                <w:szCs w:val="20"/>
              </w:rPr>
              <w:t xml:space="preserve"> — grandeza que o supervisor de operação efetivamente negocia: o teto de 1/hora equivale a 8 interrupções por turno.</w:t>
            </w:r>
          </w:p>
        </w:tc>
      </w:tr>
    </w:tbl>
    <w:p w14:paraId="1F935807" w14:textId="77777777" w:rsidR="00FA3186" w:rsidRDefault="00000000">
      <w:pPr>
        <w:spacing w:before="260" w:after="100"/>
      </w:pPr>
      <w:r>
        <w:rPr>
          <w:b/>
          <w:bCs/>
          <w:color w:val="1F3A5F"/>
          <w:sz w:val="24"/>
          <w:szCs w:val="24"/>
        </w:rPr>
        <w:t>6. Qual é a hipótese?</w:t>
      </w:r>
    </w:p>
    <w:p w14:paraId="72A4BBFD" w14:textId="77777777" w:rsidR="00FA3186" w:rsidRDefault="00FA3186">
      <w:pPr>
        <w:spacing w:after="100"/>
      </w:pPr>
    </w:p>
    <w:tbl>
      <w:tblPr>
        <w:tblW w:w="9360" w:type="dxa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3186" w14:paraId="2E53A6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6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34CCC2A3" w14:textId="77777777" w:rsidR="00FA3186" w:rsidRDefault="00000000">
            <w:pPr>
              <w:spacing w:line="288" w:lineRule="auto"/>
              <w:jc w:val="both"/>
            </w:pPr>
            <w:r>
              <w:rPr>
                <w:b/>
                <w:bCs/>
                <w:color w:val="1F3A5F"/>
              </w:rPr>
              <w:t>Acredito que estatísticas móveis (média, desvio-padrão e delta) das 86 tags em janelas de 30 a 120 segundos detectam ao menos 70% dos 52 ataques respeitando o teto de 1 alarme falso por hora, porque os ataques manipulam comando e setpoint sem que o conjunto das variáveis de processo acompanhe de forma fisicamente coerente — e essa incoerência é multivariada, não observável em nenhuma tag isolada.</w:t>
            </w:r>
          </w:p>
        </w:tc>
      </w:tr>
    </w:tbl>
    <w:p w14:paraId="5A173650" w14:textId="77777777" w:rsidR="00FA3186" w:rsidRDefault="00FA3186">
      <w:pPr>
        <w:spacing w:after="140"/>
      </w:pPr>
    </w:p>
    <w:p w14:paraId="478B8E3A" w14:textId="77777777" w:rsidR="00FA3186" w:rsidRDefault="00000000">
      <w:pPr>
        <w:spacing w:after="140" w:line="276" w:lineRule="auto"/>
        <w:jc w:val="both"/>
      </w:pPr>
      <w:r>
        <w:t xml:space="preserve">A versão univariada dessa ideia já foi testada e </w:t>
      </w:r>
      <w:r>
        <w:rPr>
          <w:b/>
          <w:bCs/>
        </w:rPr>
        <w:t>descartada</w:t>
      </w:r>
      <w:r>
        <w:t xml:space="preserve">: o resíduo entre comando e realimentação dos 6 pares D/Z do subsistema 1, calibrado no percentil 99 da operação normal (exatamente 1% de alarme falso), detecta </w:t>
      </w:r>
      <w:r>
        <w:rPr>
          <w:b/>
          <w:bCs/>
        </w:rPr>
        <w:t>1 dos 14 ataques</w:t>
      </w:r>
      <w:r>
        <w:t xml:space="preserve"> de hai-test1 — fica registrado como </w:t>
      </w:r>
      <w:r>
        <w:rPr>
          <w:b/>
          <w:bCs/>
        </w:rPr>
        <w:t>baseline a ser superado</w:t>
      </w:r>
      <w:r>
        <w:t>. O resultado é coerente com a documentação do dataset, que descreve os ataques da versão 22.04 em diante como cerca de quatro vezes mais difíceis de detectar que os da 21.03.</w:t>
      </w:r>
    </w:p>
    <w:p w14:paraId="4FDC27E1" w14:textId="77777777" w:rsidR="00FA3186" w:rsidRDefault="00FA3186">
      <w:pPr>
        <w:spacing w:after="140"/>
      </w:pPr>
    </w:p>
    <w:tbl>
      <w:tblPr>
        <w:tblW w:w="9360" w:type="dxa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3186" w14:paraId="3861E0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6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4BF2B04A" w14:textId="77777777" w:rsidR="00FA3186" w:rsidRDefault="00000000">
            <w:pPr>
              <w:spacing w:line="288" w:lineRule="auto"/>
              <w:jc w:val="both"/>
            </w:pPr>
            <w:r>
              <w:rPr>
                <w:b/>
                <w:bCs/>
                <w:color w:val="1F3A5F"/>
              </w:rPr>
              <w:t>Quero classificar se uma janela de operação do processo está sob ataque usando as 86 tags de sensores e atuadores do HAI 23.05 para que o operador de sala de controle e o analista de segurança OT possam abrir investigação antes que a variável saia de faixa, sem serem soterrados por alarme falso.</w:t>
            </w:r>
          </w:p>
        </w:tc>
      </w:tr>
    </w:tbl>
    <w:p w14:paraId="1DF40B03" w14:textId="77777777" w:rsidR="00FA3186" w:rsidRDefault="00000000">
      <w:pPr>
        <w:spacing w:before="260" w:after="100"/>
      </w:pPr>
      <w:r>
        <w:rPr>
          <w:b/>
          <w:bCs/>
          <w:color w:val="1F3A5F"/>
          <w:sz w:val="24"/>
          <w:szCs w:val="24"/>
        </w:rPr>
        <w:t>Referências do item 3</w:t>
      </w:r>
    </w:p>
    <w:p w14:paraId="3657293D" w14:textId="77777777" w:rsidR="00FA3186" w:rsidRDefault="00000000">
      <w:pPr>
        <w:spacing w:after="120" w:line="264" w:lineRule="auto"/>
      </w:pPr>
      <w:r>
        <w:rPr>
          <w:color w:val="5A6472"/>
          <w:sz w:val="18"/>
          <w:szCs w:val="18"/>
        </w:rPr>
        <w:t xml:space="preserve">[1] CISA. </w:t>
      </w:r>
      <w:r>
        <w:rPr>
          <w:i/>
          <w:iCs/>
          <w:color w:val="5A6472"/>
          <w:sz w:val="18"/>
          <w:szCs w:val="18"/>
        </w:rPr>
        <w:t>Iranian-Affiliated Cyber Actors Exploit PLCs Across US Critical Infrastructure</w:t>
      </w:r>
      <w:r>
        <w:rPr>
          <w:color w:val="5A6472"/>
          <w:sz w:val="18"/>
          <w:szCs w:val="18"/>
        </w:rPr>
        <w:t>, alerta AA26-097A, jul. 2026.</w:t>
      </w:r>
      <w:r>
        <w:br/>
      </w:r>
      <w:r>
        <w:rPr>
          <w:color w:val="5A6472"/>
          <w:sz w:val="18"/>
          <w:szCs w:val="18"/>
        </w:rPr>
        <w:t xml:space="preserve">[2] DRAGOS. </w:t>
      </w:r>
      <w:r>
        <w:rPr>
          <w:i/>
          <w:iCs/>
          <w:color w:val="5A6472"/>
          <w:sz w:val="18"/>
          <w:szCs w:val="18"/>
        </w:rPr>
        <w:t>OT Cybersecurity Year in Review 2026</w:t>
      </w:r>
      <w:r>
        <w:rPr>
          <w:color w:val="5A6472"/>
          <w:sz w:val="18"/>
          <w:szCs w:val="18"/>
        </w:rPr>
        <w:t xml:space="preserve"> (dados de 2025). Acessos em 20/09/2026.</w:t>
      </w:r>
    </w:p>
    <w:p w14:paraId="48D5D703" w14:textId="77777777" w:rsidR="00FA3186" w:rsidRDefault="00000000">
      <w:r>
        <w:br w:type="page"/>
      </w:r>
    </w:p>
    <w:p w14:paraId="4EA65D5D" w14:textId="77777777" w:rsidR="00FA3186" w:rsidRDefault="00000000">
      <w:pPr>
        <w:spacing w:after="60"/>
      </w:pPr>
      <w:r>
        <w:rPr>
          <w:b/>
          <w:bCs/>
          <w:color w:val="1F3A5F"/>
          <w:sz w:val="34"/>
          <w:szCs w:val="34"/>
        </w:rPr>
        <w:lastRenderedPageBreak/>
        <w:t>Anexo — Exploração mínima (Entrega 1 do Módulo 1)</w:t>
      </w:r>
    </w:p>
    <w:p w14:paraId="5F58995E" w14:textId="77777777" w:rsidR="00FA3186" w:rsidRDefault="00000000">
      <w:pPr>
        <w:spacing w:after="160"/>
      </w:pPr>
      <w:r>
        <w:rPr>
          <w:color w:val="5A6472"/>
          <w:sz w:val="19"/>
          <w:szCs w:val="19"/>
        </w:rPr>
        <w:t>Apuração feita pelo autor sobre os arquivos baixados em 19/09/2026.</w:t>
      </w:r>
    </w:p>
    <w:p w14:paraId="65008A28" w14:textId="77777777" w:rsidR="00FA3186" w:rsidRDefault="00FA3186">
      <w:pPr>
        <w:pBdr>
          <w:bottom w:val="single" w:sz="6" w:space="1" w:color="C9D1DA"/>
        </w:pBdr>
        <w:spacing w:after="120"/>
      </w:pPr>
    </w:p>
    <w:tbl>
      <w:tblPr>
        <w:tblW w:w="9360" w:type="dxa"/>
        <w:tblBorders>
          <w:insideH w:val="single" w:sz="4" w:space="0" w:color="C9D1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FA3186" w14:paraId="132E1A8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bottom w:w="90" w:type="dxa"/>
              <w:right w:w="160" w:type="dxa"/>
            </w:tcMar>
          </w:tcPr>
          <w:p w14:paraId="60C106A8" w14:textId="77777777" w:rsidR="00FA3186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Fonte e link</w:t>
            </w:r>
          </w:p>
        </w:tc>
        <w:tc>
          <w:tcPr>
            <w:tcW w:w="6660" w:type="dxa"/>
            <w:tcMar>
              <w:top w:w="90" w:type="dxa"/>
              <w:bottom w:w="90" w:type="dxa"/>
            </w:tcMar>
          </w:tcPr>
          <w:p w14:paraId="68294AF9" w14:textId="77777777" w:rsidR="00FA3186" w:rsidRDefault="00000000">
            <w:pPr>
              <w:spacing w:line="264" w:lineRule="auto"/>
              <w:jc w:val="both"/>
            </w:pPr>
            <w:r>
              <w:rPr>
                <w:sz w:val="20"/>
                <w:szCs w:val="20"/>
              </w:rPr>
              <w:t>HAI Security Dataset 23.05 — github.com/icsdataset/hai — CC BY-SA 4.0, acesso público e direto, sem cadastro. Ref.: Shin et al., HAI 1.0: HIL-based Augmented ICS Security Dataset, USENIX CSET 2020.</w:t>
            </w:r>
          </w:p>
        </w:tc>
      </w:tr>
      <w:tr w:rsidR="00FA3186" w14:paraId="54F65F9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bottom w:w="90" w:type="dxa"/>
              <w:right w:w="160" w:type="dxa"/>
            </w:tcMar>
          </w:tcPr>
          <w:p w14:paraId="6ABCB8B5" w14:textId="77777777" w:rsidR="00FA3186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Registros</w:t>
            </w:r>
          </w:p>
        </w:tc>
        <w:tc>
          <w:tcPr>
            <w:tcW w:w="6660" w:type="dxa"/>
            <w:tcMar>
              <w:top w:w="90" w:type="dxa"/>
              <w:bottom w:w="90" w:type="dxa"/>
            </w:tcMar>
          </w:tcPr>
          <w:p w14:paraId="6506E7C5" w14:textId="77777777" w:rsidR="00FA3186" w:rsidRDefault="00000000">
            <w:pPr>
              <w:spacing w:line="264" w:lineRule="auto"/>
              <w:jc w:val="both"/>
            </w:pPr>
            <w:r>
              <w:rPr>
                <w:sz w:val="20"/>
                <w:szCs w:val="20"/>
              </w:rPr>
              <w:t xml:space="preserve">Normal: 4 CSV, 249 h, 494,8 MB. Rotulados: 2 CSV, 79 h = </w:t>
            </w:r>
            <w:r>
              <w:rPr>
                <w:b/>
                <w:bCs/>
                <w:sz w:val="20"/>
                <w:szCs w:val="20"/>
              </w:rPr>
              <w:t>284.400 registros</w:t>
            </w:r>
            <w:r>
              <w:rPr>
                <w:sz w:val="20"/>
                <w:szCs w:val="20"/>
              </w:rPr>
              <w:t xml:space="preserve"> a 1 Hz, 156,6 MB, </w:t>
            </w:r>
            <w:r>
              <w:rPr>
                <w:b/>
                <w:bCs/>
                <w:sz w:val="20"/>
                <w:szCs w:val="20"/>
              </w:rPr>
              <w:t>52 ataques</w:t>
            </w:r>
            <w:r>
              <w:rPr>
                <w:sz w:val="20"/>
                <w:szCs w:val="20"/>
              </w:rPr>
              <w:t xml:space="preserve"> — hai-test1 (54.000 linhas, 12–13/08/2022, 14 ataques, 5,52%) e hai-test2 (230.400 linhas, 17–19/08/2022, 38 ataques, 3,65%).</w:t>
            </w:r>
          </w:p>
        </w:tc>
      </w:tr>
      <w:tr w:rsidR="00FA3186" w14:paraId="4232990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bottom w:w="90" w:type="dxa"/>
              <w:right w:w="160" w:type="dxa"/>
            </w:tcMar>
          </w:tcPr>
          <w:p w14:paraId="0ABEC4DC" w14:textId="77777777" w:rsidR="00FA3186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Colunas</w:t>
            </w:r>
          </w:p>
        </w:tc>
        <w:tc>
          <w:tcPr>
            <w:tcW w:w="6660" w:type="dxa"/>
            <w:tcMar>
              <w:top w:w="90" w:type="dxa"/>
              <w:bottom w:w="90" w:type="dxa"/>
            </w:tcMar>
          </w:tcPr>
          <w:p w14:paraId="5392CF96" w14:textId="77777777" w:rsidR="00FA3186" w:rsidRDefault="00000000">
            <w:pPr>
              <w:spacing w:line="264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86 tags</w:t>
            </w:r>
            <w:r>
              <w:rPr>
                <w:sz w:val="20"/>
                <w:szCs w:val="20"/>
              </w:rPr>
              <w:t xml:space="preserve"> + timestamp. Por subsistema: P1 = 37, P2 = 24, P4 = 11, P3 = 7, mais 7 setpoints do simulador HIL. Rótulos em arquivo separado (label-test*.csv).</w:t>
            </w:r>
          </w:p>
        </w:tc>
      </w:tr>
      <w:tr w:rsidR="00FA3186" w14:paraId="2C4D381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bottom w:w="90" w:type="dxa"/>
              <w:right w:w="160" w:type="dxa"/>
            </w:tcMar>
          </w:tcPr>
          <w:p w14:paraId="2A24FB08" w14:textId="77777777" w:rsidR="00FA3186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Qualidade</w:t>
            </w:r>
          </w:p>
        </w:tc>
        <w:tc>
          <w:tcPr>
            <w:tcW w:w="6660" w:type="dxa"/>
            <w:tcMar>
              <w:top w:w="90" w:type="dxa"/>
              <w:bottom w:w="90" w:type="dxa"/>
            </w:tcMar>
          </w:tcPr>
          <w:p w14:paraId="67BF2DCE" w14:textId="77777777" w:rsidR="00FA3186" w:rsidRDefault="00000000">
            <w:pPr>
              <w:spacing w:line="264" w:lineRule="auto"/>
              <w:jc w:val="both"/>
            </w:pPr>
            <w:r>
              <w:rPr>
                <w:sz w:val="20"/>
                <w:szCs w:val="20"/>
              </w:rPr>
              <w:t xml:space="preserve">Nenhum valor ausente. </w:t>
            </w:r>
            <w:r>
              <w:rPr>
                <w:b/>
                <w:bCs/>
                <w:sz w:val="20"/>
                <w:szCs w:val="20"/>
              </w:rPr>
              <w:t>27 das 86 tags são constantes</w:t>
            </w:r>
            <w:r>
              <w:rPr>
                <w:sz w:val="20"/>
                <w:szCs w:val="20"/>
              </w:rPr>
              <w:t xml:space="preserve"> em hai-test1 — candidatas a remoção. Continuidade temporal preservada, sem lacunas de timestamp.</w:t>
            </w:r>
          </w:p>
        </w:tc>
      </w:tr>
      <w:tr w:rsidR="00FA3186" w14:paraId="3301740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bottom w:w="90" w:type="dxa"/>
              <w:right w:w="160" w:type="dxa"/>
            </w:tcMar>
          </w:tcPr>
          <w:p w14:paraId="296E892D" w14:textId="77777777" w:rsidR="00FA3186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Classe alvo</w:t>
            </w:r>
          </w:p>
        </w:tc>
        <w:tc>
          <w:tcPr>
            <w:tcW w:w="6660" w:type="dxa"/>
            <w:tcMar>
              <w:top w:w="90" w:type="dxa"/>
              <w:bottom w:w="90" w:type="dxa"/>
            </w:tcMar>
          </w:tcPr>
          <w:p w14:paraId="1091589F" w14:textId="77777777" w:rsidR="00FA3186" w:rsidRDefault="00000000">
            <w:pPr>
              <w:spacing w:line="264" w:lineRule="auto"/>
              <w:jc w:val="both"/>
            </w:pPr>
            <w:r>
              <w:rPr>
                <w:sz w:val="20"/>
                <w:szCs w:val="20"/>
              </w:rPr>
              <w:t xml:space="preserve">Binária (label). Prevalência global </w:t>
            </w:r>
            <w:r>
              <w:rPr>
                <w:b/>
                <w:bCs/>
                <w:sz w:val="20"/>
                <w:szCs w:val="20"/>
              </w:rPr>
              <w:t>4,00%</w:t>
            </w:r>
            <w:r>
              <w:rPr>
                <w:sz w:val="20"/>
                <w:szCs w:val="20"/>
              </w:rPr>
              <w:t xml:space="preserve">. Duração dos ataques: mín. 56 s · mediana 132 s · máx. 2.052 s; </w:t>
            </w:r>
            <w:r>
              <w:rPr>
                <w:b/>
                <w:bCs/>
                <w:sz w:val="20"/>
                <w:szCs w:val="20"/>
              </w:rPr>
              <w:t>17 dos 52 duram menos de 2 minutos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59CBEC3B" w14:textId="77777777" w:rsidR="00FA3186" w:rsidRDefault="00000000">
      <w:pPr>
        <w:spacing w:before="260" w:after="100"/>
      </w:pPr>
      <w:r>
        <w:rPr>
          <w:b/>
          <w:bCs/>
          <w:color w:val="1F3A5F"/>
          <w:sz w:val="24"/>
          <w:szCs w:val="24"/>
        </w:rPr>
        <w:t>Três variáveis principais</w:t>
      </w:r>
    </w:p>
    <w:tbl>
      <w:tblPr>
        <w:tblW w:w="9360" w:type="dxa"/>
        <w:tblBorders>
          <w:insideH w:val="single" w:sz="4" w:space="0" w:color="C9D1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FA3186" w14:paraId="3AA0892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bottom w:w="90" w:type="dxa"/>
              <w:right w:w="160" w:type="dxa"/>
            </w:tcMar>
          </w:tcPr>
          <w:p w14:paraId="7F32712A" w14:textId="77777777" w:rsidR="00FA3186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P1_LIT01</w:t>
            </w:r>
          </w:p>
        </w:tc>
        <w:tc>
          <w:tcPr>
            <w:tcW w:w="6660" w:type="dxa"/>
            <w:tcMar>
              <w:top w:w="90" w:type="dxa"/>
              <w:bottom w:w="90" w:type="dxa"/>
            </w:tcMar>
          </w:tcPr>
          <w:p w14:paraId="4D2C6160" w14:textId="77777777" w:rsidR="00FA3186" w:rsidRDefault="00000000">
            <w:pPr>
              <w:spacing w:line="264" w:lineRule="auto"/>
              <w:jc w:val="both"/>
            </w:pPr>
            <w:r>
              <w:rPr>
                <w:sz w:val="20"/>
                <w:szCs w:val="20"/>
              </w:rPr>
              <w:t>Transmissor indicador de nível do subsistema 1 — variável de processo afetada por manipulação de vazão a montante.</w:t>
            </w:r>
          </w:p>
        </w:tc>
      </w:tr>
      <w:tr w:rsidR="00FA3186" w14:paraId="67A41DF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bottom w:w="90" w:type="dxa"/>
              <w:right w:w="160" w:type="dxa"/>
            </w:tcMar>
          </w:tcPr>
          <w:p w14:paraId="3BBA5883" w14:textId="77777777" w:rsidR="00FA3186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P1_PIT01</w:t>
            </w:r>
          </w:p>
        </w:tc>
        <w:tc>
          <w:tcPr>
            <w:tcW w:w="6660" w:type="dxa"/>
            <w:tcMar>
              <w:top w:w="90" w:type="dxa"/>
              <w:bottom w:w="90" w:type="dxa"/>
            </w:tcMar>
          </w:tcPr>
          <w:p w14:paraId="76E26E08" w14:textId="77777777" w:rsidR="00FA3186" w:rsidRDefault="00000000">
            <w:pPr>
              <w:spacing w:line="264" w:lineRule="auto"/>
              <w:jc w:val="both"/>
            </w:pPr>
            <w:r>
              <w:rPr>
                <w:sz w:val="20"/>
                <w:szCs w:val="20"/>
              </w:rPr>
              <w:t>Transmissor indicador de pressão; possui tag companheira de alarme (P1_PIT01_HH), o que permite comparar o detector com o alarme convencional existente.</w:t>
            </w:r>
          </w:p>
        </w:tc>
      </w:tr>
      <w:tr w:rsidR="00FA3186" w14:paraId="63293AE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90" w:type="dxa"/>
              <w:bottom w:w="90" w:type="dxa"/>
              <w:right w:w="160" w:type="dxa"/>
            </w:tcMar>
          </w:tcPr>
          <w:p w14:paraId="1E1D9C1E" w14:textId="77777777" w:rsidR="00FA3186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P1_FCV01D / 01Z</w:t>
            </w:r>
          </w:p>
        </w:tc>
        <w:tc>
          <w:tcPr>
            <w:tcW w:w="6660" w:type="dxa"/>
            <w:tcMar>
              <w:top w:w="90" w:type="dxa"/>
              <w:bottom w:w="90" w:type="dxa"/>
            </w:tcMar>
          </w:tcPr>
          <w:p w14:paraId="70FADE26" w14:textId="77777777" w:rsidR="00FA3186" w:rsidRDefault="00000000">
            <w:pPr>
              <w:spacing w:line="264" w:lineRule="auto"/>
              <w:jc w:val="both"/>
            </w:pPr>
            <w:r>
              <w:rPr>
                <w:sz w:val="20"/>
                <w:szCs w:val="20"/>
              </w:rPr>
              <w:t>Par comando/realimentação de válvula de controle de vazão (D = demanda, Z = posição realimentada). São 6 pares D/Z; base do baseline do item 6.</w:t>
            </w:r>
          </w:p>
        </w:tc>
      </w:tr>
    </w:tbl>
    <w:p w14:paraId="3FC6C8A7" w14:textId="77777777" w:rsidR="00FA3186" w:rsidRDefault="00000000">
      <w:pPr>
        <w:spacing w:before="100" w:after="120" w:line="264" w:lineRule="auto"/>
      </w:pPr>
      <w:r>
        <w:rPr>
          <w:color w:val="5A6472"/>
          <w:sz w:val="18"/>
          <w:szCs w:val="18"/>
        </w:rPr>
        <w:t>A leitura dos sufixos segue a convenção ISA-5.1 e será confirmada contra o manual técnico do dataset no Módulo 2.</w:t>
      </w:r>
    </w:p>
    <w:p w14:paraId="480C82BD" w14:textId="77777777" w:rsidR="00FA3186" w:rsidRDefault="00000000">
      <w:pPr>
        <w:spacing w:before="260" w:after="100"/>
      </w:pPr>
      <w:r>
        <w:rPr>
          <w:b/>
          <w:bCs/>
          <w:color w:val="1F3A5F"/>
          <w:sz w:val="24"/>
          <w:szCs w:val="24"/>
        </w:rPr>
        <w:t>Limitações identificadas</w:t>
      </w:r>
    </w:p>
    <w:p w14:paraId="23005EDC" w14:textId="77777777" w:rsidR="00FA3186" w:rsidRDefault="00000000">
      <w:pPr>
        <w:spacing w:after="140" w:line="276" w:lineRule="auto"/>
        <w:jc w:val="both"/>
      </w:pPr>
      <w:r>
        <w:rPr>
          <w:b/>
          <w:bCs/>
        </w:rPr>
        <w:t>(i)</w:t>
      </w:r>
      <w:r>
        <w:t xml:space="preserve"> Os arquivos de treino contêm apenas operação normal — o dataset foi concebido para detecção não supervisionada; o uso supervisionado exige recorte cronológico dos arquivos rotulados, e validação cruzada aleatória fica excluída do pipeline. </w:t>
      </w:r>
      <w:r>
        <w:rPr>
          <w:b/>
          <w:bCs/>
        </w:rPr>
        <w:t>(ii)</w:t>
      </w:r>
      <w:r>
        <w:t xml:space="preserve"> São 52 ataques no total: a avaliação por evento tem amostra pequena e os resultados serão reportados como distribuição, não como número único. </w:t>
      </w:r>
      <w:r>
        <w:rPr>
          <w:b/>
          <w:bCs/>
        </w:rPr>
        <w:t>(iii)</w:t>
      </w:r>
      <w:r>
        <w:t xml:space="preserve"> A partir da versão 22.04 os rótulos por subprocesso foram removidos — por isso o escopo se limita à detecção, sem localização do alvo. </w:t>
      </w:r>
      <w:r>
        <w:rPr>
          <w:b/>
          <w:bCs/>
        </w:rPr>
        <w:t>(iv)</w:t>
      </w:r>
      <w:r>
        <w:t xml:space="preserve"> São dados de testbed: o modelo não é transferível para outra instalação sem recalibração, limitação que será declarada de forma visível no dashboard.</w:t>
      </w:r>
    </w:p>
    <w:p w14:paraId="6043DB5D" w14:textId="77777777" w:rsidR="00FA3186" w:rsidRDefault="00000000">
      <w:pPr>
        <w:spacing w:before="260" w:after="100"/>
      </w:pPr>
      <w:r>
        <w:rPr>
          <w:b/>
          <w:bCs/>
          <w:color w:val="1F3A5F"/>
          <w:sz w:val="24"/>
          <w:szCs w:val="24"/>
        </w:rPr>
        <w:t>Declaração de uso de Inteligência Artificial</w:t>
      </w:r>
    </w:p>
    <w:p w14:paraId="26435687" w14:textId="77777777" w:rsidR="00FA3186" w:rsidRDefault="00000000">
      <w:pPr>
        <w:spacing w:after="140" w:line="276" w:lineRule="auto"/>
        <w:jc w:val="both"/>
      </w:pPr>
      <w:r>
        <w:t xml:space="preserve">Declaro que utilizei a ferramenta de Inteligência Artificial </w:t>
      </w:r>
      <w:r>
        <w:rPr>
          <w:b/>
          <w:bCs/>
        </w:rPr>
        <w:t>Claude (Anthropic), modelo Opus 5</w:t>
      </w:r>
      <w:r>
        <w:t>, em setembro de 2026, como apoio na elaboração deste trabalho: levantamento de fontes de dados candidatas, execução de rotinas de exploração sobre os arquivos do dataset e revisão da redação. Afirmo que li, revisei e adaptei todo o conteúdo, mantendo responsabilidade integral sobre o material apresentado. Não foram produzidos por IA: a escolha do domínio e do problema, a definição do recorte, as metas das métricas e as decisões de escopo. O diário de prompts é mantido em prompts_log.md no repositório.</w:t>
      </w:r>
    </w:p>
    <w:sectPr w:rsidR="00FA3186">
      <w:pgSz w:w="11906" w:h="16838"/>
      <w:pgMar w:top="1134" w:right="1275" w:bottom="1134" w:left="1275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3A52CB"/>
    <w:multiLevelType w:val="hybridMultilevel"/>
    <w:tmpl w:val="1BEC6B5A"/>
    <w:lvl w:ilvl="0" w:tplc="C8DC25C0">
      <w:start w:val="1"/>
      <w:numFmt w:val="bullet"/>
      <w:lvlText w:val="●"/>
      <w:lvlJc w:val="left"/>
      <w:pPr>
        <w:ind w:left="720" w:hanging="360"/>
      </w:pPr>
    </w:lvl>
    <w:lvl w:ilvl="1" w:tplc="9D207D62">
      <w:start w:val="1"/>
      <w:numFmt w:val="bullet"/>
      <w:lvlText w:val="○"/>
      <w:lvlJc w:val="left"/>
      <w:pPr>
        <w:ind w:left="1440" w:hanging="360"/>
      </w:pPr>
    </w:lvl>
    <w:lvl w:ilvl="2" w:tplc="C082B230">
      <w:start w:val="1"/>
      <w:numFmt w:val="bullet"/>
      <w:lvlText w:val="■"/>
      <w:lvlJc w:val="left"/>
      <w:pPr>
        <w:ind w:left="2160" w:hanging="360"/>
      </w:pPr>
    </w:lvl>
    <w:lvl w:ilvl="3" w:tplc="47A01C72">
      <w:start w:val="1"/>
      <w:numFmt w:val="bullet"/>
      <w:lvlText w:val="●"/>
      <w:lvlJc w:val="left"/>
      <w:pPr>
        <w:ind w:left="2880" w:hanging="360"/>
      </w:pPr>
    </w:lvl>
    <w:lvl w:ilvl="4" w:tplc="AB4AE048">
      <w:start w:val="1"/>
      <w:numFmt w:val="bullet"/>
      <w:lvlText w:val="○"/>
      <w:lvlJc w:val="left"/>
      <w:pPr>
        <w:ind w:left="3600" w:hanging="360"/>
      </w:pPr>
    </w:lvl>
    <w:lvl w:ilvl="5" w:tplc="CF8A9920">
      <w:start w:val="1"/>
      <w:numFmt w:val="bullet"/>
      <w:lvlText w:val="■"/>
      <w:lvlJc w:val="left"/>
      <w:pPr>
        <w:ind w:left="4320" w:hanging="360"/>
      </w:pPr>
    </w:lvl>
    <w:lvl w:ilvl="6" w:tplc="E29031CC">
      <w:start w:val="1"/>
      <w:numFmt w:val="bullet"/>
      <w:lvlText w:val="●"/>
      <w:lvlJc w:val="left"/>
      <w:pPr>
        <w:ind w:left="5040" w:hanging="360"/>
      </w:pPr>
    </w:lvl>
    <w:lvl w:ilvl="7" w:tplc="CF8CDC2E">
      <w:start w:val="1"/>
      <w:numFmt w:val="bullet"/>
      <w:lvlText w:val="●"/>
      <w:lvlJc w:val="left"/>
      <w:pPr>
        <w:ind w:left="5760" w:hanging="360"/>
      </w:pPr>
    </w:lvl>
    <w:lvl w:ilvl="8" w:tplc="8580DDA4">
      <w:start w:val="1"/>
      <w:numFmt w:val="bullet"/>
      <w:lvlText w:val="●"/>
      <w:lvlJc w:val="left"/>
      <w:pPr>
        <w:ind w:left="6480" w:hanging="360"/>
      </w:pPr>
    </w:lvl>
  </w:abstractNum>
  <w:num w:numId="1" w16cid:durableId="18560001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186"/>
    <w:rsid w:val="00160326"/>
    <w:rsid w:val="00963E6D"/>
    <w:rsid w:val="00FA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13168D"/>
  <w15:docId w15:val="{8FEA8E9B-301F-7E4B-AD70-6F9ED763F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1301</Words>
  <Characters>6730</Characters>
  <Application>Microsoft Office Word</Application>
  <DocSecurity>0</DocSecurity>
  <Lines>118</Lines>
  <Paragraphs>58</Paragraphs>
  <ScaleCrop>false</ScaleCrop>
  <Company/>
  <LinksUpToDate>false</LinksUpToDate>
  <CharactersWithSpaces>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Escopo do Projeto - Modulo 1</dc:title>
  <dc:creator>Samuel Rodrigues Goncalves</dc:creator>
  <cp:lastModifiedBy>Samuel Gonçalves</cp:lastModifiedBy>
  <cp:revision>2</cp:revision>
  <dcterms:created xsi:type="dcterms:W3CDTF">2026-09-20T18:15:00Z</dcterms:created>
  <dcterms:modified xsi:type="dcterms:W3CDTF">2026-09-20T18:16:00Z</dcterms:modified>
</cp:coreProperties>
</file>