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CFA8D">
      <w:pPr>
        <w:numPr>
          <w:ilvl w:val="0"/>
          <w:numId w:val="0"/>
        </w:num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	徐华芳的个案护理</w:t>
      </w:r>
    </w:p>
    <w:tbl>
      <w:tblPr>
        <w:tblStyle w:val="13"/>
        <w:tblW w:w="5001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1"/>
        <w:gridCol w:w="75"/>
        <w:gridCol w:w="1749"/>
        <w:gridCol w:w="1231"/>
        <w:gridCol w:w="1545"/>
        <w:gridCol w:w="278"/>
        <w:gridCol w:w="1821"/>
        <w:gridCol w:w="14"/>
        <w:gridCol w:w="927"/>
        <w:gridCol w:w="317"/>
      </w:tblGrid>
      <w:tr w14:paraId="4A879E1F">
        <w:tblPrEx>
          <w:tblLayout w:type="fixed"/>
        </w:tblPrEx>
        <w:trPr>
          <w:gridAfter w:val="1"/>
          <w:wAfter w:w="317" w:type="dxa"/>
          <w:trHeight w:val="280" w:hRule="atLeast"/>
        </w:trPr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94FB71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病区</w:t>
            </w:r>
          </w:p>
        </w:tc>
        <w:tc>
          <w:tcPr>
            <w:tcW w:w="18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7F0096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65病区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46287F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床号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C7E35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102</w:t>
            </w:r>
          </w:p>
        </w:tc>
        <w:tc>
          <w:tcPr>
            <w:tcW w:w="211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D28AA6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姓名</w:t>
            </w: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1DE283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t>徐华芳</w:t>
            </w:r>
          </w:p>
        </w:tc>
      </w:tr>
      <w:tr w14:paraId="11890BFB">
        <w:tblPrEx>
          <w:tblLayout w:type="fixed"/>
        </w:tblPrEx>
        <w:trPr>
          <w:gridAfter w:val="1"/>
          <w:wAfter w:w="317" w:type="dxa"/>
          <w:trHeight w:val="280" w:hRule="atLeast"/>
        </w:trPr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C9DFA1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性别</w:t>
            </w:r>
          </w:p>
        </w:tc>
        <w:tc>
          <w:tcPr>
            <w:tcW w:w="18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51190">
            <w:pPr>
              <w:numPr>
                <w:ilvl w:val="0"/>
                <w:numId w:val="0"/>
              </w:numPr>
              <w:ind w:left="-531" w:leftChars="-253"/>
              <w:jc w:val="center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女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CF6E46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年龄</w:t>
            </w:r>
          </w:p>
        </w:tc>
        <w:tc>
          <w:tcPr>
            <w:tcW w:w="18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711E8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93</w:t>
            </w:r>
          </w:p>
        </w:tc>
        <w:tc>
          <w:tcPr>
            <w:tcW w:w="1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58CD04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lang w:val="en-US" w:eastAsia="zh-CN"/>
              </w:rPr>
              <w:t>住院号</w:t>
            </w:r>
          </w:p>
        </w:tc>
        <w:tc>
          <w:tcPr>
            <w:tcW w:w="94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1FA218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t>612290</w:t>
            </w:r>
          </w:p>
        </w:tc>
      </w:tr>
      <w:tr w14:paraId="3FAB53AB">
        <w:tblPrEx>
          <w:tblLayout w:type="fixed"/>
        </w:tblPrEx>
        <w:trPr>
          <w:gridAfter w:val="1"/>
          <w:wAfter w:w="317" w:type="dxa"/>
          <w:trHeight w:val="280" w:hRule="atLeast"/>
        </w:trPr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AAF28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诊断</w:t>
            </w:r>
          </w:p>
        </w:tc>
        <w:tc>
          <w:tcPr>
            <w:tcW w:w="764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DE4289">
            <w:pPr>
              <w:numPr>
                <w:ilvl w:val="0"/>
                <w:numId w:val="0"/>
              </w:numPr>
              <w:rPr>
                <w:rFonts w:hint="default" w:ascii="宋体" w:hAnsi="宋体" w:eastAsia="宋体"/>
                <w:lang w:val="en-US" w:eastAsia="zh-CN"/>
              </w:rPr>
            </w:pPr>
            <w:r>
              <w:t>高血压病3级（极高危）；帕金森病；认知障碍；阵发性心房颤动；室性期前收缩；房性期前收缩（房性早搏）；脑梗死后遗症；营养不良；低蛋白血症；胸腔积液；全身炎症反应综合征；急性肾功能不全</w:t>
            </w:r>
          </w:p>
        </w:tc>
      </w:tr>
      <w:tr w14:paraId="15B0463F">
        <w:tblPrEx>
          <w:tblLayout w:type="fixed"/>
        </w:tblPrEx>
        <w:trPr>
          <w:gridAfter w:val="1"/>
          <w:wAfter w:w="317" w:type="dxa"/>
          <w:trHeight w:val="280" w:hRule="atLeast"/>
        </w:trPr>
        <w:tc>
          <w:tcPr>
            <w:tcW w:w="9981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5A60F">
            <w:pPr>
              <w:numPr>
                <w:ilvl w:val="0"/>
                <w:numId w:val="0"/>
              </w:num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b/>
                <w:bCs/>
              </w:rPr>
              <w:t>一、主要病情</w:t>
            </w:r>
          </w:p>
        </w:tc>
      </w:tr>
      <w:tr w14:paraId="7ED8E69F">
        <w:tblPrEx>
          <w:tblLayout w:type="fixed"/>
        </w:tblPrEx>
        <w:trPr>
          <w:gridAfter w:val="1"/>
          <w:wAfter w:w="317" w:type="dxa"/>
          <w:trHeight w:val="1494" w:hRule="atLeast"/>
        </w:trPr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83AC97">
            <w:pPr>
              <w:numPr>
                <w:ilvl w:val="0"/>
                <w:numId w:val="0"/>
              </w:numPr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1.现病史</w:t>
            </w:r>
          </w:p>
        </w:tc>
        <w:tc>
          <w:tcPr>
            <w:tcW w:w="7640" w:type="dxa"/>
            <w:gridSpan w:val="8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2EBC8">
            <w:pPr>
              <w:numPr>
                <w:ilvl w:val="0"/>
                <w:numId w:val="0"/>
              </w:numPr>
              <w:ind w:left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患者徐华芳，女，93岁，因“高血压病50余年，控制欠佳1周”于2026/08/05入院。既往血压最高约200/100 mmHg，长期根据血压波动调整降压方案。</w:t>
            </w:r>
            <w:r>
              <w:rPr>
                <w:rFonts w:hint="eastAsia"/>
                <w:lang w:val="en-US" w:eastAsia="zh-CN"/>
              </w:rPr>
              <w:br/>
              <w:t>住院后患者痰液增多，胸部影像提示肺部渗出较前增多；痰培养及药敏后先后予抗感染、抗真菌及化痰等治疗。2026/08/17出现少尿及代谢性酸中毒，随后肌酐升高。2026/08/22突发低血压（最低约83/45 mmHg），短期予去甲肾上腺素维持血压后转监护室进一步治疗。</w:t>
            </w:r>
            <w:r>
              <w:rPr>
                <w:rFonts w:hint="eastAsia"/>
                <w:lang w:val="en-US" w:eastAsia="zh-CN"/>
              </w:rPr>
              <w:br/>
              <w:t>监护室期间予心电监护、气管切开接面罩吸氧及BiPAP辅助通气交替、抗感染/抗凝、营养支持及维持水电解质平衡等治疗，炎症指标好转后于2026/08/27转入65病区。现仍病危、一级护理，呼之可睁眼但无指令性动作，继续气道管理、营养支持及严密监测。</w:t>
            </w:r>
          </w:p>
        </w:tc>
      </w:tr>
      <w:tr w14:paraId="2BE124E4">
        <w:tblPrEx>
          <w:tblLayout w:type="fixed"/>
        </w:tblPrEx>
        <w:trPr>
          <w:gridAfter w:val="1"/>
          <w:wAfter w:w="317" w:type="dxa"/>
          <w:trHeight w:val="1684" w:hRule="atLeast"/>
        </w:trPr>
        <w:tc>
          <w:tcPr>
            <w:tcW w:w="2341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D46D2C">
            <w:pPr>
              <w:numPr>
                <w:ilvl w:val="0"/>
                <w:numId w:val="0"/>
              </w:numPr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2.既往史</w:t>
            </w:r>
          </w:p>
        </w:tc>
        <w:tc>
          <w:tcPr>
            <w:tcW w:w="7640" w:type="dxa"/>
            <w:gridSpan w:val="8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67EB8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疾病史：</w:t>
            </w:r>
            <w:r>
              <w:rPr>
                <w:rFonts w:hint="eastAsia" w:ascii="宋体" w:hAnsi="宋体" w:eastAsia="宋体"/>
              </w:rPr>
              <w:br/>
              <w:t>1. 高血压病史50余年，血压波动明显，长期口服降压药。</w:t>
            </w:r>
            <w:r>
              <w:rPr>
                <w:rFonts w:hint="eastAsia" w:ascii="宋体" w:hAnsi="宋体" w:eastAsia="宋体"/>
              </w:rPr>
              <w:br/>
              <w:t>2. 帕金森病、认知障碍、脑梗死后遗症。</w:t>
            </w:r>
            <w:r>
              <w:rPr>
                <w:rFonts w:hint="eastAsia" w:ascii="宋体" w:hAnsi="宋体" w:eastAsia="宋体"/>
              </w:rPr>
              <w:br/>
              <w:t>3. 阵发性心房颤动、室性期前收缩、房性期前收缩。</w:t>
            </w:r>
            <w:r>
              <w:rPr>
                <w:rFonts w:hint="eastAsia" w:ascii="宋体" w:hAnsi="宋体" w:eastAsia="宋体"/>
              </w:rPr>
              <w:br/>
              <w:t>4. 骨质疏松、骨关节病；右侧陈旧性股骨颈及股骨粗隆间骨折，2022年曾行手术治疗。</w:t>
            </w:r>
            <w:r>
              <w:rPr>
                <w:rFonts w:hint="eastAsia" w:ascii="宋体" w:hAnsi="宋体" w:eastAsia="宋体"/>
              </w:rPr>
              <w:br/>
              <w:t>5. 左侧肝占位性病变、肿瘤标记物升高、椎管内肿物。</w:t>
            </w:r>
            <w:r>
              <w:rPr>
                <w:rFonts w:hint="eastAsia" w:ascii="宋体" w:hAnsi="宋体" w:eastAsia="宋体"/>
              </w:rPr>
              <w:br/>
              <w:t>6. 胃术后及胆囊切除术后状态，长期气管造口。</w:t>
            </w:r>
            <w:r>
              <w:rPr>
                <w:rFonts w:hint="eastAsia" w:ascii="宋体" w:hAnsi="宋体" w:eastAsia="宋体"/>
              </w:rPr>
              <w:br/>
              <w:t>7. 焦虑状态；药物过敏史：青霉素。</w:t>
            </w:r>
          </w:p>
        </w:tc>
      </w:tr>
      <w:tr w14:paraId="7D99ED68">
        <w:tblPrEx>
          <w:tblLayout w:type="fixed"/>
        </w:tblPrEx>
        <w:trPr>
          <w:gridAfter w:val="1"/>
          <w:wAfter w:w="317" w:type="dxa"/>
          <w:trHeight w:val="90" w:hRule="atLeast"/>
        </w:trPr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6C31A2">
            <w:pPr>
              <w:numPr>
                <w:ilvl w:val="0"/>
                <w:numId w:val="0"/>
              </w:num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3</w:t>
            </w:r>
            <w:r>
              <w:rPr>
                <w:rFonts w:hint="eastAsia" w:ascii="宋体" w:hAnsi="宋体" w:eastAsia="宋体"/>
                <w:b/>
                <w:bCs/>
              </w:rPr>
              <w:t>.特殊检查</w:t>
            </w:r>
          </w:p>
        </w:tc>
        <w:tc>
          <w:tcPr>
            <w:tcW w:w="764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8A08BE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2026/08/17血气分析：pH 7.28，PaCO₂ 28 mmHg，PaO₂ 226 mmHg，实际碳酸氢盐13.1 mmol/L，标准碳酸氢盐15 mmol/L，剩余碱-12.1 mmol/L，提示代谢性酸中毒。</w:t>
            </w:r>
            <w:r>
              <w:rPr>
                <w:rFonts w:hint="eastAsia"/>
                <w:lang w:val="en-US" w:eastAsia="zh-CN"/>
              </w:rPr>
              <w:br/>
              <w:t>2. 住院期间床旁胸片提示肺部渗出较前增多；痰培养提示白假丝酵母菌阳性。</w:t>
            </w:r>
            <w:r>
              <w:rPr>
                <w:rFonts w:hint="eastAsia"/>
                <w:lang w:val="en-US" w:eastAsia="zh-CN"/>
              </w:rPr>
              <w:br/>
              <w:t>3. 2026/08/21床旁超声提示右侧枕部皮下水肿。</w:t>
            </w:r>
            <w:r>
              <w:rPr>
                <w:rFonts w:hint="eastAsia"/>
                <w:lang w:val="en-US" w:eastAsia="zh-CN"/>
              </w:rPr>
              <w:br/>
              <w:t>4. 监护室气道检查提示声门上组织水肿。</w:t>
            </w:r>
            <w:r>
              <w:rPr>
                <w:rFonts w:hint="eastAsia"/>
                <w:lang w:val="en-US" w:eastAsia="zh-CN"/>
              </w:rPr>
              <w:br/>
              <w:t>5. 2026/08/28心肌标志物：BNP 6091 pg/mL，心肌肌钙蛋白T 0.071 ng/mL升高。</w:t>
            </w:r>
          </w:p>
        </w:tc>
      </w:tr>
      <w:tr w14:paraId="1545DD24">
        <w:tblPrEx>
          <w:tblLayout w:type="fixed"/>
        </w:tblPrEx>
        <w:trPr>
          <w:gridAfter w:val="1"/>
          <w:wAfter w:w="317" w:type="dxa"/>
          <w:trHeight w:val="280" w:hRule="atLeast"/>
        </w:trPr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3599C8">
            <w:pPr>
              <w:numPr>
                <w:ilvl w:val="0"/>
                <w:numId w:val="0"/>
              </w:num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4</w:t>
            </w:r>
            <w:r>
              <w:rPr>
                <w:rFonts w:hint="eastAsia" w:ascii="宋体" w:hAnsi="宋体" w:eastAsia="宋体"/>
                <w:b/>
                <w:bCs/>
              </w:rPr>
              <w:t>.异常化验</w:t>
            </w:r>
          </w:p>
        </w:tc>
        <w:tc>
          <w:tcPr>
            <w:tcW w:w="764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516189">
            <w:pPr>
              <w:numPr>
                <w:ilvl w:val="0"/>
                <w:numId w:val="0"/>
              </w:numPr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2026/08/27-08/28主要异常指标：</w:t>
            </w:r>
            <w:r>
              <w:rPr>
                <w:rFonts w:hint="eastAsia" w:ascii="宋体" w:hAnsi="宋体" w:eastAsia="宋体"/>
                <w:lang w:val="en-US" w:eastAsia="zh-CN"/>
              </w:rPr>
              <w:br/>
              <w:t>1. 血红蛋白96 g/L、红细胞计数3.40-3.62×10¹²/L、红细胞压积29.3%-31.5%，提示贫血；血小板119×10⁹/L降低。</w:t>
            </w:r>
            <w:r>
              <w:rPr>
                <w:rFonts w:hint="eastAsia" w:ascii="宋体" w:hAnsi="宋体" w:eastAsia="宋体"/>
                <w:lang w:val="en-US" w:eastAsia="zh-CN"/>
              </w:rPr>
              <w:br/>
              <w:t>2. 淋巴细胞计数0.47-0.51×10⁹/L、淋巴细胞百分比11.2%-11.5%，均降低。</w:t>
            </w:r>
            <w:r>
              <w:rPr>
                <w:rFonts w:hint="eastAsia" w:ascii="宋体" w:hAnsi="宋体" w:eastAsia="宋体"/>
                <w:lang w:val="en-US" w:eastAsia="zh-CN"/>
              </w:rPr>
              <w:br/>
              <w:t>3. 肌酐187 μmol/L、尿素13.7 mmol/L升高，eGFR 20 mL/min/1.73m²降低；二氧化碳20 mmol/L、血钙1.99 mmol/L降低。</w:t>
            </w:r>
            <w:r>
              <w:rPr>
                <w:rFonts w:hint="eastAsia" w:ascii="宋体" w:hAnsi="宋体" w:eastAsia="宋体"/>
                <w:lang w:val="en-US" w:eastAsia="zh-CN"/>
              </w:rPr>
              <w:br/>
              <w:t>4. CRP 5.3 mg/L升高。</w:t>
            </w:r>
            <w:r>
              <w:rPr>
                <w:rFonts w:hint="eastAsia" w:ascii="宋体" w:hAnsi="宋体" w:eastAsia="宋体"/>
                <w:lang w:val="en-US" w:eastAsia="zh-CN"/>
              </w:rPr>
              <w:br/>
              <w:t>5. D-二聚体由0.95升至2.11 mg/L，FDP 6.55 μg/mL升高；APTT、PT轻度延长。</w:t>
            </w:r>
            <w:r>
              <w:rPr>
                <w:rFonts w:hint="eastAsia" w:ascii="宋体" w:hAnsi="宋体" w:eastAsia="宋体"/>
                <w:lang w:val="en-US" w:eastAsia="zh-CN"/>
              </w:rPr>
              <w:br/>
              <w:t>6. BNP 6091 pg/mL、心肌肌钙蛋白T 0.071 ng/mL升高。</w:t>
            </w:r>
          </w:p>
        </w:tc>
      </w:tr>
      <w:tr w14:paraId="4ECC0DC7">
        <w:tblPrEx>
          <w:tblLayout w:type="fixed"/>
        </w:tblPrEx>
        <w:trPr>
          <w:gridAfter w:val="1"/>
          <w:wAfter w:w="317" w:type="dxa"/>
          <w:trHeight w:val="280" w:hRule="atLeast"/>
        </w:trPr>
        <w:tc>
          <w:tcPr>
            <w:tcW w:w="9981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417902">
            <w:pPr>
              <w:numPr>
                <w:ilvl w:val="0"/>
                <w:numId w:val="0"/>
              </w:num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b/>
                <w:bCs/>
              </w:rPr>
              <w:t>二、目前主要治疗措施</w:t>
            </w:r>
          </w:p>
        </w:tc>
      </w:tr>
      <w:tr w14:paraId="7B5C681F">
        <w:tblPrEx>
          <w:tblLayout w:type="fixed"/>
        </w:tblPrEx>
        <w:trPr>
          <w:gridAfter w:val="1"/>
          <w:wAfter w:w="317" w:type="dxa"/>
          <w:trHeight w:val="944" w:hRule="atLeast"/>
        </w:trPr>
        <w:tc>
          <w:tcPr>
            <w:tcW w:w="2341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97326">
            <w:pPr>
              <w:numPr>
                <w:ilvl w:val="0"/>
                <w:numId w:val="0"/>
              </w:numPr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治疗原则</w:t>
            </w:r>
          </w:p>
        </w:tc>
        <w:tc>
          <w:tcPr>
            <w:tcW w:w="7640" w:type="dxa"/>
            <w:gridSpan w:val="8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67A03">
            <w:pPr>
              <w:numPr>
                <w:ilvl w:val="0"/>
                <w:numId w:val="0"/>
              </w:numPr>
              <w:ind w:left="0" w:firstLine="0"/>
              <w:rPr>
                <w:rFonts w:hint="default" w:ascii="宋体" w:hAnsi="宋体" w:eastAsia="宋体" w:cs="Times New Roman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bCs w:val="0"/>
                <w:lang w:val="en-US" w:eastAsia="zh-CN"/>
              </w:rPr>
              <w:t>1. 病危、一级护理，持续心电监护，动态监测生命体征及血压变化。</w:t>
            </w:r>
            <w:r>
              <w:rPr>
                <w:rFonts w:hint="eastAsia" w:ascii="宋体" w:hAnsi="宋体" w:eastAsia="宋体" w:cs="Times New Roman"/>
                <w:b w:val="0"/>
                <w:bCs w:val="0"/>
                <w:lang w:val="en-US" w:eastAsia="zh-CN"/>
              </w:rPr>
              <w:br/>
              <w:t>2. 气管切开接面罩吸氧与BiPAP辅助通气交替；按需湿化、雾化、吸痰，维持气道通畅。</w:t>
            </w:r>
            <w:r>
              <w:rPr>
                <w:rFonts w:hint="eastAsia" w:ascii="宋体" w:hAnsi="宋体" w:eastAsia="宋体" w:cs="Times New Roman"/>
                <w:b w:val="0"/>
                <w:bCs w:val="0"/>
                <w:lang w:val="en-US" w:eastAsia="zh-CN"/>
              </w:rPr>
              <w:br/>
              <w:t>3. 记录24小时出入量，动态监测肾功能、电解质及酸碱平衡，遵医嘱利尿、补钙、补钠并调整液体治疗。</w:t>
            </w:r>
            <w:r>
              <w:rPr>
                <w:rFonts w:hint="eastAsia" w:ascii="宋体" w:hAnsi="宋体" w:eastAsia="宋体" w:cs="Times New Roman"/>
                <w:b w:val="0"/>
                <w:bCs w:val="0"/>
                <w:lang w:val="en-US" w:eastAsia="zh-CN"/>
              </w:rPr>
              <w:br/>
              <w:t>4. 遵医嘱使用贝米肝素钠抗凝，结合血小板、凝血指标及痰中带血情况动态调整。</w:t>
            </w:r>
            <w:r>
              <w:rPr>
                <w:rFonts w:hint="eastAsia" w:ascii="宋体" w:hAnsi="宋体" w:eastAsia="宋体" w:cs="Times New Roman"/>
                <w:b w:val="0"/>
                <w:bCs w:val="0"/>
                <w:lang w:val="en-US" w:eastAsia="zh-CN"/>
              </w:rPr>
              <w:br/>
              <w:t>5. 鼻肠管给予肠内营养（百普素0.5袋+温水500 mL，qd）并配合静脉营养、白蛋白等营养支持；每日鼻饲水约400 mL。</w:t>
            </w:r>
            <w:r>
              <w:rPr>
                <w:rFonts w:hint="eastAsia" w:ascii="宋体" w:hAnsi="宋体" w:eastAsia="宋体" w:cs="Times New Roman"/>
                <w:b w:val="0"/>
                <w:bCs w:val="0"/>
                <w:lang w:val="en-US" w:eastAsia="zh-CN"/>
              </w:rPr>
              <w:br/>
              <w:t>6. 遵医嘱给予降压、抗心律失常、抗帕金森、化痰、抑酸、雾化吸入及对症支持治疗。</w:t>
            </w:r>
          </w:p>
        </w:tc>
      </w:tr>
      <w:tr w14:paraId="1D3227D7">
        <w:tblPrEx>
          <w:tblLayout w:type="fixed"/>
        </w:tblPrEx>
        <w:trPr>
          <w:gridAfter w:val="1"/>
          <w:wAfter w:w="317" w:type="dxa"/>
          <w:trHeight w:val="280" w:hRule="atLeast"/>
        </w:trPr>
        <w:tc>
          <w:tcPr>
            <w:tcW w:w="9981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5D3D8C09">
            <w:pPr>
              <w:numPr>
                <w:ilvl w:val="0"/>
                <w:numId w:val="0"/>
              </w:num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b/>
                <w:bCs/>
              </w:rPr>
              <w:t>三、目前主要观察要点</w:t>
            </w:r>
          </w:p>
        </w:tc>
      </w:tr>
      <w:tr w14:paraId="46D9C67E">
        <w:tblPrEx>
          <w:tblLayout w:type="fixed"/>
        </w:tblPrEx>
        <w:trPr>
          <w:gridAfter w:val="1"/>
          <w:wAfter w:w="317" w:type="dxa"/>
          <w:trHeight w:val="280" w:hRule="atLeast"/>
        </w:trPr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F232C">
            <w:pPr>
              <w:numPr>
                <w:ilvl w:val="0"/>
                <w:numId w:val="0"/>
              </w:numPr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1.生命体征</w:t>
            </w:r>
          </w:p>
        </w:tc>
        <w:tc>
          <w:tcPr>
            <w:tcW w:w="764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650E13">
            <w:pPr>
              <w:numPr>
                <w:ilvl w:val="0"/>
                <w:numId w:val="0"/>
              </w:num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2026/08/28 10:00：T 36.5℃，P 60，R 12，BP 137/55 mmHg，SpO₂ 100%。</w:t>
            </w:r>
            <w:r>
              <w:rPr>
                <w:rFonts w:hint="eastAsia" w:ascii="宋体" w:hAnsi="宋体" w:eastAsia="宋体"/>
              </w:rPr>
              <w:br/>
              <w:t>12:00：P 63，R 12，BP 133/63 mmHg，SpO₂ 100%。</w:t>
            </w:r>
            <w:r>
              <w:rPr>
                <w:rFonts w:hint="eastAsia" w:ascii="宋体" w:hAnsi="宋体" w:eastAsia="宋体"/>
              </w:rPr>
              <w:br/>
              <w:t>心律可不齐；静息NRS疼痛评分0分。</w:t>
            </w:r>
          </w:p>
        </w:tc>
      </w:tr>
      <w:tr w14:paraId="56EB313A">
        <w:tblPrEx>
          <w:tblLayout w:type="fixed"/>
        </w:tblPrEx>
        <w:trPr>
          <w:gridAfter w:val="1"/>
          <w:wAfter w:w="317" w:type="dxa"/>
          <w:trHeight w:val="276" w:hRule="atLeast"/>
        </w:trPr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F6CB05">
            <w:pPr>
              <w:numPr>
                <w:ilvl w:val="0"/>
                <w:numId w:val="0"/>
              </w:numPr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2.伤口及导管</w:t>
            </w:r>
          </w:p>
          <w:p w14:paraId="2BA0B694">
            <w:pPr>
              <w:numPr>
                <w:ilvl w:val="0"/>
                <w:numId w:val="0"/>
              </w:numPr>
              <w:rPr>
                <w:rFonts w:ascii="宋体" w:hAnsi="宋体" w:eastAsia="宋体"/>
                <w:b/>
                <w:bCs/>
              </w:rPr>
            </w:pPr>
          </w:p>
        </w:tc>
        <w:tc>
          <w:tcPr>
            <w:tcW w:w="764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BE3DD">
            <w:pPr>
              <w:numPr>
                <w:ilvl w:val="0"/>
                <w:numId w:val="0"/>
              </w:num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伤口/皮肤：全身水肿；骶尾部约5×5 cm陈旧性红白色瘢痕，双侧髋部各约3×3 cm红白色瘢痕并有散在皮损，骨突处及骶尾部予泡沫敷料保护；后颈部肿胀。</w:t>
            </w:r>
            <w:r>
              <w:rPr>
                <w:rFonts w:hint="eastAsia" w:ascii="宋体" w:hAnsi="宋体" w:eastAsia="宋体"/>
              </w:rPr>
              <w:br/>
              <w:t/>
            </w:r>
            <w:r>
              <w:rPr>
                <w:rFonts w:hint="eastAsia" w:ascii="宋体" w:hAnsi="宋体" w:eastAsia="宋体"/>
              </w:rPr>
              <w:br/>
              <w:t>目前置管：</w:t>
            </w:r>
            <w:r>
              <w:rPr>
                <w:rFonts w:hint="eastAsia" w:ascii="宋体" w:hAnsi="宋体" w:eastAsia="宋体"/>
              </w:rPr>
              <w:br/>
              <w:t>1. 气管切开套管：接面罩吸氧，气囊充气，按需湿化吸痰；可吸出黄白色或白色黏痰，量较多。</w:t>
            </w:r>
            <w:r>
              <w:rPr>
                <w:rFonts w:hint="eastAsia" w:ascii="宋体" w:hAnsi="宋体" w:eastAsia="宋体"/>
              </w:rPr>
              <w:br/>
              <w:t>2. 左侧CVC：固定妥，无红肿、无外渗。</w:t>
            </w:r>
            <w:r>
              <w:rPr>
                <w:rFonts w:hint="eastAsia" w:ascii="宋体" w:hAnsi="宋体" w:eastAsia="宋体"/>
              </w:rPr>
              <w:br/>
              <w:t>3. 鼻肠管：固定妥，用于肠内营养及鼻饲给药。</w:t>
            </w:r>
            <w:r>
              <w:rPr>
                <w:rFonts w:hint="eastAsia" w:ascii="宋体" w:hAnsi="宋体" w:eastAsia="宋体"/>
              </w:rPr>
              <w:br/>
              <w:t>4. 留置导尿管：固定妥，尿液黄色，持续观察尿量及性状。</w:t>
            </w:r>
          </w:p>
        </w:tc>
      </w:tr>
      <w:tr w14:paraId="50797E2A">
        <w:tblPrEx>
          <w:tblLayout w:type="fixed"/>
        </w:tblPrEx>
        <w:trPr>
          <w:gridAfter w:val="1"/>
          <w:wAfter w:w="317" w:type="dxa"/>
          <w:trHeight w:val="280" w:hRule="atLeast"/>
        </w:trPr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C66BF">
            <w:pPr>
              <w:numPr>
                <w:ilvl w:val="0"/>
                <w:numId w:val="0"/>
              </w:numPr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3.体位与活动</w:t>
            </w:r>
          </w:p>
        </w:tc>
        <w:tc>
          <w:tcPr>
            <w:tcW w:w="764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C8AD4B">
            <w:pPr>
              <w:numPr>
                <w:ilvl w:val="0"/>
                <w:numId w:val="0"/>
              </w:numPr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</w:rPr>
              <w:t>卧位：卧床，取抬高床头及防误吸体位；四肢水肿，适当抬高。</w:t>
            </w:r>
            <w:r>
              <w:rPr>
                <w:rFonts w:hint="eastAsia" w:ascii="宋体" w:hAnsi="宋体" w:eastAsia="宋体"/>
              </w:rPr>
              <w:br/>
              <w:t>活动：目前无自主活动能力，协助每2小时翻身，进行被动关节活动及肢体功能维护。</w:t>
            </w:r>
          </w:p>
        </w:tc>
      </w:tr>
      <w:tr w14:paraId="5E8E332F">
        <w:tblPrEx>
          <w:tblLayout w:type="fixed"/>
        </w:tblPrEx>
        <w:trPr>
          <w:gridAfter w:val="1"/>
          <w:wAfter w:w="317" w:type="dxa"/>
          <w:trHeight w:val="90" w:hRule="atLeast"/>
        </w:trPr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EA034C">
            <w:pPr>
              <w:numPr>
                <w:ilvl w:val="0"/>
                <w:numId w:val="0"/>
              </w:numPr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4.自理能力</w:t>
            </w:r>
          </w:p>
        </w:tc>
        <w:tc>
          <w:tcPr>
            <w:tcW w:w="764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D65FC">
            <w:pPr>
              <w:numPr>
                <w:ilvl w:val="0"/>
                <w:numId w:val="0"/>
              </w:numPr>
              <w:rPr>
                <w:rFonts w:ascii="宋体" w:hAnsi="宋体" w:eastAsia="宋体"/>
                <w:color w:val="auto"/>
              </w:rPr>
            </w:pPr>
            <w:r>
              <w:rPr>
                <w:rFonts w:hint="eastAsia" w:ascii="宋体" w:hAnsi="宋体" w:eastAsia="宋体"/>
                <w:color w:val="auto"/>
              </w:rPr>
              <w:t>ADL生活活动能力量表5分，为重度依赖；生活照护需由护理人员及照护者完成。</w:t>
            </w:r>
          </w:p>
        </w:tc>
      </w:tr>
      <w:tr w14:paraId="6E9561ED">
        <w:tblPrEx>
          <w:tblLayout w:type="fixed"/>
        </w:tblPrEx>
        <w:trPr>
          <w:gridAfter w:val="1"/>
          <w:wAfter w:w="317" w:type="dxa"/>
          <w:trHeight w:val="90" w:hRule="atLeast"/>
        </w:trPr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E8C96">
            <w:pPr>
              <w:numPr>
                <w:ilvl w:val="0"/>
                <w:numId w:val="0"/>
              </w:numPr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5.跌倒风险</w:t>
            </w:r>
          </w:p>
        </w:tc>
        <w:tc>
          <w:tcPr>
            <w:tcW w:w="764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74094B">
            <w:pPr>
              <w:numPr>
                <w:ilvl w:val="0"/>
                <w:numId w:val="0"/>
              </w:numPr>
              <w:rPr>
                <w:rFonts w:ascii="宋体" w:hAnsi="宋体" w:eastAsia="宋体"/>
                <w:color w:val="auto"/>
              </w:rPr>
            </w:pPr>
            <w:r>
              <w:rPr>
                <w:rFonts w:hint="eastAsia" w:ascii="宋体" w:hAnsi="宋体" w:eastAsia="宋体"/>
                <w:color w:val="auto"/>
              </w:rPr>
              <w:t>跌倒风险临床判定18分，为高风险；卧床期间落实床栏、警示标识及转运陪护。</w:t>
            </w:r>
          </w:p>
        </w:tc>
      </w:tr>
      <w:tr w14:paraId="1E6BA7EC">
        <w:tblPrEx>
          <w:tblLayout w:type="fixed"/>
        </w:tblPrEx>
        <w:trPr>
          <w:gridAfter w:val="1"/>
          <w:wAfter w:w="317" w:type="dxa"/>
          <w:trHeight w:val="90" w:hRule="atLeast"/>
        </w:trPr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DABF93">
            <w:pPr>
              <w:numPr>
                <w:ilvl w:val="0"/>
                <w:numId w:val="0"/>
              </w:numPr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6.压力性损伤风险</w:t>
            </w:r>
          </w:p>
        </w:tc>
        <w:tc>
          <w:tcPr>
            <w:tcW w:w="764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F45B9F">
            <w:pPr>
              <w:numPr>
                <w:ilvl w:val="0"/>
                <w:numId w:val="0"/>
              </w:numPr>
              <w:rPr>
                <w:rFonts w:ascii="宋体" w:hAnsi="宋体" w:eastAsia="宋体"/>
                <w:color w:val="auto"/>
              </w:rPr>
            </w:pPr>
            <w:r>
              <w:rPr>
                <w:rFonts w:hint="eastAsia" w:ascii="宋体" w:hAnsi="宋体" w:eastAsia="宋体"/>
                <w:color w:val="auto"/>
              </w:rPr>
              <w:t>Braden评分12分，为压力性损伤高度危险；Cubbin-Jackson评分30分，为低风险。结合现有水肿及皮损，按高风险落实气垫床、翻身减压和皮肤观察。</w:t>
            </w:r>
          </w:p>
        </w:tc>
      </w:tr>
      <w:tr w14:paraId="3647C2A5">
        <w:tblPrEx>
          <w:tblLayout w:type="fixed"/>
        </w:tblPrEx>
        <w:trPr>
          <w:trHeight w:val="90" w:hRule="atLeast"/>
        </w:trPr>
        <w:tc>
          <w:tcPr>
            <w:tcW w:w="234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15D550">
            <w:pPr>
              <w:numPr>
                <w:ilvl w:val="0"/>
                <w:numId w:val="0"/>
              </w:numPr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7.DVT风险</w:t>
            </w:r>
          </w:p>
        </w:tc>
        <w:tc>
          <w:tcPr>
            <w:tcW w:w="764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A529F8">
            <w:pPr>
              <w:numPr>
                <w:ilvl w:val="0"/>
                <w:numId w:val="0"/>
              </w:numPr>
              <w:rPr>
                <w:rFonts w:ascii="宋体" w:hAnsi="宋体" w:eastAsia="宋体"/>
                <w:color w:val="auto"/>
              </w:rPr>
            </w:pPr>
            <w:r>
              <w:rPr>
                <w:rFonts w:hint="eastAsia" w:ascii="宋体" w:hAnsi="宋体" w:eastAsia="宋体"/>
                <w:color w:val="auto"/>
              </w:rPr>
              <w:t>Padua静脉血栓风险评分9分，为高危；卧床、高龄及活动受限，需落实机械/药物预防并观察出血及下肢血栓征象。</w:t>
            </w:r>
          </w:p>
        </w:tc>
      </w:tr>
      <w:tr w14:paraId="2F3868CE">
        <w:tblPrEx>
          <w:tblLayout w:type="fixed"/>
        </w:tblPrEx>
        <w:trPr>
          <w:trHeight w:val="90" w:hRule="atLeast"/>
        </w:trPr>
        <w:tc>
          <w:tcPr>
            <w:tcW w:w="234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030C94">
            <w:pPr>
              <w:numPr>
                <w:ilvl w:val="0"/>
                <w:numId w:val="0"/>
              </w:numPr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8.营养风险</w:t>
            </w:r>
          </w:p>
        </w:tc>
        <w:tc>
          <w:tcPr>
            <w:tcW w:w="764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68565">
            <w:pPr>
              <w:numPr>
                <w:ilvl w:val="0"/>
                <w:numId w:val="0"/>
              </w:numPr>
              <w:rPr>
                <w:rFonts w:ascii="宋体" w:hAnsi="宋体" w:eastAsia="宋体"/>
                <w:color w:val="auto"/>
              </w:rPr>
            </w:pPr>
            <w:r>
              <w:rPr>
                <w:rFonts w:hint="eastAsia" w:ascii="宋体" w:hAnsi="宋体" w:eastAsia="宋体"/>
                <w:color w:val="auto"/>
              </w:rPr>
              <w:t>NRS-2002评分6分，有营养风险；存在营养不良、低蛋白血症及吞咽障碍，给予鼻肠管肠内营养并结合静脉营养支持。</w:t>
            </w:r>
          </w:p>
        </w:tc>
      </w:tr>
      <w:tr w14:paraId="36730910">
        <w:tblPrEx>
          <w:tblLayout w:type="fixed"/>
        </w:tblPrEx>
        <w:trPr>
          <w:trHeight w:val="134" w:hRule="atLeast"/>
        </w:trPr>
        <w:tc>
          <w:tcPr>
            <w:tcW w:w="234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97D01">
            <w:pPr>
              <w:numPr>
                <w:ilvl w:val="0"/>
                <w:numId w:val="0"/>
              </w:numPr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9.医院获得性肺炎风险</w:t>
            </w:r>
          </w:p>
        </w:tc>
        <w:tc>
          <w:tcPr>
            <w:tcW w:w="764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DD64DB">
            <w:pPr>
              <w:numPr>
                <w:ilvl w:val="0"/>
                <w:numId w:val="0"/>
              </w:numPr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</w:rPr>
              <w:t>医院获得性肺炎风险评分19分，为超高危险；气管切开、痰液多且咳痰能力差，需加强气道管理及感染监测。</w:t>
            </w:r>
          </w:p>
        </w:tc>
      </w:tr>
      <w:tr w14:paraId="60FF1B05">
        <w:tblPrEx>
          <w:tblLayout w:type="fixed"/>
        </w:tblPrEx>
        <w:trPr>
          <w:trHeight w:val="90" w:hRule="atLeast"/>
        </w:trPr>
        <w:tc>
          <w:tcPr>
            <w:tcW w:w="234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DA7DC5">
            <w:pPr>
              <w:numPr>
                <w:ilvl w:val="0"/>
                <w:numId w:val="0"/>
              </w:numPr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1</w:t>
            </w:r>
            <w:r>
              <w:rPr>
                <w:rFonts w:hint="eastAsia" w:ascii="宋体" w:hAnsi="宋体" w:eastAsia="宋体"/>
                <w:b/>
                <w:bCs/>
                <w:lang w:val="en-US" w:eastAsia="zh-CN"/>
              </w:rPr>
              <w:t>0</w:t>
            </w:r>
            <w:r>
              <w:rPr>
                <w:rFonts w:hint="eastAsia" w:ascii="宋体" w:hAnsi="宋体" w:eastAsia="宋体"/>
                <w:b/>
                <w:bCs/>
              </w:rPr>
              <w:t>.手术并发症</w:t>
            </w:r>
          </w:p>
        </w:tc>
        <w:tc>
          <w:tcPr>
            <w:tcW w:w="764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98E785">
            <w:pPr>
              <w:numPr>
                <w:ilvl w:val="0"/>
                <w:numId w:val="0"/>
              </w:num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目前无新发手术并发症。重点观察气管造口、CVC、鼻肠管及导尿管相关并发症，并防范误吸、肺部感染、出血、血栓及压伤。</w:t>
            </w:r>
          </w:p>
        </w:tc>
      </w:tr>
      <w:tr w14:paraId="57511C04">
        <w:tblPrEx>
          <w:tblLayout w:type="fixed"/>
        </w:tblPrEx>
        <w:trPr>
          <w:trHeight w:val="280" w:hRule="atLeast"/>
        </w:trPr>
        <w:tc>
          <w:tcPr>
            <w:tcW w:w="9981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630BD0AB">
            <w:pPr>
              <w:numPr>
                <w:ilvl w:val="0"/>
                <w:numId w:val="0"/>
              </w:num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b/>
                <w:bCs/>
              </w:rPr>
              <w:t>四、现存及潜在的护理诊断及措施</w:t>
            </w:r>
          </w:p>
        </w:tc>
      </w:tr>
      <w:tr w14:paraId="1E2BC67F">
        <w:tblPrEx>
          <w:tblLayout w:type="fixed"/>
        </w:tblPrEx>
        <w:trPr>
          <w:trHeight w:val="2604" w:hRule="atLeast"/>
        </w:trPr>
        <w:tc>
          <w:tcPr>
            <w:tcW w:w="2341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ACB4DF">
            <w:pPr>
              <w:numPr>
                <w:ilvl w:val="0"/>
                <w:numId w:val="0"/>
              </w:num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b/>
                <w:bCs/>
              </w:rPr>
              <w:t>(一)现存问题</w:t>
            </w:r>
          </w:p>
        </w:tc>
        <w:tc>
          <w:tcPr>
            <w:tcW w:w="764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38030C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1. 气体交换障碍 —— 与气管切开、痰液潴留及肺部感染有关</w:t>
            </w:r>
            <w:r>
              <w:rPr>
                <w:rFonts w:hint="eastAsia"/>
                <w:b/>
                <w:bCs/>
                <w:sz w:val="21"/>
                <w:szCs w:val="21"/>
              </w:rPr>
              <w:br/>
              <w:t>护理措施：</w:t>
            </w:r>
            <w:r>
              <w:rPr>
                <w:rFonts w:hint="eastAsia"/>
                <w:b/>
                <w:bCs/>
                <w:sz w:val="21"/>
                <w:szCs w:val="21"/>
              </w:rPr>
              <w:br/>
              <w:t>1. 持续观察呼吸频率、节律、SpO₂及缺氧表现，异常及时报告。</w:t>
            </w:r>
            <w:r>
              <w:rPr>
                <w:rFonts w:hint="eastAsia"/>
                <w:b/>
                <w:bCs/>
                <w:sz w:val="21"/>
                <w:szCs w:val="21"/>
              </w:rPr>
              <w:br/>
              <w:t>2. 取抬高床头/半卧位，按医嘱面罩吸氧与BiPAP辅助通气交替。</w:t>
            </w:r>
            <w:r>
              <w:rPr>
                <w:rFonts w:hint="eastAsia"/>
                <w:b/>
                <w:bCs/>
                <w:sz w:val="21"/>
                <w:szCs w:val="21"/>
              </w:rPr>
              <w:br/>
              <w:t>3. 保持气道湿化，按需吸痰、叩背，记录痰液颜色、量和性状。</w:t>
            </w:r>
            <w:r>
              <w:rPr>
                <w:rFonts w:hint="eastAsia"/>
                <w:b/>
                <w:bCs/>
                <w:sz w:val="21"/>
                <w:szCs w:val="21"/>
              </w:rPr>
              <w:br/>
              <w:t>4. 做好气管切开护理，监测气囊压力，严格无菌操作并预防呼吸机相关感染。</w:t>
            </w:r>
          </w:p>
        </w:tc>
      </w:tr>
      <w:tr w14:paraId="2CB53591">
        <w:tblPrEx>
          <w:tblLayout w:type="fixed"/>
        </w:tblPrEx>
        <w:trPr>
          <w:trHeight w:val="280" w:hRule="atLeast"/>
        </w:trPr>
        <w:tc>
          <w:tcPr>
            <w:tcW w:w="2341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6B90F8">
            <w:pPr>
              <w:numPr>
                <w:ilvl w:val="0"/>
                <w:numId w:val="0"/>
              </w:numPr>
              <w:rPr>
                <w:rFonts w:ascii="宋体" w:hAnsi="宋体" w:eastAsia="宋体"/>
              </w:rPr>
            </w:pPr>
          </w:p>
        </w:tc>
        <w:tc>
          <w:tcPr>
            <w:tcW w:w="764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81F8FB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/>
                <w:bCs/>
              </w:rPr>
              <w:t>2. 营养失调：低于机体需要量 —— 与吞咽障碍、长期卧床及低蛋白血症有关</w:t>
            </w:r>
            <w:r>
              <w:rPr>
                <w:rFonts w:hint="eastAsia"/>
                <w:b/>
                <w:bCs/>
              </w:rPr>
              <w:br/>
              <w:t>护理措施：</w:t>
            </w:r>
            <w:r>
              <w:rPr>
                <w:rFonts w:hint="eastAsia"/>
                <w:b/>
                <w:bCs/>
              </w:rPr>
              <w:br/>
              <w:t>1. 依医嘱经鼻肠管给予肠内营养，输注时抬高床头30°-45°，输注后保持体位30分钟以上。</w:t>
            </w:r>
            <w:r>
              <w:rPr>
                <w:rFonts w:hint="eastAsia"/>
                <w:b/>
                <w:bCs/>
              </w:rPr>
              <w:br/>
              <w:t>2. 观察腹胀、腹泻、反流及误吸征象，记录摄入量和排便情况。</w:t>
            </w:r>
            <w:r>
              <w:rPr>
                <w:rFonts w:hint="eastAsia"/>
                <w:b/>
                <w:bCs/>
              </w:rPr>
              <w:br/>
              <w:t>3. 定期监测体重、血红蛋白、白蛋白、电解质及肾功能，按需联系营养师。</w:t>
            </w:r>
            <w:r>
              <w:rPr>
                <w:rFonts w:hint="eastAsia"/>
                <w:b/>
                <w:bCs/>
              </w:rPr>
              <w:br/>
              <w:t>4. 做好口腔护理和鼻肠管维护，确保管路固定与通畅。</w:t>
            </w:r>
          </w:p>
        </w:tc>
      </w:tr>
      <w:tr w14:paraId="4A6CC6D3">
        <w:tblPrEx>
          <w:tblLayout w:type="fixed"/>
        </w:tblPrEx>
        <w:trPr>
          <w:trHeight w:val="695" w:hRule="atLeast"/>
        </w:trPr>
        <w:tc>
          <w:tcPr>
            <w:tcW w:w="2341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38E911">
            <w:pPr>
              <w:numPr>
                <w:ilvl w:val="0"/>
                <w:numId w:val="0"/>
              </w:numPr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(二)潜在问题</w:t>
            </w:r>
          </w:p>
          <w:p w14:paraId="23A8BAFA">
            <w:pPr>
              <w:numPr>
                <w:ilvl w:val="0"/>
                <w:numId w:val="0"/>
              </w:numPr>
              <w:rPr>
                <w:rFonts w:ascii="宋体" w:hAnsi="宋体" w:eastAsia="宋体"/>
              </w:rPr>
            </w:pPr>
          </w:p>
        </w:tc>
        <w:tc>
          <w:tcPr>
            <w:tcW w:w="764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35808"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/>
                <w:bCs/>
              </w:rPr>
              <w:t>1. 误吸风险 —— 与意识障碍、吞咽障碍、气管切开及鼻肠管喂养有关</w:t>
            </w:r>
            <w:r>
              <w:rPr>
                <w:rFonts w:hint="eastAsia"/>
                <w:b/>
                <w:bCs/>
              </w:rPr>
              <w:br/>
              <w:t>护理措施：</w:t>
            </w:r>
            <w:r>
              <w:rPr>
                <w:rFonts w:hint="eastAsia"/>
                <w:b/>
                <w:bCs/>
              </w:rPr>
              <w:br/>
              <w:t>1. 持续采取防误吸体位，床头抬高30°-45°，翻身及操作时保护气道。</w:t>
            </w:r>
            <w:r>
              <w:rPr>
                <w:rFonts w:hint="eastAsia"/>
                <w:b/>
                <w:bCs/>
              </w:rPr>
              <w:br/>
              <w:t>2. 喂养前确认鼻肠管位置与通畅，严格控制速度和单次量。</w:t>
            </w:r>
            <w:r>
              <w:rPr>
                <w:rFonts w:hint="eastAsia"/>
                <w:b/>
                <w:bCs/>
              </w:rPr>
              <w:br/>
              <w:t>3. 观察呛咳、呼吸困难、SpO₂下降及痰液变化，必要时暂停喂养并通知医生。</w:t>
            </w:r>
            <w:r>
              <w:rPr>
                <w:rFonts w:hint="eastAsia"/>
                <w:b/>
                <w:bCs/>
              </w:rPr>
              <w:br/>
              <w:t>4. 床旁备吸引装置，按需行声门下分泌物吸引及气管切开吸痰。</w:t>
            </w:r>
          </w:p>
        </w:tc>
      </w:tr>
      <w:tr w14:paraId="706624B3">
        <w:tblPrEx>
          <w:tblLayout w:type="fixed"/>
        </w:tblPrEx>
        <w:trPr>
          <w:trHeight w:val="2884" w:hRule="atLeast"/>
        </w:trPr>
        <w:tc>
          <w:tcPr>
            <w:tcW w:w="2341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47286">
            <w:pPr/>
          </w:p>
        </w:tc>
        <w:tc>
          <w:tcPr>
            <w:tcW w:w="764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452CB">
            <w:pPr>
              <w:numPr>
                <w:ilvl w:val="0"/>
                <w:numId w:val="0"/>
              </w:numPr>
              <w:rPr>
                <w:rFonts w:hint="default" w:ascii="宋体" w:hAnsi="宋体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2. 静脉血栓形成风险及皮肤完整性受损风险 —— 与高龄、长期卧床、水肿、营养不良和活动受限有关</w:t>
            </w:r>
            <w:r>
              <w:rPr>
                <w:rFonts w:hint="eastAsia"/>
                <w:b/>
                <w:bCs/>
                <w:lang w:val="en-US" w:eastAsia="zh-CN"/>
              </w:rPr>
              <w:br/>
              <w:t>护理措施：</w:t>
            </w:r>
            <w:r>
              <w:rPr>
                <w:rFonts w:hint="eastAsia"/>
                <w:b/>
                <w:bCs/>
                <w:lang w:val="en-US" w:eastAsia="zh-CN"/>
              </w:rPr>
              <w:br/>
              <w:t>1. 每2小时翻身，使用气垫床和减压敷料，保持皮肤清洁干燥，重点观察骶尾部、髋部及骨突处。</w:t>
            </w:r>
            <w:r>
              <w:rPr>
                <w:rFonts w:hint="eastAsia"/>
                <w:b/>
                <w:bCs/>
                <w:lang w:val="en-US" w:eastAsia="zh-CN"/>
              </w:rPr>
              <w:br/>
              <w:t>2. 抬高水肿肢体，进行被动踝泵及关节活动，观察下肢周径、皮温、颜色、疼痛和肿胀。</w:t>
            </w:r>
            <w:r>
              <w:rPr>
                <w:rFonts w:hint="eastAsia"/>
                <w:b/>
                <w:bCs/>
                <w:lang w:val="en-US" w:eastAsia="zh-CN"/>
              </w:rPr>
              <w:br/>
              <w:t>3. 遵医嘱落实抗凝治疗，监测血小板、凝血指标、皮肤黏膜及痰液有无出血。</w:t>
            </w:r>
            <w:r>
              <w:rPr>
                <w:rFonts w:hint="eastAsia"/>
                <w:b/>
                <w:bCs/>
                <w:lang w:val="en-US" w:eastAsia="zh-CN"/>
              </w:rPr>
              <w:br/>
              <w:t>4. 严格维护CVC和导尿管，落实导管相关感染预防。</w:t>
            </w:r>
          </w:p>
        </w:tc>
      </w:tr>
      <w:tr w14:paraId="12403AFB">
        <w:tblPrEx>
          <w:tblLayout w:type="fixed"/>
        </w:tblPrEx>
        <w:trPr>
          <w:trHeight w:val="280" w:hRule="atLeast"/>
        </w:trPr>
        <w:tc>
          <w:tcPr>
            <w:tcW w:w="9981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70EB69A1">
            <w:pPr>
              <w:numPr>
                <w:ilvl w:val="0"/>
                <w:numId w:val="0"/>
              </w:num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b/>
                <w:bCs/>
              </w:rPr>
              <w:t>五、健康教育</w:t>
            </w:r>
          </w:p>
        </w:tc>
      </w:tr>
      <w:tr w14:paraId="37896B05">
        <w:tblPrEx>
          <w:tblLayout w:type="fixed"/>
        </w:tblPrEx>
        <w:trPr>
          <w:trHeight w:val="280" w:hRule="atLeast"/>
        </w:trPr>
        <w:tc>
          <w:tcPr>
            <w:tcW w:w="234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235B77">
            <w:pPr>
              <w:numPr>
                <w:ilvl w:val="0"/>
                <w:numId w:val="0"/>
              </w:numPr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(一)饮食指导</w:t>
            </w:r>
          </w:p>
        </w:tc>
        <w:tc>
          <w:tcPr>
            <w:tcW w:w="764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20D5A0">
            <w:pPr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1. 目前以鼻肠管肠内营养为主，严格执行医嘱配方、速度及冲管水量，不自行经口喂食。</w:t>
            </w:r>
            <w:r>
              <w:rPr>
                <w:rFonts w:hint="eastAsia"/>
                <w:lang w:eastAsia="zh-CN"/>
              </w:rPr>
              <w:br/>
              <w:t>2. 营养输注时及输注后保持床头抬高，观察反流、呛咳、腹胀、腹泻等情况。</w:t>
            </w:r>
            <w:r>
              <w:rPr>
                <w:rFonts w:hint="eastAsia"/>
                <w:lang w:eastAsia="zh-CN"/>
              </w:rPr>
              <w:br/>
              <w:t>3. 每日记录摄入量、排便及体重变化；出现喂养不耐受及时告知医护人员。</w:t>
            </w:r>
          </w:p>
        </w:tc>
      </w:tr>
      <w:tr w14:paraId="4A7102A6">
        <w:tblPrEx>
          <w:tblLayout w:type="fixed"/>
        </w:tblPrEx>
        <w:trPr>
          <w:trHeight w:val="280" w:hRule="atLeast"/>
        </w:trPr>
        <w:tc>
          <w:tcPr>
            <w:tcW w:w="234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B0827D">
            <w:pPr>
              <w:numPr>
                <w:ilvl w:val="0"/>
                <w:numId w:val="0"/>
              </w:numPr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(</w:t>
            </w:r>
            <w:r>
              <w:rPr>
                <w:rFonts w:hint="eastAsia" w:ascii="宋体" w:hAnsi="宋体" w:eastAsia="宋体"/>
                <w:b/>
                <w:bCs/>
                <w:lang w:val="en-US" w:eastAsia="zh-CN"/>
              </w:rPr>
              <w:t>二</w:t>
            </w:r>
            <w:r>
              <w:rPr>
                <w:rFonts w:hint="eastAsia" w:ascii="宋体" w:hAnsi="宋体" w:eastAsia="宋体"/>
                <w:b/>
                <w:bCs/>
              </w:rPr>
              <w:t>)伤口/导管</w:t>
            </w:r>
          </w:p>
        </w:tc>
        <w:tc>
          <w:tcPr>
            <w:tcW w:w="764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367C3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皮肤方面：</w:t>
            </w:r>
            <w:r>
              <w:rPr>
                <w:rFonts w:hint="eastAsia"/>
              </w:rPr>
              <w:br/>
              <w:t>1. 每2小时协助翻身，避免拖、拉、推；保持骶尾部、髋部及会阴部清洁干燥。</w:t>
            </w:r>
            <w:r>
              <w:rPr>
                <w:rFonts w:hint="eastAsia"/>
              </w:rPr>
              <w:br/>
              <w:t>2. 观察瘢痕、破损及水肿部位，敷料污染、松脱或渗液时及时更换并报告。</w:t>
            </w:r>
            <w:r>
              <w:rPr>
                <w:rFonts w:hint="eastAsia"/>
              </w:rPr>
              <w:br/>
              <w:t>导管方面：</w:t>
            </w:r>
            <w:r>
              <w:rPr>
                <w:rFonts w:hint="eastAsia"/>
              </w:rPr>
              <w:br/>
              <w:t>1. 向家属说明气管切开、CVC、鼻肠管及导尿管的用途，勿自行牵拉或拔除。</w:t>
            </w:r>
            <w:r>
              <w:rPr>
                <w:rFonts w:hint="eastAsia"/>
              </w:rPr>
              <w:br/>
              <w:t>2. 保持各管路固定、通畅，出现红肿、渗液、堵塞、脱出或尿量异常时及时通知医护人员。</w:t>
            </w:r>
          </w:p>
        </w:tc>
      </w:tr>
      <w:tr w14:paraId="288E5846">
        <w:tblPrEx>
          <w:tblLayout w:type="fixed"/>
        </w:tblPrEx>
        <w:trPr>
          <w:trHeight w:val="280" w:hRule="atLeast"/>
        </w:trPr>
        <w:tc>
          <w:tcPr>
            <w:tcW w:w="234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ACD09">
            <w:pPr>
              <w:numPr>
                <w:ilvl w:val="0"/>
                <w:numId w:val="0"/>
              </w:numPr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(</w:t>
            </w:r>
            <w:r>
              <w:rPr>
                <w:rFonts w:hint="eastAsia" w:ascii="宋体" w:hAnsi="宋体" w:eastAsia="宋体"/>
                <w:b/>
                <w:bCs/>
                <w:lang w:val="en-US" w:eastAsia="zh-CN"/>
              </w:rPr>
              <w:t>三</w:t>
            </w:r>
            <w:r>
              <w:rPr>
                <w:rFonts w:hint="eastAsia" w:ascii="宋体" w:hAnsi="宋体" w:eastAsia="宋体"/>
                <w:b/>
                <w:bCs/>
              </w:rPr>
              <w:t>)药物指导</w:t>
            </w:r>
          </w:p>
        </w:tc>
        <w:tc>
          <w:tcPr>
            <w:tcW w:w="764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5F062A">
            <w:pPr>
              <w:numPr>
                <w:ilvl w:val="0"/>
                <w:numId w:val="0"/>
              </w:numPr>
              <w:rPr>
                <w:rFonts w:hint="eastAsia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1. 青霉素过敏，任何诊疗环节均应主动告知医护人员。</w:t>
            </w:r>
            <w:r>
              <w:rPr>
                <w:rFonts w:hint="eastAsia"/>
                <w:lang w:eastAsia="zh-CN"/>
              </w:rPr>
              <w:br/>
              <w:t>2. 抗凝药：观察皮肤黏膜、痰液、尿液及大便有无出血，出现异常立即报告。</w:t>
            </w:r>
            <w:r>
              <w:rPr>
                <w:rFonts w:hint="eastAsia"/>
                <w:lang w:eastAsia="zh-CN"/>
              </w:rPr>
              <w:br/>
              <w:t>3. 降压及抗心律失常药：按时服用，密切监测血压、心率，不自行停药或调量。</w:t>
            </w:r>
            <w:r>
              <w:rPr>
                <w:rFonts w:hint="eastAsia"/>
                <w:lang w:eastAsia="zh-CN"/>
              </w:rPr>
              <w:br/>
              <w:t>4. 抗帕金森及其他药物须按医嘱经鼻肠管给药，注意嗜睡、低血压等不良反应。</w:t>
            </w:r>
          </w:p>
        </w:tc>
      </w:tr>
      <w:tr w14:paraId="0C72FE12">
        <w:tblPrEx>
          <w:tblLayout w:type="fixed"/>
        </w:tblPrEx>
        <w:trPr>
          <w:trHeight w:val="280" w:hRule="atLeast"/>
        </w:trPr>
        <w:tc>
          <w:tcPr>
            <w:tcW w:w="234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45B1D">
            <w:pPr>
              <w:numPr>
                <w:ilvl w:val="0"/>
                <w:numId w:val="0"/>
              </w:numPr>
              <w:rPr>
                <w:rFonts w:hint="default" w:ascii="宋体" w:hAnsi="宋体" w:eastAsia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lang w:eastAsia="zh-CN"/>
              </w:rPr>
              <w:t>（</w:t>
            </w:r>
            <w:r>
              <w:rPr>
                <w:rFonts w:hint="eastAsia" w:ascii="宋体" w:hAnsi="宋体" w:eastAsia="宋体"/>
                <w:b/>
                <w:bCs/>
                <w:lang w:val="en-US" w:eastAsia="zh-CN"/>
              </w:rPr>
              <w:t>四）活动指导</w:t>
            </w:r>
          </w:p>
        </w:tc>
        <w:tc>
          <w:tcPr>
            <w:tcW w:w="764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05086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卧床协助翻身及肢体被动运动；转运时保护气切和导管，异常立即停止并报告。</w:t>
            </w:r>
          </w:p>
        </w:tc>
      </w:tr>
    </w:tbl>
    <w:p w14:paraId="39253E6D">
      <w:pPr>
        <w:numPr>
          <w:ilvl w:val="0"/>
          <w:numId w:val="0"/>
        </w:numPr>
        <w:rPr>
          <w:b/>
          <w:bCs/>
          <w:sz w:val="28"/>
          <w:szCs w:val="28"/>
        </w:rPr>
      </w:pPr>
    </w:p>
    <w:sectPr>
      <w:pgSz w:w="11906" w:h="16838"/>
      <w:pgMar w:top="1440" w:right="964" w:bottom="1440" w:left="96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0000000"/>
    <w:lvl w:ilvl="0" w:tentative="0">
      <w:start w:val="3"/>
      <w:numFmt w:val="chineseCounting"/>
      <w:pStyle w:val="1"/>
      <w:suff w:val="space"/>
      <w:lvlText w:val="第%1章 "/>
      <w:lvlJc w:val="center"/>
      <w:pPr>
        <w:tabs>
          <w:tab w:val="left" w:pos="420"/>
        </w:tabs>
        <w:ind w:left="0" w:firstLine="0"/>
      </w:pPr>
      <w:rPr>
        <w:rFonts w:hint="eastAsia" w:ascii="宋体" w:hAnsi="宋体" w:eastAsia="宋体" w:cs="宋体"/>
        <w:b/>
        <w:bCs/>
        <w:color w:val="000000"/>
        <w:sz w:val="21"/>
        <w:szCs w:val="21"/>
      </w:rPr>
    </w:lvl>
    <w:lvl w:ilvl="1" w:tentative="0">
      <w:start w:val="1"/>
      <w:numFmt w:val="chineseCounting"/>
      <w:suff w:val="space"/>
      <w:lvlText w:val="第%2节"/>
      <w:lvlJc w:val="center"/>
      <w:pPr>
        <w:tabs>
          <w:tab w:val="left" w:pos="420"/>
        </w:tabs>
        <w:ind w:left="0" w:firstLine="0"/>
      </w:pPr>
      <w:rPr>
        <w:rFonts w:hint="eastAsia" w:ascii="宋体" w:hAnsi="宋体" w:eastAsia="宋体" w:cs="宋体"/>
        <w:b/>
        <w:bCs/>
        <w:color w:val="000000"/>
        <w:sz w:val="21"/>
        <w:szCs w:val="21"/>
      </w:rPr>
    </w:lvl>
    <w:lvl w:ilvl="2" w:tentative="0">
      <w:start w:val="1"/>
      <w:numFmt w:val="chineseCounting"/>
      <w:suff w:val="space"/>
      <w:lvlText w:val="%3、"/>
      <w:lvlJc w:val="left"/>
      <w:pPr>
        <w:tabs>
          <w:tab w:val="left" w:pos="420"/>
        </w:tabs>
        <w:ind w:left="425" w:hanging="425"/>
      </w:pPr>
      <w:rPr>
        <w:rFonts w:hint="eastAsia" w:ascii="宋体" w:hAnsi="宋体" w:eastAsia="宋体" w:cs="宋体"/>
        <w:color w:val="000000"/>
        <w:sz w:val="21"/>
        <w:szCs w:val="21"/>
      </w:rPr>
    </w:lvl>
    <w:lvl w:ilvl="3" w:tentative="0">
      <w:start w:val="1"/>
      <w:numFmt w:val="chineseCounting"/>
      <w:suff w:val="space"/>
      <w:lvlText w:val="（%4）"/>
      <w:lvlJc w:val="left"/>
      <w:pPr>
        <w:tabs>
          <w:tab w:val="left" w:pos="420"/>
        </w:tabs>
        <w:ind w:left="709" w:hanging="426"/>
      </w:pPr>
      <w:rPr>
        <w:rFonts w:hint="eastAsia" w:ascii="宋体" w:hAnsi="宋体" w:eastAsia="宋体" w:cs="宋体"/>
        <w:color w:val="000000"/>
        <w:sz w:val="21"/>
        <w:szCs w:val="21"/>
      </w:rPr>
    </w:lvl>
    <w:lvl w:ilvl="4" w:tentative="0">
      <w:start w:val="1"/>
      <w:numFmt w:val="decimalFullWidth"/>
      <w:suff w:val="space"/>
      <w:lvlText w:val="%5. "/>
      <w:lvlJc w:val="left"/>
      <w:pPr>
        <w:tabs>
          <w:tab w:val="left" w:pos="420"/>
        </w:tabs>
        <w:ind w:left="737" w:hanging="312"/>
      </w:pPr>
      <w:rPr>
        <w:rFonts w:hint="eastAsia" w:ascii="宋体" w:hAnsi="宋体" w:eastAsia="宋体" w:cs="宋体"/>
        <w:sz w:val="21"/>
        <w:szCs w:val="21"/>
      </w:rPr>
    </w:lvl>
    <w:lvl w:ilvl="5" w:tentative="0">
      <w:start w:val="1"/>
      <w:numFmt w:val="decimal"/>
      <w:suff w:val="space"/>
      <w:lvlText w:val="（%6）"/>
      <w:lvlJc w:val="left"/>
      <w:pPr>
        <w:tabs>
          <w:tab w:val="left" w:pos="420"/>
        </w:tabs>
        <w:ind w:left="737" w:hanging="312"/>
      </w:pPr>
      <w:rPr>
        <w:rFonts w:hint="eastAsia" w:ascii="宋体" w:hAnsi="宋体" w:eastAsia="宋体" w:cs="宋体"/>
        <w:sz w:val="21"/>
        <w:szCs w:val="21"/>
      </w:rPr>
    </w:lvl>
    <w:lvl w:ilvl="6" w:tentative="0">
      <w:start w:val="1"/>
      <w:numFmt w:val="decimal"/>
      <w:suff w:val="space"/>
      <w:lvlText w:val="%7）"/>
      <w:lvlJc w:val="left"/>
      <w:pPr>
        <w:tabs>
          <w:tab w:val="left" w:pos="420"/>
        </w:tabs>
        <w:ind w:left="1134" w:hanging="284"/>
      </w:pPr>
      <w:rPr>
        <w:rFonts w:hint="eastAsia" w:ascii="宋体" w:hAnsi="宋体" w:eastAsia="宋体" w:cs="宋体"/>
        <w:sz w:val="21"/>
        <w:szCs w:val="21"/>
      </w:rPr>
    </w:lvl>
    <w:lvl w:ilvl="7" w:tentative="0">
      <w:start w:val="1"/>
      <w:numFmt w:val="none"/>
      <w:suff w:val="nothing"/>
      <w:lvlText w:val=""/>
      <w:lvlJc w:val="left"/>
      <w:pPr>
        <w:tabs>
          <w:tab w:val="left" w:pos="420"/>
        </w:tabs>
        <w:ind w:left="0" w:firstLine="402"/>
      </w:pPr>
      <w:rPr>
        <w:rFonts w:hint="eastAsia" w:ascii="宋体" w:hAnsi="宋体" w:eastAsia="宋体" w:cs="宋体"/>
        <w:sz w:val="21"/>
        <w:szCs w:val="21"/>
      </w:rPr>
    </w:lvl>
    <w:lvl w:ilvl="8" w:tentative="0">
      <w:start w:val="1"/>
      <w:numFmt w:val="none"/>
      <w:suff w:val="nothing"/>
      <w:lvlText w:val=""/>
      <w:lvlJc w:val="left"/>
      <w:pPr>
        <w:ind w:left="0" w:firstLine="402"/>
      </w:pPr>
      <w:rPr>
        <w:rFonts w:hint="eastAsia" w:ascii="宋体" w:hAnsi="宋体" w:eastAsia="宋体" w:cs="宋体"/>
        <w:sz w:val="21"/>
        <w:szCs w:val="21"/>
      </w:rPr>
    </w:lvl>
  </w:abstractNum>
  <w:abstractNum w:abstractNumId="1">
    <w:nsid w:val="00000001"/>
    <w:multiLevelType w:val="multilevel"/>
    <w:tmpl w:val="00000001"/>
    <w:lvl w:ilvl="0" w:tentative="0">
      <w:start w:val="3"/>
      <w:numFmt w:val="chineseCounting"/>
      <w:suff w:val="space"/>
      <w:lvlText w:val="第%1章 "/>
      <w:lvlJc w:val="center"/>
      <w:pPr>
        <w:tabs>
          <w:tab w:val="left" w:pos="0"/>
        </w:tabs>
        <w:ind w:left="0" w:firstLine="0"/>
      </w:pPr>
      <w:rPr>
        <w:rFonts w:hint="eastAsia" w:ascii="宋体" w:hAnsi="宋体" w:eastAsia="宋体" w:cs="宋体"/>
        <w:b/>
        <w:bCs/>
        <w:color w:val="000000"/>
        <w:sz w:val="21"/>
        <w:szCs w:val="21"/>
      </w:rPr>
    </w:lvl>
    <w:lvl w:ilvl="1" w:tentative="0">
      <w:start w:val="1"/>
      <w:numFmt w:val="chineseCounting"/>
      <w:pStyle w:val="3"/>
      <w:suff w:val="space"/>
      <w:lvlText w:val="第%2节"/>
      <w:lvlJc w:val="center"/>
      <w:pPr>
        <w:tabs>
          <w:tab w:val="left" w:pos="420"/>
        </w:tabs>
        <w:ind w:left="0" w:firstLine="0"/>
      </w:pPr>
      <w:rPr>
        <w:rFonts w:hint="eastAsia" w:ascii="宋体" w:hAnsi="宋体" w:eastAsia="宋体" w:cs="宋体"/>
        <w:b/>
        <w:bCs/>
        <w:color w:val="000000"/>
        <w:sz w:val="21"/>
        <w:szCs w:val="21"/>
      </w:rPr>
    </w:lvl>
    <w:lvl w:ilvl="2" w:tentative="0">
      <w:start w:val="1"/>
      <w:numFmt w:val="chineseCounting"/>
      <w:pStyle w:val="4"/>
      <w:suff w:val="space"/>
      <w:lvlText w:val="%3、"/>
      <w:lvlJc w:val="left"/>
      <w:pPr>
        <w:tabs>
          <w:tab w:val="left" w:pos="420"/>
        </w:tabs>
        <w:ind w:left="425" w:hanging="425"/>
      </w:pPr>
      <w:rPr>
        <w:rFonts w:hint="eastAsia" w:ascii="宋体" w:hAnsi="宋体" w:eastAsia="宋体" w:cs="宋体"/>
        <w:color w:val="000000"/>
        <w:sz w:val="21"/>
        <w:szCs w:val="21"/>
      </w:rPr>
    </w:lvl>
    <w:lvl w:ilvl="3" w:tentative="0">
      <w:start w:val="1"/>
      <w:numFmt w:val="chineseCounting"/>
      <w:pStyle w:val="5"/>
      <w:suff w:val="space"/>
      <w:lvlText w:val="（%4）"/>
      <w:lvlJc w:val="left"/>
      <w:pPr>
        <w:tabs>
          <w:tab w:val="left" w:pos="420"/>
        </w:tabs>
        <w:ind w:left="709" w:hanging="426"/>
      </w:pPr>
      <w:rPr>
        <w:rFonts w:hint="eastAsia" w:ascii="宋体" w:hAnsi="宋体" w:eastAsia="宋体" w:cs="宋体"/>
        <w:color w:val="000000"/>
        <w:sz w:val="21"/>
        <w:szCs w:val="21"/>
      </w:rPr>
    </w:lvl>
    <w:lvl w:ilvl="4" w:tentative="0">
      <w:start w:val="1"/>
      <w:numFmt w:val="decimalFullWidth"/>
      <w:pStyle w:val="6"/>
      <w:suff w:val="space"/>
      <w:lvlText w:val="%5. "/>
      <w:lvlJc w:val="left"/>
      <w:pPr>
        <w:tabs>
          <w:tab w:val="left" w:pos="420"/>
        </w:tabs>
        <w:ind w:left="737" w:hanging="312"/>
      </w:pPr>
      <w:rPr>
        <w:rFonts w:hint="eastAsia" w:ascii="宋体" w:hAnsi="宋体" w:eastAsia="宋体" w:cs="宋体"/>
        <w:sz w:val="21"/>
        <w:szCs w:val="21"/>
      </w:rPr>
    </w:lvl>
    <w:lvl w:ilvl="5" w:tentative="0">
      <w:start w:val="1"/>
      <w:numFmt w:val="decimal"/>
      <w:pStyle w:val="7"/>
      <w:suff w:val="space"/>
      <w:lvlText w:val="（%6）"/>
      <w:lvlJc w:val="left"/>
      <w:pPr>
        <w:tabs>
          <w:tab w:val="left" w:pos="420"/>
        </w:tabs>
        <w:ind w:left="737" w:hanging="312"/>
      </w:pPr>
      <w:rPr>
        <w:rFonts w:hint="eastAsia" w:ascii="宋体" w:hAnsi="宋体" w:eastAsia="宋体" w:cs="宋体"/>
        <w:sz w:val="21"/>
        <w:szCs w:val="21"/>
      </w:rPr>
    </w:lvl>
    <w:lvl w:ilvl="6" w:tentative="0">
      <w:start w:val="1"/>
      <w:numFmt w:val="decimal"/>
      <w:pStyle w:val="8"/>
      <w:suff w:val="space"/>
      <w:lvlText w:val="%7）"/>
      <w:lvlJc w:val="left"/>
      <w:pPr>
        <w:tabs>
          <w:tab w:val="left" w:pos="420"/>
        </w:tabs>
        <w:ind w:left="1134" w:hanging="284"/>
      </w:pPr>
      <w:rPr>
        <w:rFonts w:hint="eastAsia" w:ascii="宋体" w:hAnsi="宋体" w:eastAsia="宋体" w:cs="宋体"/>
        <w:sz w:val="21"/>
        <w:szCs w:val="21"/>
      </w:rPr>
    </w:lvl>
    <w:lvl w:ilvl="7" w:tentative="0">
      <w:start w:val="1"/>
      <w:numFmt w:val="decimalEnclosedCircleChinese"/>
      <w:pStyle w:val="9"/>
      <w:suff w:val="space"/>
      <w:lvlText w:val="%8"/>
      <w:lvlJc w:val="left"/>
      <w:pPr>
        <w:tabs>
          <w:tab w:val="left" w:pos="420"/>
        </w:tabs>
        <w:ind w:left="1134" w:hanging="284"/>
      </w:pPr>
      <w:rPr>
        <w:rFonts w:hint="eastAsia" w:ascii="宋体" w:hAnsi="宋体" w:eastAsia="宋体" w:cs="宋体"/>
        <w:sz w:val="21"/>
        <w:szCs w:val="21"/>
      </w:rPr>
    </w:lvl>
    <w:lvl w:ilvl="8" w:tentative="0">
      <w:start w:val="1"/>
      <w:numFmt w:val="none"/>
      <w:suff w:val="nothing"/>
      <w:lvlText w:val=""/>
      <w:lvlJc w:val="left"/>
      <w:pPr>
        <w:ind w:left="0" w:firstLine="402"/>
      </w:pPr>
      <w:rPr>
        <w:rFonts w:hint="eastAsia" w:ascii="宋体" w:hAnsi="宋体" w:eastAsia="宋体" w:cs="宋体"/>
        <w:sz w:val="21"/>
        <w:szCs w:val="21"/>
      </w:rPr>
    </w:lvl>
  </w:abstractNum>
  <w:abstractNum w:abstractNumId="2">
    <w:nsid w:val="00000002"/>
    <w:multiLevelType w:val="multilevel"/>
    <w:tmpl w:val="00000002"/>
    <w:lvl w:ilvl="0" w:tentative="0">
      <w:start w:val="3"/>
      <w:numFmt w:val="chineseCounting"/>
      <w:pStyle w:val="2"/>
      <w:suff w:val="space"/>
      <w:lvlText w:val="第%1章 "/>
      <w:lvlJc w:val="center"/>
      <w:pPr>
        <w:tabs>
          <w:tab w:val="left" w:pos="420"/>
        </w:tabs>
        <w:ind w:left="0" w:firstLine="0"/>
      </w:pPr>
      <w:rPr>
        <w:rFonts w:hint="eastAsia" w:ascii="宋体" w:hAnsi="宋体" w:eastAsia="宋体" w:cs="宋体"/>
        <w:b/>
        <w:bCs/>
        <w:color w:val="000000"/>
        <w:sz w:val="21"/>
        <w:szCs w:val="21"/>
      </w:rPr>
    </w:lvl>
    <w:lvl w:ilvl="1" w:tentative="0">
      <w:start w:val="1"/>
      <w:numFmt w:val="chineseCounting"/>
      <w:suff w:val="space"/>
      <w:lvlText w:val="第%2节"/>
      <w:lvlJc w:val="center"/>
      <w:pPr>
        <w:tabs>
          <w:tab w:val="left" w:pos="420"/>
        </w:tabs>
        <w:ind w:left="0" w:firstLine="0"/>
      </w:pPr>
      <w:rPr>
        <w:rFonts w:hint="eastAsia" w:ascii="宋体" w:hAnsi="宋体" w:eastAsia="宋体" w:cs="宋体"/>
        <w:b/>
        <w:bCs/>
        <w:color w:val="000000"/>
        <w:sz w:val="21"/>
        <w:szCs w:val="21"/>
      </w:rPr>
    </w:lvl>
    <w:lvl w:ilvl="2" w:tentative="0">
      <w:start w:val="1"/>
      <w:numFmt w:val="chineseCounting"/>
      <w:suff w:val="space"/>
      <w:lvlText w:val="%3、"/>
      <w:lvlJc w:val="left"/>
      <w:pPr>
        <w:tabs>
          <w:tab w:val="left" w:pos="420"/>
        </w:tabs>
        <w:ind w:left="425" w:hanging="425"/>
      </w:pPr>
      <w:rPr>
        <w:rFonts w:hint="eastAsia" w:ascii="宋体" w:hAnsi="宋体" w:eastAsia="宋体" w:cs="宋体"/>
        <w:color w:val="000000"/>
        <w:sz w:val="21"/>
        <w:szCs w:val="21"/>
      </w:rPr>
    </w:lvl>
    <w:lvl w:ilvl="3" w:tentative="0">
      <w:start w:val="1"/>
      <w:numFmt w:val="chineseCounting"/>
      <w:suff w:val="space"/>
      <w:lvlText w:val="（%4）"/>
      <w:lvlJc w:val="left"/>
      <w:pPr>
        <w:tabs>
          <w:tab w:val="left" w:pos="420"/>
        </w:tabs>
        <w:ind w:left="709" w:hanging="426"/>
      </w:pPr>
      <w:rPr>
        <w:rFonts w:hint="eastAsia" w:ascii="宋体" w:hAnsi="宋体" w:eastAsia="宋体" w:cs="宋体"/>
        <w:color w:val="000000"/>
        <w:sz w:val="21"/>
        <w:szCs w:val="21"/>
      </w:rPr>
    </w:lvl>
    <w:lvl w:ilvl="4" w:tentative="0">
      <w:start w:val="1"/>
      <w:numFmt w:val="decimalFullWidth"/>
      <w:suff w:val="space"/>
      <w:lvlText w:val="%5. "/>
      <w:lvlJc w:val="left"/>
      <w:pPr>
        <w:tabs>
          <w:tab w:val="left" w:pos="420"/>
        </w:tabs>
        <w:ind w:left="737" w:hanging="312"/>
      </w:pPr>
      <w:rPr>
        <w:rFonts w:hint="eastAsia" w:ascii="宋体" w:hAnsi="宋体" w:eastAsia="宋体" w:cs="宋体"/>
        <w:sz w:val="21"/>
        <w:szCs w:val="21"/>
      </w:rPr>
    </w:lvl>
    <w:lvl w:ilvl="5" w:tentative="0">
      <w:start w:val="1"/>
      <w:numFmt w:val="decimal"/>
      <w:suff w:val="space"/>
      <w:lvlText w:val="（%6）"/>
      <w:lvlJc w:val="left"/>
      <w:pPr>
        <w:tabs>
          <w:tab w:val="left" w:pos="420"/>
        </w:tabs>
        <w:ind w:left="737" w:hanging="312"/>
      </w:pPr>
      <w:rPr>
        <w:rFonts w:hint="eastAsia" w:ascii="宋体" w:hAnsi="宋体" w:eastAsia="宋体" w:cs="宋体"/>
        <w:sz w:val="21"/>
        <w:szCs w:val="21"/>
      </w:rPr>
    </w:lvl>
    <w:lvl w:ilvl="6" w:tentative="0">
      <w:start w:val="1"/>
      <w:numFmt w:val="decimal"/>
      <w:suff w:val="space"/>
      <w:lvlText w:val="%7）"/>
      <w:lvlJc w:val="left"/>
      <w:pPr>
        <w:tabs>
          <w:tab w:val="left" w:pos="420"/>
        </w:tabs>
        <w:ind w:left="1134" w:hanging="284"/>
      </w:pPr>
      <w:rPr>
        <w:rFonts w:hint="eastAsia" w:ascii="宋体" w:hAnsi="宋体" w:eastAsia="宋体" w:cs="宋体"/>
        <w:sz w:val="21"/>
        <w:szCs w:val="21"/>
      </w:rPr>
    </w:lvl>
    <w:lvl w:ilvl="7" w:tentative="0">
      <w:start w:val="1"/>
      <w:numFmt w:val="none"/>
      <w:suff w:val="nothing"/>
      <w:lvlText w:val=""/>
      <w:lvlJc w:val="left"/>
      <w:pPr>
        <w:tabs>
          <w:tab w:val="left" w:pos="420"/>
        </w:tabs>
        <w:ind w:left="0" w:firstLine="402"/>
      </w:pPr>
      <w:rPr>
        <w:rFonts w:hint="eastAsia" w:ascii="宋体" w:hAnsi="宋体" w:eastAsia="宋体" w:cs="宋体"/>
        <w:sz w:val="21"/>
        <w:szCs w:val="21"/>
      </w:rPr>
    </w:lvl>
    <w:lvl w:ilvl="8" w:tentative="0">
      <w:start w:val="1"/>
      <w:numFmt w:val="none"/>
      <w:suff w:val="nothing"/>
      <w:lvlText w:val=""/>
      <w:lvlJc w:val="left"/>
      <w:pPr>
        <w:ind w:left="0" w:firstLine="402"/>
      </w:pPr>
      <w:rPr>
        <w:rFonts w:hint="eastAsia" w:ascii="宋体" w:hAnsi="宋体" w:eastAsia="宋体" w:cs="宋体"/>
        <w:sz w:val="21"/>
        <w:szCs w:val="21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numPr>
        <w:ilvl w:val="0"/>
        <w:numId w:val="1"/>
      </w:numPr>
      <w:tabs>
        <w:tab w:val="clear" w:pos="420"/>
      </w:tabs>
      <w:jc w:val="both"/>
    </w:pPr>
    <w:rPr>
      <w:rFonts w:ascii="宋体" w:hAnsi="宋体" w:eastAsia="宋体" w:cs="宋体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2"/>
      </w:numPr>
      <w:spacing w:line="480" w:lineRule="auto"/>
      <w:jc w:val="center"/>
      <w:outlineLvl w:val="0"/>
    </w:pPr>
    <w:rPr>
      <w:b/>
      <w:kern w:val="44"/>
    </w:rPr>
  </w:style>
  <w:style w:type="paragraph" w:styleId="3">
    <w:name w:val="heading 2"/>
    <w:basedOn w:val="1"/>
    <w:next w:val="1"/>
    <w:qFormat/>
    <w:uiPriority w:val="0"/>
    <w:pPr>
      <w:numPr>
        <w:ilvl w:val="1"/>
        <w:numId w:val="3"/>
      </w:numPr>
      <w:spacing w:line="360" w:lineRule="auto"/>
      <w:jc w:val="center"/>
      <w:outlineLvl w:val="1"/>
    </w:pPr>
    <w:rPr>
      <w:b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3"/>
      </w:numPr>
      <w:jc w:val="left"/>
      <w:outlineLvl w:val="2"/>
    </w:pPr>
    <w:rPr>
      <w:b/>
      <w:bCs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3"/>
      </w:numPr>
      <w:adjustRightInd w:val="0"/>
      <w:jc w:val="left"/>
      <w:outlineLvl w:val="3"/>
    </w:pPr>
  </w:style>
  <w:style w:type="paragraph" w:styleId="6">
    <w:name w:val="heading 5"/>
    <w:basedOn w:val="1"/>
    <w:next w:val="1"/>
    <w:qFormat/>
    <w:uiPriority w:val="0"/>
    <w:pPr>
      <w:numPr>
        <w:ilvl w:val="4"/>
        <w:numId w:val="3"/>
      </w:numPr>
      <w:jc w:val="left"/>
      <w:outlineLvl w:val="4"/>
    </w:pPr>
  </w:style>
  <w:style w:type="paragraph" w:styleId="7">
    <w:name w:val="heading 6"/>
    <w:basedOn w:val="1"/>
    <w:next w:val="1"/>
    <w:qFormat/>
    <w:uiPriority w:val="0"/>
    <w:pPr>
      <w:numPr>
        <w:ilvl w:val="5"/>
        <w:numId w:val="3"/>
      </w:numPr>
      <w:jc w:val="left"/>
      <w:outlineLvl w:val="5"/>
    </w:p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3"/>
      </w:numPr>
      <w:tabs>
        <w:tab w:val="left" w:pos="0"/>
      </w:tabs>
      <w:jc w:val="left"/>
      <w:outlineLvl w:val="6"/>
    </w:p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3"/>
      </w:numPr>
      <w:ind w:hanging="283"/>
      <w:jc w:val="left"/>
      <w:outlineLvl w:val="7"/>
    </w:pPr>
  </w:style>
  <w:style w:type="character" w:default="1" w:styleId="11">
    <w:name w:val="Default Paragraph Font"/>
    <w:qFormat/>
    <w:uiPriority w:val="1"/>
  </w:style>
  <w:style w:type="table" w:default="1" w:styleId="13">
    <w:name w:val="Normal Table"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qFormat/>
    <w:uiPriority w:val="99"/>
    <w:pPr>
      <w:spacing w:before="100" w:beforeAutospacing="1" w:after="100" w:afterAutospacing="1"/>
      <w:jc w:val="left"/>
    </w:pPr>
    <w:rPr>
      <w:rFonts w:ascii="Times New Roman" w:hAnsi="Times New Roman"/>
      <w:kern w:val="0"/>
      <w:sz w:val="24"/>
    </w:rPr>
  </w:style>
  <w:style w:type="character" w:styleId="12">
    <w:name w:val="Emphasis"/>
    <w:basedOn w:val="11"/>
    <w:qFormat/>
    <w:uiPriority w:val="0"/>
    <w:rPr>
      <w:i/>
    </w:rPr>
  </w:style>
  <w:style w:type="table" w:styleId="14">
    <w:name w:val="Table Grid"/>
    <w:basedOn w:val="1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15">
    <w:name w:val="Medium Grid 3"/>
    <w:basedOn w:val="13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>
        <w:tblLayout w:type="fixed"/>
      </w:tblPr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>
        <w:tblLayout w:type="fixed"/>
      </w:tblPr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>
        <w:tblLayout w:type="fixed"/>
      </w:tblPr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>
        <w:tblLayout w:type="fixed"/>
      </w:tblPr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>
        <w:tblLayout w:type="fixed"/>
      </w:tblPr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>
        <w:tblLayout w:type="fixed"/>
      </w:tblPr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6">
    <w:name w:val="Medium Grid 3 Accent 1"/>
    <w:basedOn w:val="13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>
        <w:tblLayout w:type="fixed"/>
      </w:tblPr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>
        <w:tblLayout w:type="fixed"/>
      </w:tblPr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>
        <w:tblLayout w:type="fixed"/>
      </w:tblPr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>
        <w:tblLayout w:type="fixed"/>
      </w:tblPr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>
        <w:tblLayout w:type="fixed"/>
      </w:tblPr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>
        <w:tblLayout w:type="fixed"/>
      </w:tblPr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7">
    <w:name w:val="Medium Grid 3 Accent 2"/>
    <w:basedOn w:val="13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>
        <w:tblLayout w:type="fixed"/>
      </w:tblPr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>
        <w:tblLayout w:type="fixed"/>
      </w:tblPr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>
        <w:tblLayout w:type="fixed"/>
      </w:tblPr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>
        <w:tblLayout w:type="fixed"/>
      </w:tblPr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>
        <w:tblLayout w:type="fixed"/>
      </w:tblPr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>
        <w:tblLayout w:type="fixed"/>
      </w:tblPr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8">
    <w:name w:val="Medium Grid 3 Accent 3"/>
    <w:basedOn w:val="13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>
        <w:tblLayout w:type="fixed"/>
      </w:tblPr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>
        <w:tblLayout w:type="fixed"/>
      </w:tblPr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>
        <w:tblLayout w:type="fixed"/>
      </w:tblPr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>
        <w:tblLayout w:type="fixed"/>
      </w:tblPr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>
        <w:tblLayout w:type="fixed"/>
      </w:tblPr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>
        <w:tblLayout w:type="fixed"/>
      </w:tblPr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9">
    <w:name w:val="Medium Grid 3 Accent 4"/>
    <w:basedOn w:val="13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>
        <w:tblLayout w:type="fixed"/>
      </w:tblPr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>
        <w:tblLayout w:type="fixed"/>
      </w:tblPr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>
        <w:tblLayout w:type="fixed"/>
      </w:tblPr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>
        <w:tblLayout w:type="fixed"/>
      </w:tblPr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>
        <w:tblLayout w:type="fixed"/>
      </w:tblPr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>
        <w:tblLayout w:type="fixed"/>
      </w:tblPr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0">
    <w:name w:val="Medium Grid 3 Accent 5"/>
    <w:basedOn w:val="13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>
        <w:tblLayout w:type="fixed"/>
      </w:tblPr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>
        <w:tblLayout w:type="fixed"/>
      </w:tblPr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>
        <w:tblLayout w:type="fixed"/>
      </w:tblPr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>
        <w:tblLayout w:type="fixed"/>
      </w:tblPr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>
        <w:tblLayout w:type="fixed"/>
      </w:tblPr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>
        <w:tblLayout w:type="fixed"/>
      </w:tblPr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1">
    <w:name w:val="Medium Grid 3 Accent 6"/>
    <w:basedOn w:val="13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>
        <w:tblLayout w:type="fixed"/>
      </w:tblPr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>
        <w:tblLayout w:type="fixed"/>
      </w:tblPr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>
        <w:tblLayout w:type="fixed"/>
      </w:tblPr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>
        <w:tblLayout w:type="fixed"/>
      </w:tblPr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>
        <w:tblLayout w:type="fixed"/>
      </w:tblPr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>
        <w:tblLayout w:type="fixed"/>
      </w:tblPr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customStyle="1" w:styleId="22">
    <w:name w:val="font31"/>
    <w:basedOn w:val="11"/>
    <w:qFormat/>
    <w:uiPriority w:val="0"/>
    <w:rPr>
      <w:rFonts w:hint="eastAsia" w:ascii="宋体" w:hAnsi="宋体" w:eastAsia="宋体" w:cs="宋体"/>
      <w:b/>
      <w:bCs/>
      <w:color w:val="FF0000"/>
      <w:sz w:val="22"/>
      <w:szCs w:val="22"/>
      <w:u w:val="none"/>
    </w:rPr>
  </w:style>
  <w:style w:type="character" w:customStyle="1" w:styleId="23">
    <w:name w:val="font11"/>
    <w:basedOn w:val="11"/>
    <w:qFormat/>
    <w:uiPriority w:val="0"/>
    <w:rPr>
      <w:rFonts w:hint="eastAsia" w:ascii="宋体" w:hAnsi="宋体" w:eastAsia="宋体" w:cs="宋体"/>
      <w:color w:val="FF0000"/>
      <w:sz w:val="22"/>
      <w:szCs w:val="22"/>
      <w:u w:val="none"/>
    </w:rPr>
  </w:style>
  <w:style w:type="character" w:customStyle="1" w:styleId="24">
    <w:name w:val="font01"/>
    <w:basedOn w:val="11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customStyle="1" w:styleId="2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2962</Words>
  <Characters>3211</Characters>
  <Lines>0</Lines>
  <Paragraphs>159</Paragraphs>
  <TotalTime>0</TotalTime>
  <ScaleCrop>false</ScaleCrop>
  <LinksUpToDate>false</LinksUpToDate>
  <CharactersWithSpaces>3258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2023-08-02T20:55:00Z</dcterms:created>
  <dc:creator>Curtain1420203782</dc:creator>
  <cp:lastModifiedBy>iPhone</cp:lastModifiedBy>
  <dcterms:modified xsi:type="dcterms:W3CDTF">2026-07-28T22:57:49Z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2052-26.7.0</vt:lpwstr>
  </property>
  <property fmtid="{D5CDD505-2E9C-101B-9397-08002B2CF9AE}" pid="3" name="ICV">
    <vt:lpwstr>03ffe0c6513840f5a8df74bde3c25a19_23</vt:lpwstr>
  </property>
  <property fmtid="{D5CDD505-2E9C-101B-9397-08002B2CF9AE}" pid="4" name="KSOTemplateDocerSaveRecord">
    <vt:lpwstr>eyJoZGlkIjoiYjFkZTg4NTliOTYwZGEwMmVhZTEwZWZmZjAwZWRkMDYiLCJ1c2VySWQiOiIzNDc4MTQ2NTAifQ==</vt:lpwstr>
  </property>
</Properties>
</file>