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52"/>
        <w:jc w:val="center"/>
      </w:pPr>
      <w:r>
        <w:rPr>
          <w:rFonts w:ascii="Calibri" w:cs="Calibri" w:eastAsia="Calibri" w:hAnsi="Calibri"/>
          <w:b/>
          <w:bCs/>
          <w:color w:val="1F5C99"/>
          <w:sz w:val="16"/>
          <w:szCs w:val="16"/>
        </w:rPr>
        <w:t xml:space="preserve">PROJETOS EMPREENDEDORES – UNIVERSIDADE PRESBITERIANA MACKENZIE</w:t>
      </w:r>
    </w:p>
    <w:p>
      <w:pPr>
        <w:spacing w:after="20" w:before="0" w:line="252"/>
        <w:jc w:val="center"/>
      </w:pPr>
      <w:r>
        <w:rPr>
          <w:rFonts w:ascii="Calibri" w:cs="Calibri" w:eastAsia="Calibri" w:hAnsi="Calibri"/>
          <w:b/>
          <w:bCs/>
          <w:color w:val="1F5C99"/>
          <w:sz w:val="32"/>
          <w:szCs w:val="32"/>
        </w:rPr>
        <w:t xml:space="preserve">Ficha de Levantamento Financeiro</w:t>
      </w:r>
    </w:p>
    <w:p>
      <w:pPr>
        <w:spacing w:after="160" w:before="0" w:line="252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Receitas e despesas do projeto // atividade em sala</w:t>
      </w:r>
    </w:p>
    <w:p>
      <w:pPr>
        <w:spacing w:after="50" w:before="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Nome do negócio: </w:t>
      </w:r>
      <w:r>
        <w:rPr>
          <w:rFonts w:ascii="Calibri" w:cs="Calibri" w:eastAsia="Calibri" w:hAnsi="Calibri"/>
          <w:color w:val="1F3864"/>
          <w:sz w:val="20"/>
          <w:szCs w:val="20"/>
        </w:rPr>
        <w:t xml:space="preserve">Precept – inteligência de gestão para escritórios de advocacia</w:t>
      </w:r>
    </w:p>
    <w:p>
      <w:pPr>
        <w:spacing w:after="50" w:before="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Integrantes: </w:t>
      </w:r>
      <w:r>
        <w:rPr>
          <w:rFonts w:ascii="Calibri" w:cs="Calibri" w:eastAsia="Calibri" w:hAnsi="Calibri"/>
          <w:color w:val="1F3864"/>
          <w:sz w:val="20"/>
          <w:szCs w:val="20"/>
        </w:rPr>
        <w:t xml:space="preserve">_______________________________________________________________________________________</w:t>
      </w:r>
    </w:p>
    <w:p>
      <w:pPr>
        <w:spacing w:after="50" w:before="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Turma: </w:t>
      </w:r>
      <w:r>
        <w:rPr>
          <w:rFonts w:ascii="Calibri" w:cs="Calibri" w:eastAsia="Calibri" w:hAnsi="Calibri"/>
          <w:color w:val="1F3864"/>
          <w:sz w:val="20"/>
          <w:szCs w:val="20"/>
        </w:rPr>
        <w:t xml:space="preserve">_____________________          Data: ____/____/________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3EE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Como esta ficha foi preenchida</w:t>
            </w:r>
          </w:p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Valores de um MÊS TÍPICO de operação, em reais (R$). O mês típico é a média da fase de Estabilidade (meses 13 a 24).</w:t>
            </w:r>
          </w:p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A coluna “Fonte” indica de onde veio cada número: tabela pública, preço de fornecedor ou concorrente, ou hipótese declarada do grupo.</w:t>
            </w:r>
          </w:p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Os números são os mesmos digitados nas células cinzas da planilha financeira. O cálculo mês a mês está no arquivo Memória de Cálculo (abas Premissas e Projeção Mensal).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Na seção 5, cada fase mostra a média mensal. Na planilha, o mês a mês soma exatamente o mesmo total em cada fase.</w:t>
            </w:r>
          </w:p>
        </w:tc>
      </w:tr>
    </w:tbl>
    <w:p>
      <w:pPr>
        <w:keepNext/>
        <w:pBdr>
          <w:bottom w:val="single" w:color="1F5C99" w:sz="6" w:space="1"/>
        </w:pBdr>
        <w:spacing w:after="60" w:before="220" w:line="252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1. Receita (Vendas Brutas)</w:t>
      </w:r>
    </w:p>
    <w:p>
      <w:pPr>
        <w:keepNext/>
        <w:spacing w:after="70" w:before="0" w:line="252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Receita = preço de venda × quantidade vendida no mês. Liste cada produto ou serviço.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1150"/>
        <w:gridCol w:w="1500"/>
        <w:gridCol w:w="3056"/>
      </w:tblGrid>
      <w:tr>
        <w:trPr>
          <w:tblHeader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Produto / serviço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Preço unitário (R$)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Qtd. vendida por mês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Receita mensal (R$) = preço × qtd.</w:t>
            </w:r>
          </w:p>
        </w:tc>
        <w:tc>
          <w:tcPr>
            <w:tcW w:type="dxa" w:w="305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Fonte da estimativa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Precept Core – assinatura mensal (5 licenças incluídas)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1.996,00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2.344 ÷ 12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389.885,33</w:t>
            </w:r>
          </w:p>
        </w:tc>
        <w:tc>
          <w:tcPr>
            <w:tcW w:type="dxa" w:w="305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Preço único do grupo. Clientes pagantes no ano 2 (os demais estão no Core grátis do Sprint ou do Scale). Referência: ADVBOX até R$ 1.800/mês; Astrea até R$ 1.249/mês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Precept Sprint – planejamento estratégico e tático em 7 dias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9.997,00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54 ÷ 12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44.986,50</w:t>
            </w:r>
          </w:p>
        </w:tc>
        <w:tc>
          <w:tcPr>
            <w:tcW w:type="dxa" w:w="305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Preço do grupo; Pix ou cartão. 54 imersões no ano 2. Inclui 1 mês de Core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Precept Scale – implementação dos 6 pilares em 6 meses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29.997,00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11 ÷ 12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27.497,25</w:t>
            </w:r>
          </w:p>
        </w:tc>
        <w:tc>
          <w:tcPr>
            <w:tcW w:type="dxa" w:w="305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Preço proposto (3× o Sprint); Pix ou cartão. ~20% de quem faz o Sprint contrata (11 no ano 2). Inclui 3 meses de Core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6DCE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 DA RECEITA MENSAL (A)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6DCE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6DCE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462.369,08</w:t>
            </w:r>
          </w:p>
        </w:tc>
        <w:tc>
          <w:tcPr>
            <w:tcW w:type="dxa" w:w="305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6DCE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50" w:line="252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Mês típico: 202,6 clientes Core ativos, dos quais 195,3 pagantes; 20,7 clientes novos do Core por mês (248 no ano 2), 4,5 Sprints e 0,92 Scale por mês. Licenças extras (R$ 300/mês) não entram na conta, para simplificar.</w:t>
      </w:r>
    </w:p>
    <w:p>
      <w:pPr>
        <w:keepNext/>
        <w:pBdr>
          <w:bottom w:val="single" w:color="1F5C99" w:sz="6" w:space="1"/>
        </w:pBdr>
        <w:spacing w:after="60" w:before="220" w:line="252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2. Despesas Variáveis</w:t>
      </w:r>
    </w:p>
    <w:p>
      <w:pPr>
        <w:keepNext/>
        <w:spacing w:after="70" w:before="0" w:line="252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São custos que aumentam quando as vendas aumentam. Se vender zero, a despesa variável é zero. Calculado para o mesmo volume de vendas da seção 1.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1400"/>
        <w:gridCol w:w="3306"/>
      </w:tblGrid>
      <w:tr>
        <w:trPr>
          <w:tblHeader/>
        </w:trPr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Base de cálculo (R$ por unidade ou % da venda)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Valor mensal (R$)</w:t>
            </w:r>
          </w:p>
        </w:tc>
        <w:tc>
          <w:tcPr>
            <w:tcW w:type="dxa" w:w="3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Fonte da estimativa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Matéria-prima / insumos: tokens de IA e nuvem por cliente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R$ 90 por cliente ativo (202,6)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18.232,50</w:t>
            </w:r>
          </w:p>
        </w:tc>
        <w:tc>
          <w:tcPr>
            <w:tcW w:type="dxa" w:w="3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API Claude Sonnet 4.6: US$ 3 (entrada) e US$ 15 (saída) por milhão de tokens; ~3,5 mi de tokens/cliente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Embalagens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Não se aplica (produto digital)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0,00</w:t>
            </w:r>
          </w:p>
        </w:tc>
        <w:tc>
          <w:tcPr>
            <w:tcW w:type="dxa" w:w="3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Impostos sobre a venda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Simples Nacional, Anexo V (19,2% a 24,2%, com ISS à parte acima de R$ 3,6 mi); Lucro Presumido no mês 24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97.881,40</w:t>
            </w:r>
          </w:p>
        </w:tc>
        <w:tc>
          <w:tcPr>
            <w:tcW w:type="dxa" w:w="3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LC 123/2006 (Anexo V e sublimite de R$ 3,6 mi); Lei 9.249/1995 (presunção de 32%)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Taxas de cartão / aplicativos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2% da venda (Pix e boleto a R$ 1,99; cartão a partir de 2,99% + R$ 0,49)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9.247,38</w:t>
            </w:r>
          </w:p>
        </w:tc>
        <w:tc>
          <w:tcPr>
            <w:tcW w:type="dxa" w:w="3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Taxas do Asaas (asaas.com/precos-e-taxas); maioria via Pix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Comissões de venda e aquisição de clientes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R$ 1.000 por cliente novo do Core + 5% de Sprint e Scale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24.290,85</w:t>
            </w:r>
          </w:p>
        </w:tc>
        <w:tc>
          <w:tcPr>
            <w:tcW w:type="dxa" w:w="3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Mídia paga e parceiros (contadores, associações): CAC de ~R$ 1.000 por escritório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Frete / entrega: deslocamento até o cliente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R$ 600 por Sprint + R$ 1.200 por Scale (6 visitas de R$ 200)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3.800,00</w:t>
            </w:r>
          </w:p>
        </w:tc>
        <w:tc>
          <w:tcPr>
            <w:tcW w:type="dxa" w:w="3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Transporte e alimentação na Grande SP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Especialistas na entrega do Sprint e do Scale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35% da receita de Sprint + Scale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25.369,31</w:t>
            </w:r>
          </w:p>
        </w:tc>
        <w:tc>
          <w:tcPr>
            <w:tcW w:type="dxa" w:w="3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Hipótese: gestores experientes pagos por projeto (diferencial do pitch)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Suporte e sucesso do cliente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R$ 150 por cliente ativo (1 analista para cada 50 escritórios)</w:t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30.387,50</w:t>
            </w:r>
          </w:p>
        </w:tc>
        <w:tc>
          <w:tcPr>
            <w:tcW w:type="dxa" w:w="3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Analista de suporte ≈ R$ 4.500 + encargos ≈ R$ 7.500/mês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6DCE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 DAS DESPESAS VARIÁVEIS (B)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6DCE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209.208,95</w:t>
            </w:r>
          </w:p>
        </w:tc>
        <w:tc>
          <w:tcPr>
            <w:tcW w:type="dxa" w:w="33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6DCE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80" w:line="25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Despesa variável como % da receita = (B) ÷ (A) × 100 = 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45,2%</w:t>
      </w:r>
    </w:p>
    <w:p>
      <w:pPr>
        <w:spacing w:after="40" w:before="50" w:line="252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Esse % muda por fase: no Início pesa mais o custo de aquisição dos clientes novos; depois, pesa a alíquota de imposto, que sobe com o faturamento. Início 52,2% · Crescimento 45,1% · Estabilidade 45,2%. A planilha calcula isso mês a mês.</w:t>
      </w:r>
    </w:p>
    <w:p>
      <w:pPr>
        <w:keepNext/>
        <w:pBdr>
          <w:bottom w:val="single" w:color="1F5C99" w:sz="6" w:space="1"/>
        </w:pBdr>
        <w:spacing w:after="60" w:before="220" w:line="252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3. Despesas Fixas</w:t>
      </w:r>
    </w:p>
    <w:p>
      <w:pPr>
        <w:keepNext/>
        <w:spacing w:after="70" w:before="0" w:line="252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São custos que existem mesmo que a empresa não venda nada no mês.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5106"/>
      </w:tblGrid>
      <w:tr>
        <w:trPr>
          <w:tblHeader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Valor mensal (R$)</w:t>
            </w:r>
          </w:p>
        </w:tc>
        <w:tc>
          <w:tcPr>
            <w:tcW w:type="dxa" w:w="5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Fonte da estimativa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Aluguel e condomínio (escritório virtual)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150,00</w:t>
            </w:r>
          </w:p>
        </w:tc>
        <w:tc>
          <w:tcPr>
            <w:tcW w:type="dxa" w:w="5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Endereço fiscal com sala de reunião sob demanda: a partir de R$ 80/mês na Av. Paulista (Company Hero)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Salários + encargos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0,00</w:t>
            </w:r>
          </w:p>
        </w:tc>
        <w:tc>
          <w:tcPr>
            <w:tcW w:type="dxa" w:w="5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Sem CLT fixo: o suporte cresce com a base e está nas despesas variáveis; o dev é PJ (linha abaixo)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Pró-labore dos sócios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113.280,43</w:t>
            </w:r>
          </w:p>
        </w:tc>
        <w:tc>
          <w:tcPr>
            <w:tcW w:type="dxa" w:w="5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7 sócios × 3,5% da receita bruta (24,5% no total), a partir do mês 4. Média de R$ 16.182 por sócio no ano 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Contador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400,00</w:t>
            </w:r>
          </w:p>
        </w:tc>
        <w:tc>
          <w:tcPr>
            <w:tcW w:type="dxa" w:w="5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Contabilidade online para serviços: R$ 120–400/mês (contabilidade.com, 2026)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Energia, água, gás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0,00</w:t>
            </w:r>
          </w:p>
        </w:tc>
        <w:tc>
          <w:tcPr>
            <w:tcW w:type="dxa" w:w="5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Equipe remota, sem sede física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Internet e telefone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200,00</w:t>
            </w:r>
          </w:p>
        </w:tc>
        <w:tc>
          <w:tcPr>
            <w:tcW w:type="dxa" w:w="5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2 linhas corporativas + WhatsApp Business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Marketing / redes sociais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3.500,00</w:t>
            </w:r>
          </w:p>
        </w:tc>
        <w:tc>
          <w:tcPr>
            <w:tcW w:type="dxa" w:w="5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Marca e conteúdo (LinkedIn, Instagram, eventos). A mídia paga por cliente novo está nas despesas variáveis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Softwares e assinaturas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1.500,00</w:t>
            </w:r>
          </w:p>
        </w:tc>
        <w:tc>
          <w:tcPr>
            <w:tcW w:type="dxa" w:w="5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Google Workspace (7 contas), CRM, IA para desenvolvimento, design e assinatura eletrônica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Desenvolvedor auxiliar PJ (meio período, 20 h/semana)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5.000,00</w:t>
            </w:r>
          </w:p>
        </w:tc>
        <w:tc>
          <w:tcPr>
            <w:tcW w:type="dxa" w:w="5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Metade da faixa de dev pleno PJ: R$ 10–18 mil/mês (Jobrise 2026; Robert Half: mediana de R$ 12 mil)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Nuvem, banco de dados e segurança (base fixa)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1.250,00</w:t>
            </w:r>
          </w:p>
        </w:tc>
        <w:tc>
          <w:tcPr>
            <w:tcW w:type="dxa" w:w="5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Hospedagem, backups e monitoramento (o consumo por cliente fica nas variáveis)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6DCE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 DAS DESPESAS FIXAS (C)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125.280,43</w:t>
            </w:r>
          </w:p>
        </w:tc>
        <w:tc>
          <w:tcPr>
            <w:tcW w:type="dxa" w:w="51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6DCE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50" w:line="252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Sem a retirada dos sócios, a despesa fixa é de R$ 12.000/mês. É o que a Precept gasta com receita zero, e é a base do cálculo do runway.</w:t>
      </w:r>
    </w:p>
    <w:p>
      <w:pPr>
        <w:keepNext/>
        <w:pBdr>
          <w:bottom w:val="single" w:color="1F5C99" w:sz="6" w:space="1"/>
        </w:pBdr>
        <w:spacing w:after="60" w:before="220" w:line="252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4. Investimento Inicial (Período 0)</w:t>
      </w:r>
    </w:p>
    <w:p>
      <w:pPr>
        <w:keepNext/>
        <w:spacing w:after="70" w:before="0" w:line="252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Gastos feitos uma única vez, antes de começar a vender. Necessário para calcular VPL e TIR.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806"/>
      </w:tblGrid>
      <w:tr>
        <w:trPr>
          <w:tblHeader/>
        </w:trPr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Valor (R$)</w:t>
            </w:r>
          </w:p>
        </w:tc>
        <w:tc>
          <w:tcPr>
            <w:tcW w:type="dxa" w:w="4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Fonte da estimativa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Máquinas e equipamentos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12.000,00</w:t>
            </w:r>
          </w:p>
        </w:tc>
        <w:tc>
          <w:tcPr>
            <w:tcW w:type="dxa" w:w="4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2 notebooks de desenvolvimento (~R$ 5.500 cada) + monitor e periféricos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Móveis e utensílios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0,00</w:t>
            </w:r>
          </w:p>
        </w:tc>
        <w:tc>
          <w:tcPr>
            <w:tcW w:type="dxa" w:w="4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Não se aplica: equipe remota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Reforma / instalação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0,00</w:t>
            </w:r>
          </w:p>
        </w:tc>
        <w:tc>
          <w:tcPr>
            <w:tcW w:type="dxa" w:w="4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Não se aplica: sem sede física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Abertura da empresa e licenças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2.500,00</w:t>
            </w:r>
          </w:p>
        </w:tc>
        <w:tc>
          <w:tcPr>
            <w:tcW w:type="dxa" w:w="4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JUCESP R$ 132,55; e-CNPJ ~R$ 200; taxas municipais; marca no INPI a R$ 440 por classe (2 classes, desconto de ME)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Estoque inicial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0,00</w:t>
            </w:r>
          </w:p>
        </w:tc>
        <w:tc>
          <w:tcPr>
            <w:tcW w:type="dxa" w:w="4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Não se aplica: serviço digital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Desenvolvimento do MVP (sócios + 2 devs PJ por 3 meses)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57.000,00</w:t>
            </w:r>
          </w:p>
        </w:tc>
        <w:tc>
          <w:tcPr>
            <w:tcW w:type="dxa" w:w="4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Dev pleno R$ 10 mil + dev júnior R$ 6 mil por mês × 3 = R$ 48 mil; UX/UI R$ 6 mil; IA e nuvem R$ 3 mil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Jurídico/LGPD, segurança, marca visual, site e pré-lançamento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30.500,00</w:t>
            </w:r>
          </w:p>
        </w:tc>
        <w:tc>
          <w:tcPr>
            <w:tcW w:type="dxa" w:w="4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Contratos, termos de uso, LGPD e cessão de PI R$ 10 mil; teste de segurança R$ 5 mil; identidade e site R$ 5,5 mil; lançamento R$ 10 mil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6DCE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 DO INVESTIMENTO INICIAL (D)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102.000,00</w:t>
            </w:r>
          </w:p>
        </w:tc>
        <w:tc>
          <w:tcPr>
            <w:tcW w:type="dxa" w:w="4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6DCE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50" w:line="252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Capital inicial dos sócios: R$ 150.000. Depois do investimento, sobram R$ 48.000 = 4,0 meses de despesa fixa sem nenhuma receita (o runway do pitch).</w:t>
      </w:r>
    </w:p>
    <w:p>
      <w:pPr>
        <w:keepNext/>
        <w:pBdr>
          <w:bottom w:val="single" w:color="1F5C99" w:sz="6" w:space="1"/>
        </w:pBdr>
        <w:spacing w:after="60" w:before="220" w:line="252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5. Quadro-Resumo para a Planilha (aba Fluxo de Caixa)</w:t>
      </w:r>
    </w:p>
    <w:p>
      <w:pPr>
        <w:keepNext/>
        <w:spacing w:after="70" w:before="0" w:line="252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As vendas raramente começam no nível máximo. Receita mensal média de cada fase. Despesa fixa = total (C), mas muda por fase porque a retirada dos sócios começa no mês 4 e acompanha a receita.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800"/>
        <w:gridCol w:w="1800"/>
        <w:gridCol w:w="1700"/>
        <w:gridCol w:w="1806"/>
      </w:tblGrid>
      <w:tr>
        <w:trPr>
          <w:tblHeader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Períodos (meses)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Vendas Brutas por mês (R$)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Despesas Variáveis por mês (R$)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Despesas Fixas por mês (R$)</w:t>
            </w:r>
          </w:p>
        </w:tc>
        <w:tc>
          <w:tcPr>
            <w:tcW w:type="dxa" w:w="1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Investimentos (R$)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Antes de abrir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0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0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0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0</w:t>
            </w:r>
          </w:p>
        </w:tc>
        <w:tc>
          <w:tcPr>
            <w:tcW w:type="dxa" w:w="1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(D) = 102.000,00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Início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1 a 6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52.246,67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27.272,75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22.681,35</w:t>
            </w:r>
          </w:p>
        </w:tc>
        <w:tc>
          <w:tcPr>
            <w:tcW w:type="dxa" w:w="1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Crescimento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7 a 12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188.007,83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84.735,86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58.061,92</w:t>
            </w:r>
          </w:p>
        </w:tc>
        <w:tc>
          <w:tcPr>
            <w:tcW w:type="dxa" w:w="1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Estabilidade</w:t>
            </w:r>
          </w:p>
        </w:tc>
        <w:tc>
          <w:tcPr>
            <w:tcW w:type="dxa" w:w="1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13 a 24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462.369,08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209.208,95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125.280,43</w:t>
            </w:r>
          </w:p>
        </w:tc>
        <w:tc>
          <w:tcPr>
            <w:tcW w:type="dxa" w:w="18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0</w:t>
            </w:r>
          </w:p>
        </w:tc>
      </w:tr>
    </w:tbl>
    <w:p>
      <w:pPr>
        <w:spacing w:after="30" w:before="100" w:line="25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Justificativa das fases (por que as vendas mudam?):</w:t>
      </w:r>
    </w:p>
    <w:p>
      <w:pPr>
        <w:spacing w:after="40" w:before="0" w:line="252"/>
      </w:pPr>
      <w:r>
        <w:rPr>
          <w:rFonts w:ascii="Calibri" w:cs="Calibri" w:eastAsia="Calibri" w:hAnsi="Calibri"/>
          <w:color w:val="1F3864"/>
          <w:sz w:val="17"/>
          <w:szCs w:val="17"/>
        </w:rPr>
        <w:t xml:space="preserve">Início (1–6): as vendas do Core começam em escada, com 3, 5, 7 e 10 clientes novos nos meses 1 a 4, e a base chega a 45 clientes no mês 6. O 1º Sprint sai no mês 4 e o 1º Scale no mês 6. O break-even chega no mês 3. Crescimento (7–12): as vendas passam a crescer 5% ao mês (de 11 para 15 clientes novos por mês) e a base vai de 56 para 111 clientes, cerca de 20% do beachhead (546 escritórios previdenciários da Grande SP). Estabilidade (13–24): de 16 para 27 clientes novos por mês; a base vai de 124 para 292 clientes, cerca de 7,5% do SAM (3.900 escritórios do perfil em SP). No ano 2, parte das vendas vem de outras áreas do direito em SP. Churn de 3% ao mês.</w:t>
      </w:r>
    </w:p>
    <w:p>
      <w:pPr>
        <w:keepNext/>
        <w:pBdr>
          <w:bottom w:val="single" w:color="1F5C99" w:sz="6" w:space="1"/>
        </w:pBdr>
        <w:spacing w:after="60" w:before="220" w:line="252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6. Taxa de Desconto (TMA)</w:t>
      </w:r>
    </w:p>
    <w:p>
      <w:pPr>
        <w:keepNext/>
        <w:spacing w:after="70" w:before="0" w:line="252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Retorno mínimo que o grupo exige do projeto. Referência: rendimento de uma aplicação segura (Selic/CDI) + um prêmio pelo risco do negócio.</w:t>
      </w:r>
    </w:p>
    <w:p>
      <w:pPr>
        <w:spacing w:after="40" w:before="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Taxa anual definida pelo grupo: 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24 % ao ano</w:t>
      </w:r>
    </w:p>
    <w:p>
      <w:pPr>
        <w:spacing w:after="40" w:before="0" w:line="25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Justificativa: </w:t>
      </w:r>
      <w:r>
        <w:rPr>
          <w:rFonts w:ascii="Calibri" w:cs="Calibri" w:eastAsia="Calibri" w:hAnsi="Calibri"/>
          <w:color w:val="1F3864"/>
          <w:sz w:val="17"/>
          <w:szCs w:val="17"/>
        </w:rPr>
        <w:t xml:space="preserve">CDI de ~13,65% (Selic de 13,75%, Copom de 16/09/2026) + 10,35 p.p. de prêmio. A Precept é um produto novo num mercado já validado por benchmarks: ADVBOX (+5 mil escritórios, planos até R$ 1.800/mês), G4 Educação (R$ 509 mi/ano com gestão para PMEs) e AB2L (+600 lawtechs). Como ainda não há vendas, fica no topo da faixa Moderada (20–24%), no limite com a Alta.</w:t>
      </w:r>
    </w:p>
    <w:p>
      <w:pPr>
        <w:keepNext/>
        <w:pBdr>
          <w:bottom w:val="single" w:color="1F5C99" w:sz="6" w:space="1"/>
        </w:pBdr>
        <w:spacing w:after="60" w:before="220" w:line="252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Resultados na planilha (aba VPL e TIR)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4706"/>
      </w:tblGrid>
      <w:tr>
        <w:trPr>
          <w:tblHeader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type="dxa" w:w="4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5C9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Leitura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VPL a 24% a.a.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R$ 1.220.849,22</w:t>
            </w:r>
          </w:p>
        </w:tc>
        <w:tc>
          <w:tcPr>
            <w:tcW w:type="dxa" w:w="4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Viável: gera R$ 1.197 de valor para cada R$ 100 investidos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TIR equivalente ao ano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758,8% a.a.</w:t>
            </w:r>
          </w:p>
        </w:tc>
        <w:tc>
          <w:tcPr>
            <w:tcW w:type="dxa" w:w="4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Bem acima da TMA de 24%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Break-even operacional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Mês 3</w:t>
            </w:r>
          </w:p>
        </w:tc>
        <w:tc>
          <w:tcPr>
            <w:tcW w:type="dxa" w:w="4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Antes do pitch (6 a 7 meses): a escada de vendas antecipa o equilíbrio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Runway sem receita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4,0 meses</w:t>
            </w:r>
          </w:p>
        </w:tc>
        <w:tc>
          <w:tcPr>
            <w:tcW w:type="dxa" w:w="4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Bate com o pitch (4 meses)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Payback simples / descontado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Mês 9 / mês 10</w:t>
            </w:r>
          </w:p>
        </w:tc>
        <w:tc>
          <w:tcPr>
            <w:tcW w:type="dxa" w:w="4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Investimento recuperado no 1º ano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Necessidade máxima de caixa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R$ 118.526,30</w:t>
            </w:r>
          </w:p>
        </w:tc>
        <w:tc>
          <w:tcPr>
            <w:tcW w:type="dxa" w:w="4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Cabe nos R$ 150 mil, com folga de R$ 31.473,70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VPL a 20% / 29% / 33% a.a.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R$ 1.286,1 mil / 1.146,5 mil / 1.092,2 mil</w:t>
            </w:r>
          </w:p>
        </w:tc>
        <w:tc>
          <w:tcPr>
            <w:tcW w:type="dxa" w:w="4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color w:val="1F3864"/>
                <w:sz w:val="17"/>
                <w:szCs w:val="17"/>
              </w:rPr>
              <w:t xml:space="preserve">Continua viável em todas as faixas de risco</w:t>
            </w:r>
          </w:p>
        </w:tc>
      </w:tr>
    </w:tbl>
    <w:p>
      <w:pPr>
        <w:keepNext/>
        <w:pBdr>
          <w:bottom w:val="single" w:color="1F5C99" w:sz="6" w:space="1"/>
        </w:pBdr>
        <w:spacing w:after="60" w:before="220" w:line="252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Antes de entregar, confira</w:t>
      </w:r>
    </w:p>
    <w:p>
      <w:pPr>
        <w:pStyle w:val="ListParagraph"/>
        <w:numPr>
          <w:ilvl w:val="0"/>
          <w:numId w:val="2"/>
        </w:numPr>
        <w:spacing w:after="30" w:before="0" w:line="252"/>
      </w:pPr>
      <w:r>
        <w:rPr>
          <w:rFonts w:ascii="Calibri" w:cs="Calibri" w:eastAsia="Calibri" w:hAnsi="Calibri"/>
          <w:sz w:val="18"/>
          <w:szCs w:val="18"/>
        </w:rPr>
        <w:t xml:space="preserve">Todo valor está em R$ por mês (exceto o investimento inicial). </w:t>
      </w:r>
      <w:r>
        <w:rPr>
          <w:rFonts w:ascii="Calibri" w:cs="Calibri" w:eastAsia="Calibri" w:hAnsi="Calibri"/>
          <w:i/>
          <w:iCs/>
          <w:color w:val="1F3864"/>
          <w:sz w:val="17"/>
          <w:szCs w:val="17"/>
        </w:rPr>
        <w:t xml:space="preserve">Conferido.</w:t>
      </w:r>
    </w:p>
    <w:p>
      <w:pPr>
        <w:pStyle w:val="ListParagraph"/>
        <w:numPr>
          <w:ilvl w:val="0"/>
          <w:numId w:val="2"/>
        </w:numPr>
        <w:spacing w:after="30" w:before="0" w:line="252"/>
      </w:pPr>
      <w:r>
        <w:rPr>
          <w:rFonts w:ascii="Calibri" w:cs="Calibri" w:eastAsia="Calibri" w:hAnsi="Calibri"/>
          <w:sz w:val="18"/>
          <w:szCs w:val="18"/>
        </w:rPr>
        <w:t xml:space="preserve">Nenhuma despesa aparece duas vezes. </w:t>
      </w:r>
      <w:r>
        <w:rPr>
          <w:rFonts w:ascii="Calibri" w:cs="Calibri" w:eastAsia="Calibri" w:hAnsi="Calibri"/>
          <w:i/>
          <w:iCs/>
          <w:color w:val="1F3864"/>
          <w:sz w:val="17"/>
          <w:szCs w:val="17"/>
        </w:rPr>
        <w:t xml:space="preserve">Conferido: os devs do MVP estão no investimento e o dev de manutenção nas fixas; a nuvem base está nas fixas e o consumo por cliente nas variáveis.</w:t>
      </w:r>
    </w:p>
    <w:p>
      <w:pPr>
        <w:pStyle w:val="ListParagraph"/>
        <w:numPr>
          <w:ilvl w:val="0"/>
          <w:numId w:val="2"/>
        </w:numPr>
        <w:spacing w:after="30" w:before="0" w:line="252"/>
      </w:pPr>
      <w:r>
        <w:rPr>
          <w:rFonts w:ascii="Calibri" w:cs="Calibri" w:eastAsia="Calibri" w:hAnsi="Calibri"/>
          <w:sz w:val="18"/>
          <w:szCs w:val="18"/>
        </w:rPr>
        <w:t xml:space="preserve">A despesa variável acompanha o volume de vendas de cada fase. </w:t>
      </w:r>
      <w:r>
        <w:rPr>
          <w:rFonts w:ascii="Calibri" w:cs="Calibri" w:eastAsia="Calibri" w:hAnsi="Calibri"/>
          <w:i/>
          <w:iCs/>
          <w:color w:val="1F3864"/>
          <w:sz w:val="17"/>
          <w:szCs w:val="17"/>
        </w:rPr>
        <w:t xml:space="preserve">Conferido: calculada mês a mês (arquivo Memória de Cálculo, aba Projeção Mensal).</w:t>
      </w:r>
    </w:p>
    <w:p>
      <w:pPr>
        <w:pStyle w:val="ListParagraph"/>
        <w:numPr>
          <w:ilvl w:val="0"/>
          <w:numId w:val="2"/>
        </w:numPr>
        <w:spacing w:after="30" w:before="0" w:line="252"/>
      </w:pPr>
      <w:r>
        <w:rPr>
          <w:rFonts w:ascii="Calibri" w:cs="Calibri" w:eastAsia="Calibri" w:hAnsi="Calibri"/>
          <w:sz w:val="18"/>
          <w:szCs w:val="18"/>
        </w:rPr>
        <w:t xml:space="preserve">Todos os números têm fonte indicada. </w:t>
      </w:r>
      <w:r>
        <w:rPr>
          <w:rFonts w:ascii="Calibri" w:cs="Calibri" w:eastAsia="Calibri" w:hAnsi="Calibri"/>
          <w:i/>
          <w:iCs/>
          <w:color w:val="1F3864"/>
          <w:sz w:val="17"/>
          <w:szCs w:val="17"/>
        </w:rPr>
        <w:t xml:space="preserve">Conferido: os volumes de clientes, Sprints e Scales são hipóteses declaradas do grupo.</w:t>
      </w:r>
    </w:p>
    <w:sectPr>
      <w:footerReference w:type="default" r:id="rId7"/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7"/>
        <w:szCs w:val="17"/>
      </w:rPr>
      <w:t xml:space="preserve">Ficha de Levantamento Financeiro – Projetos Empreendedores – página </w:t>
    </w:r>
    <w:r>
      <w:rPr>
        <w:rFonts w:ascii="Calibri" w:cs="Calibri" w:eastAsia="Calibri" w:hAnsi="Calibri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Levantamento Financeiro – Precept</dc:title>
  <dc:creator>Equipe Precept</dc:creator>
  <cp:lastModifiedBy>Un-named</cp:lastModifiedBy>
  <cp:revision>1</cp:revision>
  <dcterms:created xsi:type="dcterms:W3CDTF">2026-10-21T00:48:54.757Z</dcterms:created>
  <dcterms:modified xsi:type="dcterms:W3CDTF">2026-10-21T00:48:54.757Z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