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90"/>
        <w:jc w:val="left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PRECEPT</w:t>
      </w:r>
    </w:p>
    <w:p>
      <w:pPr>
        <w:spacing w:after="40" w:before="0" w:line="290"/>
        <w:jc w:val="left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Pesquisa de mercado: beachhead, TAM, SAM e SOM</w:t>
      </w:r>
    </w:p>
    <w:p>
      <w:pPr>
        <w:spacing w:after="200" w:before="0" w:line="29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Projetos Empreendedores 2026/2 · Universidade Presbiteriana Mackenzie · outubro de 2026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Resumo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tamanho do mercado foi calculado de baixo para cima, a partir do número de advogados no Brasil, e convertido em receita pela assinatura do Precept Core (R$ 1.996 por mês, R$ 23.952 por ano). Sprint e Scale ficam de fora do tamanho de mercado porque são receitas pontuais.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9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1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Escritórios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potencial (Core)</w:t>
            </w:r>
          </w:p>
        </w:tc>
        <w:tc>
          <w:tcPr>
            <w:tcW w:type="dxa" w:w="3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TAM</w:t>
            </w:r>
          </w:p>
        </w:tc>
        <w:tc>
          <w:tcPr>
            <w:tcW w:type="dxa" w:w="1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15.600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R$ 373,7 mi/ano</w:t>
            </w:r>
          </w:p>
        </w:tc>
        <w:tc>
          <w:tcPr>
            <w:tcW w:type="dxa" w:w="3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Escritórios de advocacia com faturamento de R$ 1 a 10 mi/ano no Brasil, de qualquer área.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SAM</w:t>
            </w:r>
          </w:p>
        </w:tc>
        <w:tc>
          <w:tcPr>
            <w:tcW w:type="dxa" w:w="1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3.900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R$ 93,4 mi/ano</w:t>
            </w:r>
          </w:p>
        </w:tc>
        <w:tc>
          <w:tcPr>
            <w:tcW w:type="dxa" w:w="3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Mesmo perfil no estado de São Paulo, onde a Precept consegue vender e entregar Sprint e Scale presencialmente nos dois primeiros anos.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Beachhead</w:t>
            </w:r>
          </w:p>
        </w:tc>
        <w:tc>
          <w:tcPr>
            <w:tcW w:type="dxa" w:w="1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546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R$ 13,1 mi/ano</w:t>
            </w:r>
          </w:p>
        </w:tc>
        <w:tc>
          <w:tcPr>
            <w:tcW w:type="dxa" w:w="3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Escritórios de direito previdenciário da Grande São Paulo com faturamento de R$ 1 a 10 mi/ano e sócio-fundador na operação.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SOM (mês 24)</w:t>
            </w:r>
          </w:p>
        </w:tc>
        <w:tc>
          <w:tcPr>
            <w:tcW w:type="dxa" w:w="15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292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R$ 6,8 mi/ano</w:t>
            </w:r>
          </w:p>
        </w:tc>
        <w:tc>
          <w:tcPr>
            <w:tcW w:type="dxa" w:w="3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Clientes Core ativos no mês 24 do modelo financeiro (receita recorrente anualizada dos clientes pagantes).</w:t>
            </w:r>
          </w:p>
        </w:tc>
      </w:tr>
    </w:tbl>
    <w:p>
      <w:pPr>
        <w:spacing w:after="60"/>
      </w:pPr>
    </w:p>
    <w:p>
      <w:pPr>
        <w:spacing w:after="110" w:before="0" w:line="290"/>
        <w:jc w:val="both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Leitura: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 SOM de 292 escritórios equivale a 7,5% do SAM e 1,9% do TAM. Em relação ao beachhead, porém, são 53% dos escritórios. Conquistar mais da metade de um nicho em dois anos é agressivo, então o plano precisa vender fora do beachhead no ano 2 (outras áreas do direito em São Paulo). Esse é o caminho de expansão descrito no planejamento.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O beachhead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beachhead é o primeiro mercado em que a Precept quer ser dominante antes de expandir (Aulet, Empreendedorismo Disciplinado, passos 1 e 2). O recorte é o que o pitch já apresenta como mercado inicial: escritórios de direito previdenciário da Grande São Paulo, com faturamento de R$ 1 a 10 mi por 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do beachhead</w:t>
            </w:r>
          </w:p>
        </w:tc>
        <w:tc>
          <w:tcPr>
            <w:tcW w:type="dxa" w:w="6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o previdenciário da Grande SP atende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 clientes compram produtos parecidos</w:t>
            </w:r>
          </w:p>
        </w:tc>
        <w:tc>
          <w:tcPr>
            <w:tcW w:type="dxa" w:w="6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Escritórios desse porte já pagam software jurídico (ADVBOX tem mais de 5 mil escritórios; Astrea cobra de R$ 209 a R$ 1.249/mês), agência de marketing e consultoria.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Têm o mesmo ciclo de venda e a mesma expectativa de valor</w:t>
            </w:r>
          </w:p>
        </w:tc>
        <w:tc>
          <w:tcPr>
            <w:tcW w:type="dxa" w:w="6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Quem decide é sempre o sócio-fundador, que acumula advogar, vender e gerir. Ciclo curto, decisão numa conversa.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Conversam entre si e se indicam</w:t>
            </w:r>
          </w:p>
        </w:tc>
        <w:tc>
          <w:tcPr>
            <w:tcW w:type="dxa" w:w="6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 previdenciário é uma comunidade densa, com associações, eventos e grupos de troca. A indicação é o canal mais barato que a regulação da OAB permite.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dor é forte e repetitiva</w:t>
            </w:r>
          </w:p>
        </w:tc>
        <w:tc>
          <w:tcPr>
            <w:tcW w:type="dxa" w:w="66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Alto volume de processos parecidos, honorário de êxito como receita incerta e operação que depende do sócio. Só 18% dos escritórios pesquisados em SP e RJ têm planejamento estratégico, e 5% têm plano de negócios (Legal Strategy, 154 escritórios).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Método e dados de entrada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conta é: advogados no Brasil × % que atua em escritórios de R$ 1 a 10 mi ÷ advogados por escritório = escritórios do TAM. Depois aplicam-se os recortes geográfico (SAM) e de área (beachhead). Cada dado tem fonte ou está marcado como hipótese a confirmar.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3538"/>
        <w:gridCol w:w="1400"/>
      </w:tblGrid>
      <w:tr>
        <w:trPr>
          <w:tblHeader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central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Advogados inscritos na OAB no Brasil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1,3 milhão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Migalhas, “Sociedades de advogados: profissionalização e papel da OAB”; OAB Nacional (2025)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 fonte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dos advogados em escritórios de R$ 1 a 10 mi/ano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12%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Coerente com mais de 35 mil sociedades de advogados já em 2015 (OAB/Migalhas), a maioria pequena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Advogados por escritório nessa faixa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Faixa do ICP: 4 a 40 advogados, com R$ 150 a 300 mil de faturamento por advogado ao ano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dos advogados no estado de SP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25%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confirmar no Quadro de Advogados da OAB. Em 2025 a OAB SP teve alta de 12% nos registros de sociedades (Jornal da Advocacia)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do estado na Grande SP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70%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Concentração da advocacia na capital e região metropolitana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de escritórios com foco previdenciário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20%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Uma das maiores áreas de volume da advocacia (litígios contra o INSS)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Receita anual por cliente</w:t>
            </w:r>
          </w:p>
        </w:tc>
        <w:tc>
          <w:tcPr>
            <w:tcW w:type="dxa" w:w="1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R$ 23.952</w:t>
            </w:r>
          </w:p>
        </w:tc>
        <w:tc>
          <w:tcPr>
            <w:tcW w:type="dxa" w:w="35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Assinatura do Precept Core: R$ 1.996 × 12 meses</w:t>
            </w:r>
          </w:p>
        </w:tc>
        <w:tc>
          <w:tcPr>
            <w:tcW w:type="dxa" w:w="14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Decisão do grupo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Resultado com faixa de incerteza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Como cinco dos sete dados são hipóteses, o tamanho do mercado vai de um cenário pessimista a um otimista. A planilha Memória de Cálculo (aba Mercado TAM SAM SOM) recalcula tudo quando os dados forem confirmados.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46"/>
        <w:gridCol w:w="2446"/>
        <w:gridCol w:w="2446"/>
      </w:tblGrid>
      <w:tr>
        <w:trPr>
          <w:tblHeader/>
        </w:trPr>
        <w:tc>
          <w:tcPr>
            <w:tcW w:type="dxa" w:w="2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Pessimista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Otimista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Premissas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8% · 12 adv. · SP 22% · prev. 15%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12% · 10 adv. · SP 25% · prev. 20%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15% · 8 adv. · SP 28% · prev. 25%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TAM (escritórios)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8.667 · R$ 207,6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15.600 · R$ 373,7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24.375 · R$ 583,8 mi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SAM (escritórios)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1.907 · R$ 45,7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3.900 · R$ 93,4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6.825 · R$ 163,5 mi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Beachhead (escritórios)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186 · R$ 4,5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546 · R$ 13,1 mi</w:t>
            </w:r>
          </w:p>
        </w:tc>
        <w:tc>
          <w:tcPr>
            <w:tcW w:type="dxa" w:w="2446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1.280 · R$ 30,7 mi</w:t>
            </w:r>
          </w:p>
        </w:tc>
      </w:tr>
    </w:tbl>
    <w:p>
      <w:pPr>
        <w:spacing w:after="60"/>
      </w:pPr>
    </w:p>
    <w:p>
      <w:pPr>
        <w:spacing w:after="110" w:before="0" w:line="290"/>
        <w:jc w:val="both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Ponto de atenção: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 cenário pessimista, o beachhead tem só 186 escritórios, menos que os 292 clientes do SOM. Se a confirmação dos dados apontar para esse lado, a expansão para outras áreas precisa começar já no primeiro ano.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O SOM e a escada de vendas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SOM vem direto do modelo financeiro. As vendas do Core começam em escada (3, 5, 7 e 10 clientes novos nos meses 1 a 4) e depois crescem a uma taxa mensal constante. Com churn de 3% ao mês, a base de clientes no mês 24 depende dessa taxa: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938"/>
      </w:tblGrid>
      <w:tr>
        <w:trPr>
          <w:tblHeader/>
        </w:trPr>
        <w:tc>
          <w:tcPr>
            <w:tcW w:type="dxa" w:w="2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Crescimento das vendas após o mês 4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 no mês 12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Clientes no mês 24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recorrente no mês 24</w:t>
            </w:r>
          </w:p>
        </w:tc>
        <w:tc>
          <w:tcPr>
            <w:tcW w:type="dxa" w:w="1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VPL (TMA de 24%)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0% ao mês (10 por mês)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91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165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R$ 3,8 mi/ano</w:t>
            </w:r>
          </w:p>
        </w:tc>
        <w:tc>
          <w:tcPr>
            <w:tcW w:type="dxa" w:w="1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R$ 0,8 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3% ao mês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103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231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R$ 5,4 mi/ano</w:t>
            </w:r>
          </w:p>
        </w:tc>
        <w:tc>
          <w:tcPr>
            <w:tcW w:type="dxa" w:w="1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R$ 1,0 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5% ao mês (adotado)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111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292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R$ 6,8 mi/ano</w:t>
            </w:r>
          </w:p>
        </w:tc>
        <w:tc>
          <w:tcPr>
            <w:tcW w:type="dxa" w:w="1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R$ 1,2 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8% ao mês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127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419</w:t>
            </w:r>
          </w:p>
        </w:tc>
        <w:tc>
          <w:tcPr>
            <w:tcW w:type="dxa" w:w="1900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R$ 9,9 mi/ano</w:t>
            </w:r>
          </w:p>
        </w:tc>
        <w:tc>
          <w:tcPr>
            <w:tcW w:type="dxa" w:w="1938"/>
            <w:tcBorders>
              <w:top w:val="single" w:color="9AA3B5" w:sz="4"/>
              <w:left w:val="single" w:color="9AA3B5" w:sz="4"/>
              <w:bottom w:val="single" w:color="9AA3B5" w:sz="4"/>
              <w:right w:val="single" w:color="9AA3B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R$ 1,6 mi</w:t>
            </w:r>
          </w:p>
        </w:tc>
      </w:tr>
    </w:tbl>
    <w:p>
      <w:pPr>
        <w:spacing w:after="60"/>
      </w:pPr>
    </w:p>
    <w:p>
      <w:pPr>
        <w:spacing w:after="110" w:before="0" w:line="29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 a taxa adotada de 5% ao mês, a Precept chega a 111 clientes no mês 12 (20% do beachhead central) e a 292 no mês 24 (7,5% do SAM). Mesmo sem crescimento depois do mês 4 (10 clientes novos por mês), o VPL continua positivo.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Evidências de que o mercado paga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ADVBOX: mais de 5 mil escritórios e 80 mil usuários, com planos de R$ 220 a R$ 1.800/mês e Big Offices a partir de R$ 5.000/mês (advbox.com.br).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Astrea (Aurum): planos de R$ 209 a R$ 1.249/mês para autônomos e escritórios (aurum.com.br).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G4 Educação: R$ 509 mi de faturamento com gestão para PMEs, 55 mil empresas atendidas (InfoMoney). Prova que o empresário paga por método de gestão.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AB2L: mais de 600 lawtechs e legaltechs associadas no Brasil (Canaltech).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Mercado global de legaltech: US$ 68 bi até 2034, com crescimento de 8,7% ao ano (Canaltech).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Legal Strategy: só 18% de 154 escritórios em SP e RJ têm planejamento estratégico, e 5% têm plano de negócios (Conjur). É a dor que a Precept resolve.</w:t>
      </w:r>
    </w:p>
    <w:p>
      <w:pPr>
        <w:spacing w:after="110" w:before="0" w:line="290"/>
        <w:jc w:val="both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Preço: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assinatura de R$ 1.996/mês fica acima do plano mais caro de software de gestão processual (R$ 1.800) e abaixo do plano para grandes escritórios (R$ 5.000). O posicionamento se justifica porque a Precept entrega gestão do negócio, não só controle de processos. Esse é o número a testar primeiro nas entrevistas.</w:t>
      </w:r>
    </w:p>
    <w:p>
      <w:pPr>
        <w:pStyle w:val="Heading1"/>
        <w:keepNext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Limitações e próximos passos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As fontes foram levantadas na internet em 07/10/2026. Nesta revisão (21/10/2026), o acesso à internet estava bloqueado no ambiente de trabalho, então não houve fontes novas.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Confirmar os cinco dados marcados como hipótese: Quadro de Advogados da OAB (por estado), Cadastro Nacional de Sociedades de Advogados e dados abertos do CNPJ pelo CNAE 6911-7/01 (Receita Federal), que permitem contar as sociedades por porte e por município.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Validar nas entrevistas exploratórias: faturamento e número de advogados do escritório, área de atuação, ferramentas que já usam e disposição a pagar R$ 1.996/mês.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Trocar os dados confirmados nas células cinzas da aba Mercado TAM SAM SOM. TAM, SAM, beachhead e as leituras do SOM se recalculam sozinhos.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Precept – Pesquisa de mercado –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Precept – Pesquisa de mercado (TAM, SAM, SOM)</dc:title>
  <dc:creator>Equipe Precept</dc:creator>
  <cp:lastModifiedBy>Un-named</cp:lastModifiedBy>
  <cp:revision>1</cp:revision>
  <dcterms:created xsi:type="dcterms:W3CDTF">2026-10-21T00:50:43.022Z</dcterms:created>
  <dcterms:modified xsi:type="dcterms:W3CDTF">2026-10-21T00:50:43.022Z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