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2761"/>
          <w:sz w:val="28"/>
        </w:rPr>
        <w:t>(주)텐에이아이 · DocuAX</w:t>
      </w:r>
    </w:p>
    <w:p>
      <w:pPr>
        <w:jc w:val="center"/>
      </w:pPr>
      <w:r>
        <w:rPr>
          <w:color w:val="555555"/>
          <w:sz w:val="24"/>
        </w:rPr>
        <w:t>기술연구소</w:t>
      </w:r>
    </w:p>
    <w:p>
      <w:pPr>
        <w:jc w:val="center"/>
      </w:pPr>
      <w:r>
        <w:rPr>
          <w:b/>
          <w:color w:val="C0392B"/>
          <w:sz w:val="22"/>
        </w:rPr>
        <w:t>[ 공개 ]</w:t>
      </w:r>
    </w:p>
    <w:p/>
    <w:p/>
    <w:p/>
    <w:p>
      <w:pPr>
        <w:jc w:val="center"/>
      </w:pPr>
      <w:r>
        <w:rPr>
          <w:b/>
          <w:color w:val="1E2761"/>
          <w:sz w:val="56"/>
        </w:rPr>
        <w:t>시각 요소 고도화 종합 시연</w:t>
      </w:r>
    </w:p>
    <w:p>
      <w:pPr>
        <w:jc w:val="center"/>
      </w:pPr>
      <w:r>
        <w:rPr>
          <w:color w:val="444444"/>
          <w:sz w:val="32"/>
        </w:rPr>
        <w:t>표지·차트·다이어그램·수식 4종 통합</w:t>
      </w:r>
    </w:p>
    <w:p/>
    <w:p/>
    <w:p/>
    <w:p/>
    <w:p/>
    <w:p/>
    <w:p/>
    <w:p/>
    <w:p>
      <w:pPr>
        <w:jc w:val="center"/>
      </w:pPr>
      <w:r>
        <w:rPr>
          <w:sz w:val="22"/>
        </w:rPr>
        <w:t>작 성 자 :  정원훈</w:t>
      </w:r>
    </w:p>
    <w:p>
      <w:pPr>
        <w:jc w:val="center"/>
      </w:pPr>
      <w:r>
        <w:rPr>
          <w:sz w:val="22"/>
        </w:rPr>
        <w:t>작성일자 :  2026. 05. 19.</w:t>
      </w:r>
    </w:p>
    <w:p>
      <w:pPr>
        <w:jc w:val="center"/>
      </w:pPr>
      <w:r>
        <w:rPr>
          <w:sz w:val="22"/>
        </w:rPr>
        <w:t>문서번호 :  DOCUAX-DEMO-001</w:t>
      </w:r>
    </w:p>
    <w:p>
      <w:r>
        <w:br w:type="page"/>
      </w:r>
    </w:p>
    <w:p>
      <w:pPr>
        <w:pStyle w:val="Heading1"/>
      </w:pPr>
      <w:r>
        <w:rPr>
          <w:b w:val="0"/>
          <w:i w:val="0"/>
          <w:u w:val="none"/>
        </w:rPr>
        <w:t>1. 차트 — 막대형 (그룹)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50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15c1e2f486d1a8ac725d07f000b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분기별 매출 비교</w:t>
      </w:r>
    </w:p>
    <w:p>
      <w:pPr>
        <w:pStyle w:val="Heading1"/>
      </w:pPr>
      <w:r>
        <w:rPr>
          <w:b w:val="0"/>
          <w:i w:val="0"/>
          <w:u w:val="none"/>
        </w:rPr>
        <w:t>2. 차트 — 도넛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685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ab19329bf77281e6fdaef9f0805e0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85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사용자 분포</w:t>
      </w:r>
    </w:p>
    <w:p>
      <w:pPr>
        <w:pStyle w:val="Heading1"/>
      </w:pPr>
      <w:r>
        <w:rPr>
          <w:b w:val="0"/>
          <w:i w:val="0"/>
          <w:u w:val="none"/>
        </w:rPr>
        <w:t>3. 차트 — 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505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5de21f53438dc3ab8893231976e09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주간 활성 사용자 추이</w:t>
      </w:r>
    </w:p>
    <w:p>
      <w:pPr>
        <w:pStyle w:val="Heading1"/>
      </w:pPr>
      <w:r>
        <w:rPr>
          <w:b w:val="0"/>
          <w:i w:val="0"/>
          <w:u w:val="none"/>
        </w:rPr>
        <w:t>4.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1939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60bf99255969d62ab4273639e74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 w:val="0"/>
          <w:i w:val="0"/>
          <w:u w:val="none"/>
        </w:rPr>
        <w:t>5. 수식</w:t>
      </w:r>
    </w:p>
    <w:p>
      <w:r>
        <w:rPr>
          <w:b w:val="0"/>
          <w:i w:val="0"/>
          <w:u w:val="none"/>
        </w:rPr>
        <w:t>본 시스템의 정확도 측정 함수: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729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8a53f86cf6fd851e5f385f9e6deb8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2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u w:val="none"/>
        </w:rPr>
        <w:t>가우스 적분: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949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1997530439a2cdc4747f38e1ee7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491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