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D4F9" w14:textId="00188F3C" w:rsidR="00EE028B" w:rsidRDefault="00EE028B" w:rsidP="00493B90">
      <w:pPr>
        <w:bidi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EE028B">
        <w:rPr>
          <w:rFonts w:ascii="Times New Roman" w:hAnsi="Times New Roman" w:cs="Times New Roman"/>
          <w:b/>
          <w:bCs/>
          <w:sz w:val="40"/>
          <w:szCs w:val="40"/>
        </w:rPr>
        <w:t>دبي</w:t>
      </w:r>
      <w:proofErr w:type="spellEnd"/>
      <w:r w:rsidRPr="00EE028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E028B">
        <w:rPr>
          <w:rFonts w:ascii="Times New Roman" w:hAnsi="Times New Roman" w:cs="Times New Roman"/>
          <w:b/>
          <w:bCs/>
          <w:sz w:val="40"/>
          <w:szCs w:val="40"/>
        </w:rPr>
        <w:t>مدينة</w:t>
      </w:r>
      <w:proofErr w:type="spellEnd"/>
      <w:r w:rsidRPr="00EE028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E028B">
        <w:rPr>
          <w:rFonts w:ascii="Times New Roman" w:hAnsi="Times New Roman" w:cs="Times New Roman"/>
          <w:b/>
          <w:bCs/>
          <w:sz w:val="40"/>
          <w:szCs w:val="40"/>
        </w:rPr>
        <w:t>الذهب</w:t>
      </w:r>
      <w:proofErr w:type="spellEnd"/>
      <w:r w:rsidRPr="00EE028B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Pr="00EE028B">
        <w:rPr>
          <w:rFonts w:ascii="Times New Roman" w:hAnsi="Times New Roman" w:cs="Times New Roman"/>
          <w:b/>
          <w:bCs/>
          <w:sz w:val="40"/>
          <w:szCs w:val="40"/>
        </w:rPr>
        <w:t>كيف</w:t>
      </w:r>
      <w:proofErr w:type="spellEnd"/>
      <w:r w:rsidRPr="00EE028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E028B">
        <w:rPr>
          <w:rFonts w:ascii="Times New Roman" w:hAnsi="Times New Roman" w:cs="Times New Roman"/>
          <w:b/>
          <w:bCs/>
          <w:sz w:val="40"/>
          <w:szCs w:val="40"/>
        </w:rPr>
        <w:t>تتجاوز</w:t>
      </w:r>
      <w:proofErr w:type="spellEnd"/>
      <w:r w:rsidRPr="00EE028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E028B">
        <w:rPr>
          <w:rFonts w:ascii="Times New Roman" w:hAnsi="Times New Roman" w:cs="Times New Roman"/>
          <w:b/>
          <w:bCs/>
          <w:sz w:val="40"/>
          <w:szCs w:val="40"/>
        </w:rPr>
        <w:t>الإمارات</w:t>
      </w:r>
      <w:proofErr w:type="spellEnd"/>
      <w:r w:rsidRPr="00EE028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E028B">
        <w:rPr>
          <w:rFonts w:ascii="Times New Roman" w:hAnsi="Times New Roman" w:cs="Times New Roman"/>
          <w:b/>
          <w:bCs/>
          <w:sz w:val="40"/>
          <w:szCs w:val="40"/>
        </w:rPr>
        <w:t>النمو</w:t>
      </w:r>
      <w:proofErr w:type="spellEnd"/>
      <w:r w:rsidRPr="00EE028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E028B">
        <w:rPr>
          <w:rFonts w:ascii="Times New Roman" w:hAnsi="Times New Roman" w:cs="Times New Roman"/>
          <w:b/>
          <w:bCs/>
          <w:sz w:val="40"/>
          <w:szCs w:val="40"/>
        </w:rPr>
        <w:t>العالمي</w:t>
      </w:r>
      <w:proofErr w:type="spellEnd"/>
      <w:r w:rsidRPr="00EE028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E028B">
        <w:rPr>
          <w:rFonts w:ascii="Times New Roman" w:hAnsi="Times New Roman" w:cs="Times New Roman"/>
          <w:b/>
          <w:bCs/>
          <w:sz w:val="40"/>
          <w:szCs w:val="40"/>
        </w:rPr>
        <w:t>في</w:t>
      </w:r>
      <w:proofErr w:type="spellEnd"/>
      <w:r w:rsidRPr="00EE028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E028B">
        <w:rPr>
          <w:rFonts w:ascii="Times New Roman" w:hAnsi="Times New Roman" w:cs="Times New Roman"/>
          <w:b/>
          <w:bCs/>
          <w:sz w:val="40"/>
          <w:szCs w:val="40"/>
        </w:rPr>
        <w:t>السوق</w:t>
      </w:r>
      <w:proofErr w:type="spellEnd"/>
      <w:r w:rsidRPr="00EE028B">
        <w:rPr>
          <w:rFonts w:ascii="Times New Roman" w:hAnsi="Times New Roman" w:cs="Times New Roman"/>
          <w:b/>
          <w:bCs/>
          <w:sz w:val="40"/>
          <w:szCs w:val="40"/>
        </w:rPr>
        <w:t>؟</w:t>
      </w:r>
    </w:p>
    <w:p w14:paraId="434D9A5C" w14:textId="77777777" w:rsidR="0057076F" w:rsidRDefault="0057076F" w:rsidP="00493B90">
      <w:pPr>
        <w:bidi/>
        <w:rPr>
          <w:rFonts w:ascii="Times New Roman" w:hAnsi="Times New Roman" w:cs="Times New Roman"/>
          <w:b/>
          <w:bCs/>
          <w:sz w:val="40"/>
          <w:szCs w:val="40"/>
        </w:rPr>
      </w:pPr>
    </w:p>
    <w:p w14:paraId="4C879ACB" w14:textId="77777777" w:rsidR="0057076F" w:rsidRDefault="0057076F" w:rsidP="00493B90">
      <w:pPr>
        <w:pStyle w:val="NormalWeb"/>
        <w:bidi/>
        <w:spacing w:line="360" w:lineRule="auto"/>
        <w:rPr>
          <w:sz w:val="32"/>
          <w:szCs w:val="32"/>
          <w:lang w:val="en-US"/>
        </w:rPr>
      </w:pPr>
    </w:p>
    <w:p w14:paraId="2CFDF71A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دبي مدينة الذهب: كيف تتجاوز الإمارات النمو العالمي في سوق الذهب؟</w:t>
      </w:r>
    </w:p>
    <w:p w14:paraId="25FD648F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تواصل الإمارات العربية المتحدة تعزيز مكانتها كأحد أسرع أسواق الذهب نمواً في العالم. فمع تداول دبي لما يصل إلى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30%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من تجارة الذهب العالمية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>، وبدعم من الطلب المحلي المتزايد، والتقاليد الثقافية، ومشتريات البنوك المركزية، تمضي الدولة بثبات نحو تجاوز معدلات النمو العالمية، رغم التقلبات الاقتصادية والتنظيمية في الأسواق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</w:p>
    <w:p w14:paraId="050779B3" w14:textId="18DAE6F9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</w:p>
    <w:p w14:paraId="0AD480E7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دبي… من سوق مجوهرات إلى محور عالمي للذهب</w:t>
      </w:r>
    </w:p>
    <w:p w14:paraId="1561CC3A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تُعرف دبي بلقب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"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مدينة الذهب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"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، إذ تطورت خلال العقود الأخيرة من مركز إقليمي للمجوهرات إلى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عقدة رئيسية في تجارة السبائك العالمية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br/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تشير التقديرات إلى أن ما بين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20%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و30% من الذهب المتداول عالمياً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يمر عبر الإمارات سنوياً، ما يجعلها من بين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أكبر ثلاثة مراكز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لتجارة الذهب في العالم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</w:p>
    <w:p w14:paraId="63E48A49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في عام 2023، تجاوزت دبي المملكة المتحدة لتصبح ثاني أكبر مركز عالمي لتجارة الذهب بتدفقات بلغت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129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مليار دولار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، بزيادة قدرها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36%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 xml:space="preserve"> 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>على أساس سنوي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br/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وتساهم أكثر من عشر مصافٍ نشطة، بينها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MTM&amp;O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 xml:space="preserve"> 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التي تعالج وحدها نحو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1,400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طن سنوياً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>، في تعزيز مكانة الإمارات في التكرير وإعادة التصدير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br/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كما تتيح اتفاقية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الشراكة الاقتصادية الشاملة مع الهند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 (CEPA)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 xml:space="preserve"> 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مزايا تصديرية تصل إلى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150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طناً سنوياً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>، مع خفض الرسوم الجمركية بنسبة 1%، ما يعزز تنافسية الذهب الإماراتي في الأسواق الآسيوية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</w:p>
    <w:p w14:paraId="5199FBB8" w14:textId="5077A3FC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</w:p>
    <w:p w14:paraId="1B5A9C96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الطلب المحلي يتسارع في 2025</w:t>
      </w:r>
    </w:p>
    <w:p w14:paraId="7E35D8B1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لا يقتصر نشاط الذهب في الإمارات على الصادرات فقط، بل يمتد إلى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الطلب المحلي المتنامي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br/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فقد ارتفع عدد السكان إلى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10.22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ملايين نسمة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بزيادة 2.4%، كما نمت ثروة الأسر بنسبة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lastRenderedPageBreak/>
        <w:t>7.8%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 xml:space="preserve"> 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لتصل إلى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1.2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تريليون دولار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br/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وزاد عدد الأفراد ذوي الثروات العالية بنسبة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11%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 xml:space="preserve"> 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إلى نحو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116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ألف شخص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>، مما ساهم في انتعاش سوق السبائك والمجوهرات الفاخرة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</w:p>
    <w:p w14:paraId="72C6F2F6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تُعد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المناسبات التقليدية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مثل أكشايا تريتيا، وعيد الفطر، والديوالي من العوامل الرئيسة التي تدعم الطلب، حيث ترتفع مبيعات الذهب خلالها بنسبة تصل إلى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30%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br/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كما يلاحظ ارتفاع متوسط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طقم العروس الإماراتية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إلى نحو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180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غراماً من الذهب عيار 22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>، مقارنة بـ120 غراماً قبل خمس سنوات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</w:p>
    <w:p w14:paraId="5563C086" w14:textId="02B763AD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</w:p>
    <w:p w14:paraId="6EDDC9F1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الدعم المالي والسيولة</w:t>
      </w:r>
    </w:p>
    <w:p w14:paraId="4D9906A8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أسهمت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الظروف الاقتصادية المستقرة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وارتفاع الأسعار المحلية إلى نحو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391.25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درهم للغرام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في تحفيز الطلب، فيما واصل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مصرف الإمارات المركزي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تعزيز احتياطياته من الذهب بنسبة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25.9%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 xml:space="preserve"> 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خلال الأشهر الخمسة الأولى من عام 2025، لتصل إلى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7.9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مليار دولار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، أي ما يعادل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11%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من إجمالي الاحتياطيات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</w:p>
    <w:p w14:paraId="02A12849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>ومع استقرار العملة الوطنية وثبات السيولة الناتجة عن عوائد النفط، تواصل الإمارات تقديم نفسها كمركز آمن للتجارة والاستثمار المؤسسي في المنطقة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br/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ويتوقع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مجلس الذهب العالمي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أن يرتفع الطلب على الذهب في الشرق الأوسط بنسبة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9%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 xml:space="preserve"> 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خلال العام الجاري، مقارنة بـ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4%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 xml:space="preserve"> 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>على مستوى العالم، مع مساهمة الإمارات بما يقارب ثلث هذا النمو الإقليمي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</w:p>
    <w:p w14:paraId="7B933668" w14:textId="20DBA292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</w:p>
    <w:p w14:paraId="599B3555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للمهتمين بمعرفة المزيد عن الاستثمار في الذهب</w:t>
      </w:r>
    </w:p>
    <w:p w14:paraId="3259F0E5" w14:textId="17F2A011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>لأغراض تعليمية فقط، يمكن الاطلاع على مثال لمنصة تقدم محتوى معرفي حول الاستثمار في الذهب من خلال الرابط التالي</w:t>
      </w:r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:lang w:val="en-AE" w:eastAsia="en-AE"/>
          <w14:ligatures w14:val="none"/>
        </w:rPr>
        <w:t xml:space="preserve"> : </w:t>
      </w:r>
      <w:hyperlink r:id="rId4" w:history="1">
        <w:r w:rsidRPr="00493B90">
          <w:rPr>
            <w:rStyle w:val="Hyperlink"/>
            <w:rFonts w:ascii="Times New Roman" w:eastAsia="Times New Roman" w:hAnsi="Times New Roman" w:cs="Times New Roman" w:hint="cs"/>
            <w:kern w:val="0"/>
            <w:sz w:val="32"/>
            <w:szCs w:val="32"/>
            <w:rtl/>
            <w:lang w:val="en-AE" w:eastAsia="en-AE"/>
            <w14:ligatures w14:val="none"/>
          </w:rPr>
          <w:t>اضغط هنا</w:t>
        </w:r>
      </w:hyperlink>
    </w:p>
    <w:p w14:paraId="3F7B5410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الرابط إلى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 </w:t>
      </w:r>
      <w:proofErr w:type="spellStart"/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eToro</w:t>
      </w:r>
      <w:proofErr w:type="spellEnd"/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مذكور لأغراض تعليمية فقط، ومنصة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 </w:t>
      </w:r>
      <w:proofErr w:type="spellStart"/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eToro</w:t>
      </w:r>
      <w:proofErr w:type="spellEnd"/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تقدم محتوى تعليميًا عامًّا حول الاستثمار ولا تقدم نصائح استثمارية مخصصة لحالتك. يُفضّل استشارة مستشار مالي مختص قبل اتخاذ قرارات استثمارية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.</w:t>
      </w:r>
    </w:p>
    <w:p w14:paraId="7954BF9A" w14:textId="666E6B38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</w:p>
    <w:p w14:paraId="43477653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lastRenderedPageBreak/>
        <w:t>خاتمة: سوق ذهبية لا يمكن تجاهلها</w:t>
      </w:r>
    </w:p>
    <w:p w14:paraId="27931FE7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من خلال الجمع بين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قوة البنية التحتية الصناعية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و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الطلب الثقافي المتجذر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و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السياسات التجارية المنفتحة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، أصبحت الإمارات، ودبي خصوصاً،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جسراً رئيسياً بين الشرق والغرب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في تجارة الذهب العالمية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br/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ولا تقتصر أهمية هذا القطاع على كونه مورداً اقتصادياً، بل يمثل أيضاً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جزءاً من هوية دبي الاقتصادية والثقافية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 xml:space="preserve"> التي تواصل التألق على الساحة العالمية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</w:p>
    <w:p w14:paraId="523B9AE9" w14:textId="78942578" w:rsidR="00493B90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</w:p>
    <w:p w14:paraId="53B2CD1C" w14:textId="77777777" w:rsidR="00493B90" w:rsidRPr="00493B90" w:rsidRDefault="00493B90" w:rsidP="00493B90">
      <w:pPr>
        <w:bidi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AE"/>
          <w14:ligatures w14:val="none"/>
        </w:rPr>
        <w:t>🔸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 xml:space="preserve"> </w:t>
      </w:r>
      <w:r w:rsidRPr="00493B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val="en-AE" w:eastAsia="en-AE"/>
          <w14:ligatures w14:val="none"/>
        </w:rPr>
        <w:t>تنويه عام</w:t>
      </w:r>
    </w:p>
    <w:p w14:paraId="0C1AF402" w14:textId="51F36D5D" w:rsidR="001A0A6C" w:rsidRPr="00493B90" w:rsidRDefault="00493B90" w:rsidP="00493B90">
      <w:pPr>
        <w:bidi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>الرابط الخارجي الوارد في هذا المقال مذكور لأغراض معرفية فقط، ولا يُعتبر توصية استثمارية أو ترويجًا لأي منصة تداول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br/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rtl/>
          <w:lang w:val="en-AE" w:eastAsia="en-AE"/>
          <w14:ligatures w14:val="none"/>
        </w:rPr>
        <w:t>نوصي القراء بالتأكد من موثوقية أي جهة قبل اتخاذ قرارات مالية أو استثمارية</w:t>
      </w:r>
      <w:r w:rsidRPr="00493B90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>.</w:t>
      </w:r>
    </w:p>
    <w:sectPr w:rsidR="001A0A6C" w:rsidRPr="00493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8B"/>
    <w:rsid w:val="001A0A6C"/>
    <w:rsid w:val="001B3267"/>
    <w:rsid w:val="002874BA"/>
    <w:rsid w:val="00493B90"/>
    <w:rsid w:val="0057076F"/>
    <w:rsid w:val="00AB2533"/>
    <w:rsid w:val="00C40C30"/>
    <w:rsid w:val="00EE028B"/>
    <w:rsid w:val="00F6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3122"/>
  <w15:chartTrackingRefBased/>
  <w15:docId w15:val="{3DC1D97F-4950-42EF-90AC-65AA86063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2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2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E0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E"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EE02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toro.com/ar/investing/investing-in-go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566</Words>
  <Characters>2881</Characters>
  <Application>Microsoft Office Word</Application>
  <DocSecurity>0</DocSecurity>
  <Lines>61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Envy</dc:creator>
  <cp:keywords/>
  <dc:description/>
  <cp:lastModifiedBy>k12961</cp:lastModifiedBy>
  <cp:revision>3</cp:revision>
  <dcterms:created xsi:type="dcterms:W3CDTF">2025-10-15T14:03:00Z</dcterms:created>
  <dcterms:modified xsi:type="dcterms:W3CDTF">2025-11-11T16:17:00Z</dcterms:modified>
</cp:coreProperties>
</file>