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9d9ab7cdc61be2e8c33ea73eaa2fe48a70cdcaf"/>
    <w:p>
      <w:pPr>
        <w:pStyle w:val="Heading1"/>
      </w:pPr>
      <w:r>
        <w:t xml:space="preserve">VolTera – Requisitos de Produto e Arquitetura Técnica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VolTera Gamer Rack</w:t>
      </w:r>
      <w:r>
        <w:t xml:space="preserve"> </w:t>
      </w:r>
      <w:r>
        <w:t xml:space="preserve">é um datacenter modular de pequeno porte destinado a gamers profissionais e streamers. O sistema integra geração de energia renovável, armazenamento energético, computação de alto desempenho, redes de baixa latência, armazenamento redundante e monitoramento inteligente.</w:t>
      </w:r>
      <w:r>
        <w:br/>
      </w:r>
      <w:r>
        <w:t xml:space="preserve">Os principais objetivos de design são oferecer confiabilidade (uptime &gt; 99,9 %), eficiência energética (PUE &lt; 1,2), manutenção simplificada e estética compatível com setups gamers.</w:t>
      </w:r>
    </w:p>
    <w:bookmarkEnd w:id="20"/>
    <w:bookmarkStart w:id="21" w:name="personas-e-casos-de-uso"/>
    <w:p>
      <w:pPr>
        <w:pStyle w:val="Heading2"/>
      </w:pPr>
      <w:r>
        <w:t xml:space="preserve">Personas e Casos de Uso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Streamer Profissional</w:t>
      </w:r>
      <w:r>
        <w:t xml:space="preserve">: precisa de um ambiente confiável para transmitir conteúdo 24 h/dia, com encoding dedicado e backups automáticos.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 Player</w:t>
      </w:r>
      <w:r>
        <w:t xml:space="preserve">: necessita de baixa latência para partidas competitivas, servidores dedicados para treinamento e capacidade de gravação local.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Estúdio de e‑sports</w:t>
      </w:r>
      <w:r>
        <w:t xml:space="preserve">: busca solução escalável para times, com múltiplas VMs e gerenciamento centralizado.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Entusiasta de Tecnologia</w:t>
      </w:r>
      <w:r>
        <w:t xml:space="preserve">: valoriza inovação, sustentabilidade e status de possuir um</w:t>
      </w:r>
      <w:r>
        <w:t xml:space="preserve"> </w:t>
      </w:r>
      <w:r>
        <w:t xml:space="preserve">“</w:t>
      </w:r>
      <w:r>
        <w:t xml:space="preserve">datacenter pessoal</w:t>
      </w:r>
      <w:r>
        <w:t xml:space="preserve">”</w:t>
      </w:r>
      <w:r>
        <w:t xml:space="preserve">.</w:t>
      </w:r>
    </w:p>
    <w:bookmarkEnd w:id="21"/>
    <w:bookmarkStart w:id="22" w:name="requisitos-funcionais"/>
    <w:p>
      <w:pPr>
        <w:pStyle w:val="Heading2"/>
      </w:pPr>
      <w:r>
        <w:t xml:space="preserve">Requisitos Funcionais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Energia</w:t>
      </w:r>
      <w:r>
        <w:t xml:space="preserve">: geração solar portátil (painéis dobráveis 1–2 kWp), inversor híbrido, baterias LiFePO4 (5–10 kWh) e supercapacitores para ride‑through; entrada de rede elétrica opcional.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Computação</w:t>
      </w:r>
      <w:r>
        <w:t xml:space="preserve">: servidores com CPUs AMD Threadripper ou Xeon, GPUs RTX/MI de alto desempenho, suporte a virtualização e contêineres para execução de jogos, streams e modelos de IA.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Armazenamento</w:t>
      </w:r>
      <w:r>
        <w:t xml:space="preserve">: NAS em RAID‑6 com capacidade escalável (50–100 TB) e discos de backup redundantes; sincronização com nuvem.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Rede</w:t>
      </w:r>
      <w:r>
        <w:t xml:space="preserve">: switch 10 GbE com failover para segundo provedor de Internet; Wi‑Fi 7 opcional; balanceamento de carga e firewall integrado.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Monitoramento</w:t>
      </w:r>
      <w:r>
        <w:t xml:space="preserve">: sensores de temperatura, umidade, potência e vibração; plataforma de EMS/IoT para controle de energia e alertas; aplicativo móvel.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Refrigeração</w:t>
      </w:r>
      <w:r>
        <w:t xml:space="preserve">: combinação de ventilação forçada, refrigeração líquida para CPU/GPU e free‑cooling noturno; controle de temperatura automático.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Segurança</w:t>
      </w:r>
      <w:r>
        <w:t xml:space="preserve">: portas com chave e trava biométrica; UPS online; firewall de rede; backups cifrados e políticas LGPD.</w:t>
      </w:r>
    </w:p>
    <w:bookmarkEnd w:id="22"/>
    <w:bookmarkStart w:id="23" w:name="requisitos-não-funcionais"/>
    <w:p>
      <w:pPr>
        <w:pStyle w:val="Heading2"/>
      </w:pPr>
      <w:r>
        <w:t xml:space="preserve">Requisitos Não Funcionais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Disponibilidade</w:t>
      </w:r>
      <w:r>
        <w:t xml:space="preserve">: 99,9 % de uptime graças a redundâncias duplas.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Eficiência</w:t>
      </w:r>
      <w:r>
        <w:t xml:space="preserve">: uso de energia solar e armazenamento inteligente; PUE projetada &lt; 1,2.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Escalabilidade</w:t>
      </w:r>
      <w:r>
        <w:t xml:space="preserve">: módulos adicionais de bateria e de computação podem ser conectados plug‑and‑play.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Conformidade</w:t>
      </w:r>
      <w:r>
        <w:t xml:space="preserve">: atendimento às normas TIA‑942‑C, ASHRAE e NFPA 75【422704783727032†L133-L191】【611756818757278†L114-L118】【95830123434626†L189-L206】.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Manutenção</w:t>
      </w:r>
      <w:r>
        <w:t xml:space="preserve">: componentes hot‑swappable para discos, fontes e ventiladores; contrato de suporte 24/7.</w:t>
      </w:r>
    </w:p>
    <w:bookmarkEnd w:id="23"/>
    <w:bookmarkStart w:id="28" w:name="arquitetura-técnica"/>
    <w:p>
      <w:pPr>
        <w:pStyle w:val="Heading2"/>
      </w:pPr>
      <w:r>
        <w:t xml:space="preserve">Arquitetura Técnica</w:t>
      </w:r>
    </w:p>
    <w:p>
      <w:pPr>
        <w:pStyle w:val="FirstParagraph"/>
      </w:pPr>
      <w:r>
        <w:t xml:space="preserve">A arquitetura física é composta pelos seguintes subsistemas: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Módulo de Geração de Energia</w:t>
      </w:r>
      <w:r>
        <w:t xml:space="preserve">: painéis solares portáteis conectados a inversores híbridos com MPPT; energia alternada é convertida para DC para carregar as baterias LiFePO4 e alimentar os servidores. Um circuito opcional conecta a rede pública de forma isolada.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Armazenamento Energético</w:t>
      </w:r>
      <w:r>
        <w:t xml:space="preserve">: baterias LiFePO4 de longa vida útil fornecem autonomia de 6–12 horas; supercapacitores absorvem picos e quedas de microsegundos.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Distribuição de Energia (UPS)</w:t>
      </w:r>
      <w:r>
        <w:t xml:space="preserve">: conversores e UPS online fornecem tensão estabilizada aos racks, com monitoramento de consumo.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Módulo de Computação</w:t>
      </w:r>
      <w:r>
        <w:t xml:space="preserve">: servidores de alta densidade montados em rack 12U, equipados com GPUs, RAM ECC e unidades NVMe; rodando hipervisores (Proxmox/VMware) e contêineres.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Rede &amp; Storage</w:t>
      </w:r>
      <w:r>
        <w:t xml:space="preserve">: switch 10 GbE interligando servidores e NAS; NAS com discos em RAID‑6; interface com Internet de dois provedores via SD‑WAN.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Refrigeração</w:t>
      </w:r>
      <w:r>
        <w:t xml:space="preserve">: fans silenciosos e loop líquido; sensores determinam setpoints para free‑cooling quando a temperatura externa está abaixo de 20 °C; aplica as recomendações ASHRAE (18‑27 °C)【611756818757278†L114-L118】.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Monitoramento &amp; EMS</w:t>
      </w:r>
      <w:r>
        <w:t xml:space="preserve">: plataforma IoT recolhe dados de sensores e envia para o app; inteligência artificial prevê picos de consumo e sugere ajustes.</w:t>
      </w:r>
    </w:p>
    <w:bookmarkStart w:id="27" w:name="diagrama-conceitual"/>
    <w:p>
      <w:pPr>
        <w:pStyle w:val="Heading3"/>
      </w:pPr>
      <w:r>
        <w:t xml:space="preserve">Diagrama Conceitual</w:t>
      </w:r>
    </w:p>
    <w:p>
      <w:pPr>
        <w:pStyle w:val="FirstParagraph"/>
      </w:pPr>
      <w:r>
        <w:t xml:space="preserve">A figura abaixo ilustra a interação entre os subsistemas de energia, computação e monitoramento.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Blueprint" title="" id="25" name="Picture"/>
            <a:graphic>
              <a:graphicData uri="http://schemas.openxmlformats.org/drawingml/2006/picture">
                <pic:pic>
                  <pic:nvPicPr>
                    <pic:cNvPr descr="voltera_blueprin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Blueprint</w:t>
      </w:r>
    </w:p>
    <w:bookmarkEnd w:id="27"/>
    <w:bookmarkEnd w:id="28"/>
    <w:bookmarkStart w:id="29" w:name="conformidade-com-normas-técnicas"/>
    <w:p>
      <w:pPr>
        <w:pStyle w:val="Heading2"/>
      </w:pPr>
      <w:r>
        <w:t xml:space="preserve">Conformidade com Normas Técnicas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TIA‑942‑C</w:t>
      </w:r>
      <w:r>
        <w:t xml:space="preserve">: exigências para largura de gabinetes, redundância de fibra óptica e capacidade de piso são seguidas【422704783727032†L133-L191】.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ASHRAE TC 9.9</w:t>
      </w:r>
      <w:r>
        <w:t xml:space="preserve">: a operação respeita a faixa recomendada de 18–27 °C e umidade relativa controlada【611756818757278†L114-L118】【611756818757278†L167-L178】.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NFPA 75</w:t>
      </w:r>
      <w:r>
        <w:t xml:space="preserve">: a sala possui detecção precoce de incêndios, supressão por agente limpo e procedimentos de emergência【95830123434626†L189-L206】【95830123434626†L210-L229】.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Lei 14.300/2022 e REN 1098/2024</w:t>
      </w:r>
      <w:r>
        <w:t xml:space="preserve">: o sistema de microgeração atende aos requisitos de microgerador, e por não injetar energia pode dispensar estudo de inversão de fluxo【816395142012084†L260-L279】【292475963586569†L61-L75】.</w:t>
      </w:r>
    </w:p>
    <w:bookmarkEnd w:id="29"/>
    <w:bookmarkStart w:id="30" w:name="testes-e-comissionamento"/>
    <w:p>
      <w:pPr>
        <w:pStyle w:val="Heading2"/>
      </w:pPr>
      <w:r>
        <w:t xml:space="preserve">Testes e Comissionamento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Teste de Performance</w:t>
      </w:r>
      <w:r>
        <w:t xml:space="preserve">: validação de throughput, latência e estabilidade sob carga em servidores e redes.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Teste de Energia</w:t>
      </w:r>
      <w:r>
        <w:t xml:space="preserve">: simulação de falhas de rede, sobrecarga solar e descarga de bateria; verificação de autonomia.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Teste Térmico</w:t>
      </w:r>
      <w:r>
        <w:t xml:space="preserve">: monitoramento da distribuição de temperatura no rack; ajuste fino dos algoritmos de free‑cooling.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Teste de Segurança</w:t>
      </w:r>
      <w:r>
        <w:t xml:space="preserve">: auditorias de firewall, proteção física e ataques simulados.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Certificação</w:t>
      </w:r>
      <w:r>
        <w:t xml:space="preserve">: emissão de laudos de conformidade elétrica, acústica, ambiental e de segurança da informação (ISO 27001, ISO 50001).</w:t>
      </w:r>
    </w:p>
    <w:p>
      <w:r>
        <w:pict>
          <v:rect style="width:0;height:1.5pt" o:hralign="center" o:hrstd="t" o:hr="t"/>
        </w:pict>
      </w:r>
    </w:p>
    <w:bookmarkEnd w:id="30"/>
    <w:bookmarkStart w:id="31" w:name="referências"/>
    <w:p>
      <w:pPr>
        <w:pStyle w:val="Heading2"/>
      </w:pPr>
      <w:r>
        <w:t xml:space="preserve">Referências</w:t>
      </w:r>
    </w:p>
    <w:p>
      <w:pPr>
        <w:pStyle w:val="FirstParagraph"/>
      </w:pPr>
      <w:r>
        <w:t xml:space="preserve">[1] Lei nº 14.300/2022 define microgeração (≤ 75 kW) e minigeração (75 kW a 5 MW) e explica autoconsumo local/remoto【816395142012084†L260-L279】.</w:t>
      </w:r>
      <w:r>
        <w:t xml:space="preserve"> </w:t>
      </w:r>
      <w:r>
        <w:t xml:space="preserve">[2] A Resolução Normativa ANEEL 1098/2024 dispensa estudo de inversão de fluxo para microgeração que não injeta energia na rede e para microgeradores de até 7,5 kW de autoconsumo local【292475963586569†L61-L75】.</w:t>
      </w:r>
      <w:r>
        <w:t xml:space="preserve"> </w:t>
      </w:r>
      <w:r>
        <w:t xml:space="preserve">[3] O padrão TIA‑942‑C abrange telecomunicações, energia, mecânica, arquitetura, proteção contra incêndio, segurança e monitoramento para data centers; estabelece requisitos como larguras de gabinetes de 800 mm, capacidade de carga de piso de 5 kPa para salas &lt;20 m² e recomenda fibras ópticas redundantes【422704783727032†L133-L191】.</w:t>
      </w:r>
      <w:r>
        <w:t xml:space="preserve"> </w:t>
      </w:r>
      <w:r>
        <w:t xml:space="preserve">[4] As diretrizes ASHRAE TC 9.9 recomendam faixa de temperatura de 18 °C a 27 °C para equipamentos de TI e definem envelopes de umidade relativos para operação segura【611756818757278†L114-L118】【611756818757278†L167-L178】.</w:t>
      </w:r>
      <w:r>
        <w:t xml:space="preserve"> </w:t>
      </w:r>
      <w:r>
        <w:t xml:space="preserve">[5] O padrão NFPA 75 estabelece requisitos mínimos para proteção de equipamentos de TI, incluindo construção, detecção e supressão de incêndios, registros e procedimentos de emergência【95830123434626†L189-L206】【95830123434626†L210-L229】.</w:t>
      </w:r>
      <w:r>
        <w:t xml:space="preserve"> </w:t>
      </w:r>
      <w:r>
        <w:t xml:space="preserve">[6] Declarações de missão, visão e valores são a base de uma startup; uma ideologia central forte confere identidade e continuidade em face de mudanças【246436382575179†L65-L92】.</w:t>
      </w:r>
      <w:r>
        <w:t xml:space="preserve"> </w:t>
      </w:r>
      <w:r>
        <w:t xml:space="preserve">[7] Um plano de negócios curto (3‑6 meses) é recomendado para startups, permitindo expectativas realistas; investidores podem exigir planos de 5 anos dependendo da indústria【246436382575179†L100-L121】.</w:t>
      </w:r>
      <w:r>
        <w:t xml:space="preserve"> </w:t>
      </w:r>
      <w:r>
        <w:t xml:space="preserve">[8] Um plano de marketing deve começar focando no canal mais valioso e evoluir à medida que a empresa cresce, com objetivos mensuráveis e estratégias de conteúdo【246436382575179†L124-L133】.</w:t>
      </w:r>
      <w:r>
        <w:t xml:space="preserve"> </w:t>
      </w:r>
      <w:r>
        <w:t xml:space="preserve">[9] Um one‑pager conciso comunica a proposta de valor única; um pitch deck deve abordar proposta, problema, mercado‑alvo, solução, modelo de negócios, marcos, estratégia de vendas, equipe, competição e investimento solicitado【246436382575179†L135-L174】.</w:t>
      </w:r>
      <w:r>
        <w:t xml:space="preserve"> </w:t>
      </w:r>
      <w:r>
        <w:t xml:space="preserve">[10] A metodologia Lean Startup foca em aprendizado validado e ciclo construir‑medir‑aprender, com princípios como validação contínua, empreendedorismo como gestão e contabilidade de inovação【169205132389417†L170-L175】【169205132389417†L186-L192】.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2025-09-15T04:30:55Z</dcterms:created>
  <dcterms:modified xsi:type="dcterms:W3CDTF">2025-09-15T04:30:55Z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