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c1a157554908d504f7bd78f6ab15ce34b7ae79"/>
    <w:p>
      <w:pPr>
        <w:pStyle w:val="Heading1"/>
      </w:pPr>
      <w:r>
        <w:t xml:space="preserve">VolTera – Registro de Riscos e Plano de Mitigação</w:t>
      </w:r>
    </w:p>
    <w:bookmarkStart w:id="20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A confiabilidade é um dos pilares da proposta VolTera. Por isso, identificamos os principais riscos que podem afetar a operação de um datacenter doméstico e proponhamos múltiplas camadas de redundância para cada cenário. Além dos riscos técnicos, contemplamos fatores externos (mercado, regulação) e estratégicos (finanças e cadeia de suprimentos).</w:t>
      </w:r>
    </w:p>
    <w:bookmarkEnd w:id="20"/>
    <w:bookmarkStart w:id="21" w:name="riscos-técnicos-e-mitigações"/>
    <w:p>
      <w:pPr>
        <w:pStyle w:val="Heading2"/>
      </w:pPr>
      <w:r>
        <w:t xml:space="preserve">Riscos Técnicos e Mitigações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Soluções (Ativo, Redundância 1, Redundância 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Falha de 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Interrupção do streaming e dos servidores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  <w:r>
              <w:t xml:space="preserve">: rede elétrica;</w:t>
            </w:r>
            <w:r>
              <w:t xml:space="preserve"> </w:t>
            </w:r>
            <w:r>
              <w:rPr>
                <w:bCs/>
                <w:b/>
              </w:rPr>
              <w:t xml:space="preserve">Redundância 1</w:t>
            </w:r>
            <w:r>
              <w:t xml:space="preserve">: baterias LiFePO4 (6–12 h);</w:t>
            </w:r>
            <w:r>
              <w:t xml:space="preserve"> </w:t>
            </w:r>
            <w:r>
              <w:rPr>
                <w:bCs/>
                <w:b/>
              </w:rPr>
              <w:t xml:space="preserve">Redundância 2</w:t>
            </w:r>
            <w:r>
              <w:t xml:space="preserve">: painéis solares portáteis com inversor híbrido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Microquedas e picos de 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Reinicialização inadvertida dos equipamentos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  <w:r>
              <w:t xml:space="preserve">: filtros de surto e DPS;</w:t>
            </w:r>
            <w:r>
              <w:t xml:space="preserve"> </w:t>
            </w:r>
            <w:r>
              <w:rPr>
                <w:bCs/>
                <w:b/>
              </w:rPr>
              <w:t xml:space="preserve">Redundância 1</w:t>
            </w:r>
            <w:r>
              <w:t xml:space="preserve">: supercapacitor de ride‑through para microssegundos;</w:t>
            </w:r>
            <w:r>
              <w:t xml:space="preserve"> </w:t>
            </w:r>
            <w:r>
              <w:rPr>
                <w:bCs/>
                <w:b/>
              </w:rPr>
              <w:t xml:space="preserve">Redundância 2</w:t>
            </w:r>
            <w:r>
              <w:t xml:space="preserve">: UPS online integrada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Sobreaquecimento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Danos a componentes e redução de 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  <w:r>
              <w:t xml:space="preserve">: ventilação forçada;</w:t>
            </w:r>
            <w:r>
              <w:t xml:space="preserve"> </w:t>
            </w:r>
            <w:r>
              <w:rPr>
                <w:bCs/>
                <w:b/>
              </w:rPr>
              <w:t xml:space="preserve">Redundância 1</w:t>
            </w:r>
            <w:r>
              <w:t xml:space="preserve">: refrigeração líquida para CPU/GPU;</w:t>
            </w:r>
            <w:r>
              <w:t xml:space="preserve"> </w:t>
            </w:r>
            <w:r>
              <w:rPr>
                <w:bCs/>
                <w:b/>
              </w:rPr>
              <w:t xml:space="preserve">Redundância 2</w:t>
            </w:r>
            <w:r>
              <w:t xml:space="preserve">: free‑cooling noturno, sensores de temperatura e alarmes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Falha de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do servidor ou perda de encoding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  <w:r>
              <w:t xml:space="preserve">: servidor principal;</w:t>
            </w:r>
            <w:r>
              <w:t xml:space="preserve"> </w:t>
            </w:r>
            <w:r>
              <w:rPr>
                <w:bCs/>
                <w:b/>
              </w:rPr>
              <w:t xml:space="preserve">Redundância 1</w:t>
            </w:r>
            <w:r>
              <w:t xml:space="preserve">: VM redundante em segundo servidor;</w:t>
            </w:r>
            <w:r>
              <w:t xml:space="preserve"> </w:t>
            </w:r>
            <w:r>
              <w:rPr>
                <w:bCs/>
                <w:b/>
              </w:rPr>
              <w:t xml:space="preserve">Redundância 2</w:t>
            </w:r>
            <w:r>
              <w:t xml:space="preserve">: failover para serviço VolTera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Perda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 de gravações, configurações e conteúdo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  <w:r>
              <w:t xml:space="preserve">: NAS RAID‑6;</w:t>
            </w:r>
            <w:r>
              <w:t xml:space="preserve"> </w:t>
            </w:r>
            <w:r>
              <w:rPr>
                <w:bCs/>
                <w:b/>
              </w:rPr>
              <w:t xml:space="preserve">Redundância 1</w:t>
            </w:r>
            <w:r>
              <w:t xml:space="preserve">: segunda unidade de armazenamento local;</w:t>
            </w:r>
            <w:r>
              <w:t xml:space="preserve"> </w:t>
            </w:r>
            <w:r>
              <w:rPr>
                <w:bCs/>
                <w:b/>
              </w:rPr>
              <w:t xml:space="preserve">Redundância 2</w:t>
            </w:r>
            <w:r>
              <w:t xml:space="preserve">: backup cifrado no VolTera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Falha de rede / Latência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travada ou atraso nas partidas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  <w:r>
              <w:t xml:space="preserve">: provedor de internet principal;</w:t>
            </w:r>
            <w:r>
              <w:t xml:space="preserve"> </w:t>
            </w:r>
            <w:r>
              <w:rPr>
                <w:bCs/>
                <w:b/>
              </w:rPr>
              <w:t xml:space="preserve">Redundância 1</w:t>
            </w:r>
            <w:r>
              <w:t xml:space="preserve">: segundo provedor via 5G ou fibra;</w:t>
            </w:r>
            <w:r>
              <w:t xml:space="preserve"> </w:t>
            </w:r>
            <w:r>
              <w:rPr>
                <w:bCs/>
                <w:b/>
              </w:rPr>
              <w:t xml:space="preserve">Redundância 2</w:t>
            </w:r>
            <w:r>
              <w:t xml:space="preserve">: SD‑WAN que faz failover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Segurança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não autorizado ou furto de equipamentos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  <w:r>
              <w:t xml:space="preserve">: rack com chave e vidro temperado;</w:t>
            </w:r>
            <w:r>
              <w:t xml:space="preserve"> </w:t>
            </w:r>
            <w:r>
              <w:rPr>
                <w:bCs/>
                <w:b/>
              </w:rPr>
              <w:t xml:space="preserve">Redundância 1</w:t>
            </w:r>
            <w:r>
              <w:t xml:space="preserve">: trava biométrica / RFID;</w:t>
            </w:r>
            <w:r>
              <w:t xml:space="preserve"> </w:t>
            </w:r>
            <w:r>
              <w:rPr>
                <w:bCs/>
                <w:b/>
              </w:rPr>
              <w:t xml:space="preserve">Redundância 2</w:t>
            </w:r>
            <w:r>
              <w:t xml:space="preserve">: câmera interna e alarmes de intrusão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Segurança 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DDoS, invasões, roubo de 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  <w:r>
              <w:t xml:space="preserve">: firewall e ACLs;</w:t>
            </w:r>
            <w:r>
              <w:t xml:space="preserve"> </w:t>
            </w:r>
            <w:r>
              <w:rPr>
                <w:bCs/>
                <w:b/>
              </w:rPr>
              <w:t xml:space="preserve">Redundância 1</w:t>
            </w:r>
            <w:r>
              <w:t xml:space="preserve">: VPN dedicada para tráfego de streaming;</w:t>
            </w:r>
            <w:r>
              <w:t xml:space="preserve"> </w:t>
            </w:r>
            <w:r>
              <w:rPr>
                <w:bCs/>
                <w:b/>
              </w:rPr>
              <w:t xml:space="preserve">Redundância 2</w:t>
            </w:r>
            <w:r>
              <w:t xml:space="preserve">: monitoramento SOC e alertas em tempo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Ruído excessivo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Inconforto acústico para usuário e transmissões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  <w:r>
              <w:t xml:space="preserve">: ventoinhas de baixo ruído;</w:t>
            </w:r>
            <w:r>
              <w:t xml:space="preserve"> </w:t>
            </w:r>
            <w:r>
              <w:rPr>
                <w:bCs/>
                <w:b/>
              </w:rPr>
              <w:t xml:space="preserve">Redundância 1</w:t>
            </w:r>
            <w:r>
              <w:t xml:space="preserve">: painéis acústicos internos;</w:t>
            </w:r>
            <w:r>
              <w:t xml:space="preserve"> </w:t>
            </w:r>
            <w:r>
              <w:rPr>
                <w:bCs/>
                <w:b/>
              </w:rPr>
              <w:t xml:space="preserve">Redundância 2</w:t>
            </w:r>
            <w:r>
              <w:t xml:space="preserve">: refrigeração líquida fechada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Falha do painel solar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Redução da autonomia energética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  <w:r>
              <w:t xml:space="preserve">: painel solar portátil;</w:t>
            </w:r>
            <w:r>
              <w:t xml:space="preserve"> </w:t>
            </w:r>
            <w:r>
              <w:rPr>
                <w:bCs/>
                <w:b/>
              </w:rPr>
              <w:t xml:space="preserve">Redundância 1</w:t>
            </w:r>
            <w:r>
              <w:t xml:space="preserve">: painel fixo adicional;</w:t>
            </w:r>
            <w:r>
              <w:t xml:space="preserve"> </w:t>
            </w:r>
            <w:r>
              <w:rPr>
                <w:bCs/>
                <w:b/>
              </w:rPr>
              <w:t xml:space="preserve">Redundância 2</w:t>
            </w:r>
            <w:r>
              <w:t xml:space="preserve">: rede elétrica continua alimentando</w:t>
            </w:r>
          </w:p>
        </w:tc>
      </w:tr>
    </w:tbl>
    <w:bookmarkEnd w:id="21"/>
    <w:bookmarkStart w:id="22" w:name="riscos-estratégicos-e-de-mercado"/>
    <w:p>
      <w:pPr>
        <w:pStyle w:val="Heading2"/>
      </w:pPr>
      <w:r>
        <w:t xml:space="preserve">Riscos Estratégicos e de Mercado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Atraso na entrega de componentes</w:t>
            </w:r>
            <w:r>
              <w:t xml:space="preserve"> </w:t>
            </w:r>
            <w:r>
              <w:t xml:space="preserve">(baterias, GPUs)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Diversificar fornecedores; manter estoque de segurança; planejar compras com antecedência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Mudanças regulatórias</w:t>
            </w:r>
            <w:r>
              <w:t xml:space="preserve"> </w:t>
            </w:r>
            <w:r>
              <w:t xml:space="preserve">(energia, importação)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Acompanhar legislação e contar com assessoria jurídica; adaptar modelos de negócio (e.g., leasing de equipamentos em vez de venda)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Aceitação de mercado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Conduzir provas de conceito com streamers; ajustar produto conforme feedback; explorar segmentos adjacentes (estúdios, empresas de 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Concorrência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em diferenciação: sustentabilidade, integração completa e design gamer; construir marca forte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Flutuação de custos de 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Modelar planos de assinatura e precificação adaptável; otimizar eficiência energética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Problemas financeiros</w:t>
            </w:r>
            <w:r>
              <w:t xml:space="preserve"> </w:t>
            </w:r>
            <w:r>
              <w:t xml:space="preserve">(falta de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Planejar captação em fases (seed, série A); buscar incentivos a inovação e energia limpa</w:t>
            </w:r>
          </w:p>
        </w:tc>
      </w:tr>
    </w:tbl>
    <w:bookmarkEnd w:id="22"/>
    <w:bookmarkStart w:id="23" w:name="plano-de-continuidade-e-recuperação"/>
    <w:p>
      <w:pPr>
        <w:pStyle w:val="Heading2"/>
      </w:pPr>
      <w:r>
        <w:t xml:space="preserve">Plano de Continuidade e Recuperação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Procedimentos de emergência</w:t>
      </w:r>
      <w:r>
        <w:t xml:space="preserve">: checklist para desligamento seguro, uso de extintores de agente limpo e acionamento de bombeiros.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Monitoramento 24/7</w:t>
      </w:r>
      <w:r>
        <w:t xml:space="preserve">: alertas automáticos para a equipe VolTera sobre falhas críticas.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Testes periódicos</w:t>
      </w:r>
      <w:r>
        <w:t xml:space="preserve">: simulações de falhas e restauração de backups semestralmente.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Documentação</w:t>
      </w:r>
      <w:r>
        <w:t xml:space="preserve">: manuais de operação, planos de contingência e registro de incidentes.</w:t>
      </w:r>
    </w:p>
    <w:p>
      <w:pPr>
        <w:pStyle w:val="FirstParagraph"/>
      </w:pPr>
      <w:r>
        <w:t xml:space="preserve">A abordagem de riscos da VolTera baseia‑se em redundâncias em todos os níveis e na adoção de normas consolidadas de segurança【95830123434626†L189-L206】【95830123434626†L210-L229】.</w:t>
      </w:r>
    </w:p>
    <w:p>
      <w:r>
        <w:pict>
          <v:rect style="width:0;height:1.5pt" o:hralign="center" o:hrstd="t" o:hr="t"/>
        </w:pict>
      </w:r>
    </w:p>
    <w:bookmarkEnd w:id="23"/>
    <w:bookmarkStart w:id="24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[1] Lei nº 14.300/2022 define microgeração (≤ 75 kW) e minigeração (75 kW a 5 MW) e explica autoconsumo local/remoto【816395142012084†L260-L279】.</w:t>
      </w:r>
      <w:r>
        <w:t xml:space="preserve"> </w:t>
      </w:r>
      <w:r>
        <w:t xml:space="preserve">[2] A Resolução Normativa ANEEL 1098/2024 dispensa estudo de inversão de fluxo para microgeração que não injeta energia na rede e para microgeradores de até 7,5 kW de autoconsumo local【292475963586569†L61-L75】.</w:t>
      </w:r>
      <w:r>
        <w:t xml:space="preserve"> </w:t>
      </w:r>
      <w:r>
        <w:t xml:space="preserve">[3] O padrão TIA‑942‑C abrange telecomunicações, energia, mecânica, arquitetura, proteção contra incêndio, segurança e monitoramento para data centers; estabelece requisitos como larguras de gabinetes de 800 mm, capacidade de carga de piso de 5 kPa para salas &lt;20 m² e recomenda fibras ópticas redundantes【422704783727032†L133-L191】.</w:t>
      </w:r>
      <w:r>
        <w:t xml:space="preserve"> </w:t>
      </w:r>
      <w:r>
        <w:t xml:space="preserve">[4] As diretrizes ASHRAE TC 9.9 recomendam faixa de temperatura de 18 °C a 27 °C para equipamentos de TI e definem envelopes de umidade relativos para operação segura【611756818757278†L114-L118】【611756818757278†L167-L178】.</w:t>
      </w:r>
      <w:r>
        <w:t xml:space="preserve"> </w:t>
      </w:r>
      <w:r>
        <w:t xml:space="preserve">[5] O padrão NFPA 75 estabelece requisitos mínimos para proteção de equipamentos de TI, incluindo construção, detecção e supressão de incêndios, registros e procedimentos de emergência【95830123434626†L189-L206】【95830123434626†L210-L229】.</w:t>
      </w:r>
      <w:r>
        <w:t xml:space="preserve"> </w:t>
      </w:r>
      <w:r>
        <w:t xml:space="preserve">[6] Declarações de missão, visão e valores são a base de uma startup; uma ideologia central forte confere identidade e continuidade em face de mudanças【246436382575179†L65-L92】.</w:t>
      </w:r>
      <w:r>
        <w:t xml:space="preserve"> </w:t>
      </w:r>
      <w:r>
        <w:t xml:space="preserve">[7] Um plano de negócios curto (3‑6 meses) é recomendado para startups, permitindo expectativas realistas; investidores podem exigir planos de 5 anos dependendo da indústria【246436382575179†L100-L121】.</w:t>
      </w:r>
      <w:r>
        <w:t xml:space="preserve"> </w:t>
      </w:r>
      <w:r>
        <w:t xml:space="preserve">[8] Um plano de marketing deve começar focando no canal mais valioso e evoluir à medida que a empresa cresce, com objetivos mensuráveis e estratégias de conteúdo【246436382575179†L124-L133】.</w:t>
      </w:r>
      <w:r>
        <w:t xml:space="preserve"> </w:t>
      </w:r>
      <w:r>
        <w:t xml:space="preserve">[9] Um one‑pager conciso comunica a proposta de valor única; um pitch deck deve abordar proposta, problema, mercado‑alvo, solução, modelo de negócios, marcos, estratégia de vendas, equipe, competição e investimento solicitado【246436382575179†L135-L174】.</w:t>
      </w:r>
      <w:r>
        <w:t xml:space="preserve"> </w:t>
      </w:r>
      <w:r>
        <w:t xml:space="preserve">[10] A metodologia Lean Startup foca em aprendizado validado e ciclo construir‑medir‑aprender, com princípios como validação contínua, empreendedorismo como gestão e contabilidade de inovação【169205132389417†L170-L175】【169205132389417†L186-L192】.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2025-09-15T04:30:55Z</dcterms:created>
  <dcterms:modified xsi:type="dcterms:W3CDTF">2025-09-15T04:30:55Z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