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18"/>
          <w:sz w:val="52"/>
          <w:szCs w:val="52"/>
        </w:rPr>
        <w:t xml:space="preserve">2026年 国策俯瞰図</w:t>
      </w:r>
    </w:p>
    <w:p>
      <w:pPr>
        <w:spacing w:after="120" w:before="0"/>
        <w:jc w:val="center"/>
      </w:pPr>
      <w:r>
        <w:rPr>
          <w:rFonts w:ascii="Arial" w:cs="Arial" w:eastAsia="Arial" w:hAnsi="Arial"/>
          <w:color w:val="5a5a55"/>
          <w:sz w:val="28"/>
          <w:szCs w:val="28"/>
        </w:rPr>
        <w:t xml:space="preserve">就活生向けキーワード・解説・取り組み事例集（充実版）</w:t>
      </w:r>
    </w:p>
    <w:p>
      <w:pPr>
        <w:spacing w:after="720" w:before="0"/>
        <w:jc w:val="center"/>
      </w:pPr>
      <w:r>
        <w:rPr>
          <w:rFonts w:ascii="Arial" w:cs="Arial" w:eastAsia="Arial" w:hAnsi="Arial"/>
          <w:color w:val="9a9990"/>
          <w:sz w:val="22"/>
          <w:szCs w:val="22"/>
        </w:rPr>
        <w:t xml:space="preserve">4大分類・16テーマ ─ 各テーマのキーワード・150字解説・事例4〜5件</w:t>
      </w:r>
    </w:p>
    <w:p>
      <w:pPr>
        <w:pBdr>
          <w:bottom w:val="single" w:color="CCCCCC" w:sz="6" w:space="1"/>
        </w:pBdr>
        <w:spacing w:after="480" w:before="0"/>
      </w:pPr>
      <w:r>
        <w:t xml:space="preserve"/>
      </w:r>
    </w:p>
    <w:p>
      <w:pPr>
        <w:spacing w:after="200" w:before="0"/>
      </w:pPr>
      <w:r>
        <w:rPr>
          <w:rFonts w:ascii="Arial" w:cs="Arial" w:eastAsia="Arial" w:hAnsi="Arial"/>
          <w:b/>
          <w:bCs/>
          <w:color w:val="1a1a18"/>
          <w:sz w:val="24"/>
          <w:szCs w:val="24"/>
        </w:rPr>
        <w:t xml:space="preserve">【目次】</w:t>
      </w:r>
    </w:p>
    <w:p>
      <w:pPr>
        <w:spacing w:after="60" w:before="120"/>
      </w:pPr>
      <w:r>
        <w:rPr>
          <w:rFonts w:ascii="Arial" w:cs="Arial" w:eastAsia="Arial" w:hAnsi="Arial"/>
          <w:b/>
          <w:bCs/>
          <w:color w:val="993C1D"/>
          <w:sz w:val="22"/>
          <w:szCs w:val="22"/>
        </w:rPr>
        <w:t xml:space="preserve">① 国を守る・強くする</w:t>
      </w:r>
    </w:p>
    <w:p>
      <w:pPr>
        <w:spacing w:after="40" w:before="40"/>
        <w:ind w:left="360"/>
      </w:pPr>
      <w:r>
        <w:rPr>
          <w:rFonts w:ascii="Arial" w:cs="Arial" w:eastAsia="Arial" w:hAnsi="Arial"/>
          <w:color w:val="444440"/>
          <w:sz w:val="20"/>
          <w:szCs w:val="20"/>
        </w:rPr>
        <w:t xml:space="preserve">・防衛・外交</w:t>
      </w:r>
    </w:p>
    <w:p>
      <w:pPr>
        <w:spacing w:after="40" w:before="40"/>
        <w:ind w:left="360"/>
      </w:pPr>
      <w:r>
        <w:rPr>
          <w:rFonts w:ascii="Arial" w:cs="Arial" w:eastAsia="Arial" w:hAnsi="Arial"/>
          <w:color w:val="444440"/>
          <w:sz w:val="20"/>
          <w:szCs w:val="20"/>
        </w:rPr>
        <w:t xml:space="preserve">・経済安全保障・科学技術</w:t>
      </w:r>
    </w:p>
    <w:p>
      <w:pPr>
        <w:spacing w:after="40" w:before="40"/>
        <w:ind w:left="360"/>
      </w:pPr>
      <w:r>
        <w:rPr>
          <w:rFonts w:ascii="Arial" w:cs="Arial" w:eastAsia="Arial" w:hAnsi="Arial"/>
          <w:color w:val="444440"/>
          <w:sz w:val="20"/>
          <w:szCs w:val="20"/>
        </w:rPr>
        <w:t xml:space="preserve">・海洋立国</w:t>
      </w:r>
    </w:p>
    <w:p>
      <w:pPr>
        <w:spacing w:after="40" w:before="40"/>
        <w:ind w:left="360"/>
      </w:pPr>
      <w:r>
        <w:rPr>
          <w:rFonts w:ascii="Arial" w:cs="Arial" w:eastAsia="Arial" w:hAnsi="Arial"/>
          <w:color w:val="444440"/>
          <w:sz w:val="20"/>
          <w:szCs w:val="20"/>
        </w:rPr>
        <w:t xml:space="preserve">・教育・人材育成</w:t>
      </w:r>
    </w:p>
    <w:p>
      <w:pPr>
        <w:spacing w:after="60" w:before="120"/>
      </w:pPr>
      <w:r>
        <w:rPr>
          <w:rFonts w:ascii="Arial" w:cs="Arial" w:eastAsia="Arial" w:hAnsi="Arial"/>
          <w:b/>
          <w:bCs/>
          <w:color w:val="185FA5"/>
          <w:sz w:val="22"/>
          <w:szCs w:val="22"/>
        </w:rPr>
        <w:t xml:space="preserve">② 暮らしの土台</w:t>
      </w:r>
    </w:p>
    <w:p>
      <w:pPr>
        <w:spacing w:after="40" w:before="40"/>
        <w:ind w:left="360"/>
      </w:pPr>
      <w:r>
        <w:rPr>
          <w:rFonts w:ascii="Arial" w:cs="Arial" w:eastAsia="Arial" w:hAnsi="Arial"/>
          <w:color w:val="444440"/>
          <w:sz w:val="20"/>
          <w:szCs w:val="20"/>
        </w:rPr>
        <w:t xml:space="preserve">・エネルギー安全保障</w:t>
      </w:r>
    </w:p>
    <w:p>
      <w:pPr>
        <w:spacing w:after="40" w:before="40"/>
        <w:ind w:left="360"/>
      </w:pPr>
      <w:r>
        <w:rPr>
          <w:rFonts w:ascii="Arial" w:cs="Arial" w:eastAsia="Arial" w:hAnsi="Arial"/>
          <w:color w:val="444440"/>
          <w:sz w:val="20"/>
          <w:szCs w:val="20"/>
        </w:rPr>
        <w:t xml:space="preserve">・国土強靱化・インフラ更新</w:t>
      </w:r>
    </w:p>
    <w:p>
      <w:pPr>
        <w:spacing w:after="40" w:before="40"/>
        <w:ind w:left="360"/>
      </w:pPr>
      <w:r>
        <w:rPr>
          <w:rFonts w:ascii="Arial" w:cs="Arial" w:eastAsia="Arial" w:hAnsi="Arial"/>
          <w:color w:val="444440"/>
          <w:sz w:val="20"/>
          <w:szCs w:val="20"/>
        </w:rPr>
        <w:t xml:space="preserve">・金融・資産運用立国</w:t>
      </w:r>
    </w:p>
    <w:p>
      <w:pPr>
        <w:spacing w:after="40" w:before="40"/>
        <w:ind w:left="360"/>
      </w:pPr>
      <w:r>
        <w:rPr>
          <w:rFonts w:ascii="Arial" w:cs="Arial" w:eastAsia="Arial" w:hAnsi="Arial"/>
          <w:color w:val="444440"/>
          <w:sz w:val="20"/>
          <w:szCs w:val="20"/>
        </w:rPr>
        <w:t xml:space="preserve">・交通・物流ネットワーク</w:t>
      </w:r>
    </w:p>
    <w:p>
      <w:pPr>
        <w:spacing w:after="60" w:before="120"/>
      </w:pPr>
      <w:r>
        <w:rPr>
          <w:rFonts w:ascii="Arial" w:cs="Arial" w:eastAsia="Arial" w:hAnsi="Arial"/>
          <w:b/>
          <w:bCs/>
          <w:color w:val="0F6E56"/>
          <w:sz w:val="22"/>
          <w:szCs w:val="22"/>
        </w:rPr>
        <w:t xml:space="preserve">③ 持続可能な社会</w:t>
      </w:r>
    </w:p>
    <w:p>
      <w:pPr>
        <w:spacing w:after="40" w:before="40"/>
        <w:ind w:left="360"/>
      </w:pPr>
      <w:r>
        <w:rPr>
          <w:rFonts w:ascii="Arial" w:cs="Arial" w:eastAsia="Arial" w:hAnsi="Arial"/>
          <w:color w:val="444440"/>
          <w:sz w:val="20"/>
          <w:szCs w:val="20"/>
        </w:rPr>
        <w:t xml:space="preserve">・こども・若者・教育</w:t>
      </w:r>
    </w:p>
    <w:p>
      <w:pPr>
        <w:spacing w:after="40" w:before="40"/>
        <w:ind w:left="360"/>
      </w:pPr>
      <w:r>
        <w:rPr>
          <w:rFonts w:ascii="Arial" w:cs="Arial" w:eastAsia="Arial" w:hAnsi="Arial"/>
          <w:color w:val="444440"/>
          <w:sz w:val="20"/>
          <w:szCs w:val="20"/>
        </w:rPr>
        <w:t xml:space="preserve">・健康・働き方・福祉</w:t>
      </w:r>
    </w:p>
    <w:p>
      <w:pPr>
        <w:spacing w:after="40" w:before="40"/>
        <w:ind w:left="360"/>
      </w:pPr>
      <w:r>
        <w:rPr>
          <w:rFonts w:ascii="Arial" w:cs="Arial" w:eastAsia="Arial" w:hAnsi="Arial"/>
          <w:color w:val="444440"/>
          <w:sz w:val="20"/>
          <w:szCs w:val="20"/>
        </w:rPr>
        <w:t xml:space="preserve">・食料安全保障・スマート農林水産</w:t>
      </w:r>
    </w:p>
    <w:p>
      <w:pPr>
        <w:spacing w:after="40" w:before="40"/>
        <w:ind w:left="360"/>
      </w:pPr>
      <w:r>
        <w:rPr>
          <w:rFonts w:ascii="Arial" w:cs="Arial" w:eastAsia="Arial" w:hAnsi="Arial"/>
          <w:color w:val="444440"/>
          <w:sz w:val="20"/>
          <w:szCs w:val="20"/>
        </w:rPr>
        <w:t xml:space="preserve">・環境・ウェルビーイング</w:t>
      </w:r>
    </w:p>
    <w:p>
      <w:pPr>
        <w:spacing w:after="60" w:before="120"/>
      </w:pPr>
      <w:r>
        <w:rPr>
          <w:rFonts w:ascii="Arial" w:cs="Arial" w:eastAsia="Arial" w:hAnsi="Arial"/>
          <w:b/>
          <w:bCs/>
          <w:color w:val="854F0B"/>
          <w:sz w:val="22"/>
          <w:szCs w:val="22"/>
        </w:rPr>
        <w:t xml:space="preserve">④ 地域を活性化する</w:t>
      </w:r>
    </w:p>
    <w:p>
      <w:pPr>
        <w:spacing w:after="40" w:before="40"/>
        <w:ind w:left="360"/>
      </w:pPr>
      <w:r>
        <w:rPr>
          <w:rFonts w:ascii="Arial" w:cs="Arial" w:eastAsia="Arial" w:hAnsi="Arial"/>
          <w:color w:val="444440"/>
          <w:sz w:val="20"/>
          <w:szCs w:val="20"/>
        </w:rPr>
        <w:t xml:space="preserve">・地方創生・デジタル田園都市</w:t>
      </w:r>
    </w:p>
    <w:p>
      <w:pPr>
        <w:spacing w:after="40" w:before="40"/>
        <w:ind w:left="360"/>
      </w:pPr>
      <w:r>
        <w:rPr>
          <w:rFonts w:ascii="Arial" w:cs="Arial" w:eastAsia="Arial" w:hAnsi="Arial"/>
          <w:color w:val="444440"/>
          <w:sz w:val="20"/>
          <w:szCs w:val="20"/>
        </w:rPr>
        <w:t xml:space="preserve">・インバウンド誘致と地域の物語</w:t>
      </w:r>
    </w:p>
    <w:p>
      <w:pPr>
        <w:spacing w:after="40" w:before="40"/>
        <w:ind w:left="360"/>
      </w:pPr>
      <w:r>
        <w:rPr>
          <w:rFonts w:ascii="Arial" w:cs="Arial" w:eastAsia="Arial" w:hAnsi="Arial"/>
          <w:color w:val="444440"/>
          <w:sz w:val="20"/>
          <w:szCs w:val="20"/>
        </w:rPr>
        <w:t xml:space="preserve">・人口減少下の国土利用・管理</w:t>
      </w:r>
    </w:p>
    <w:p>
      <w:pPr>
        <w:spacing w:after="40" w:before="40"/>
        <w:ind w:left="360"/>
      </w:pPr>
      <w:r>
        <w:rPr>
          <w:rFonts w:ascii="Arial" w:cs="Arial" w:eastAsia="Arial" w:hAnsi="Arial"/>
          <w:color w:val="444440"/>
          <w:sz w:val="20"/>
          <w:szCs w:val="20"/>
        </w:rPr>
        <w:t xml:space="preserve">・多文化共生と人材獲得</w:t>
      </w:r>
    </w:p>
    <w:p>
      <w:pPr>
        <w:pBdr>
          <w:bottom w:val="single" w:color="CCCCCC" w:sz="6" w:space="1"/>
        </w:pBdr>
        <w:spacing w:after="480" w:before="360"/>
      </w:pPr>
      <w:r>
        <w:t xml:space="preserve"/>
      </w:r>
    </w:p>
    <w:p>
      <w:pPr>
        <w:pStyle w:val="Heading1"/>
        <w:spacing w:after="180" w:before="360"/>
      </w:pPr>
      <w:r>
        <w:rPr>
          <w:rFonts w:ascii="Arial" w:cs="Arial" w:eastAsia="Arial" w:hAnsi="Arial"/>
          <w:b/>
          <w:bCs/>
          <w:color w:val="993C1D"/>
          <w:sz w:val="32"/>
          <w:szCs w:val="32"/>
        </w:rPr>
        <w:t xml:space="preserve">① 国を守る・強くする</w:t>
      </w:r>
      <w:r>
        <w:rPr>
          <w:rFonts w:ascii="Arial" w:cs="Arial" w:eastAsia="Arial" w:hAnsi="Arial"/>
          <w:color w:val="9a9990"/>
          <w:sz w:val="22"/>
          <w:szCs w:val="22"/>
        </w:rPr>
        <w:t xml:space="preserve">  Security &amp; Power</w:t>
      </w:r>
    </w:p>
    <w:p>
      <w:pPr>
        <w:spacing w:after="100" w:before="280"/>
      </w:pPr>
      <w:r>
        <w:rPr>
          <w:rFonts w:ascii="Arial" w:cs="Arial" w:eastAsia="Arial" w:hAnsi="Arial"/>
          <w:b/>
          <w:bCs/>
          <w:color w:val="993C1D"/>
          <w:sz w:val="26"/>
          <w:szCs w:val="26"/>
        </w:rPr>
        <w:t xml:space="preserve">▍防衛・外交　</w:t>
      </w:r>
      <w:r>
        <w:rPr>
          <w:rFonts w:ascii="Arial" w:cs="Arial" w:eastAsia="Arial" w:hAnsi="Arial"/>
          <w:color w:val="777770"/>
          <w:sz w:val="20"/>
          <w:szCs w:val="20"/>
        </w:rPr>
        <w:t xml:space="preserve">抑止力強化と国際協力</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FAECE7" w:val="clear"/>
            <w:tcMar>
              <w:top w:type="dxa" w:w="80"/>
              <w:left w:type="dxa" w:w="150"/>
              <w:bottom w:type="dxa" w:w="80"/>
              <w:right w:type="dxa" w:w="120"/>
            </w:tcMar>
            <w:vAlign w:val="top"/>
          </w:tcPr>
          <w:p>
            <w:r>
              <w:rPr>
                <w:rFonts w:ascii="Arial" w:cs="Arial" w:eastAsia="Arial" w:hAnsi="Arial"/>
                <w:b/>
                <w:bCs/>
                <w:color w:val="993C1D"/>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スタンド・オフ防衛能力 ／ 統合防空ミサイル防衛 ／ 無人アセット（ドローン・AI） ／ 反撃能力・5か年計画</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993C1D"/>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日本が攻撃されないよう「やり返せる力」を高め、ミサイルや無人機などを整備する取り組み。日本への侵攻を抑えるため、自衛隊の能力を根本から強くし、同盟国との協力も深める。</w:t>
            </w:r>
          </w:p>
        </w:tc>
      </w:tr>
      <w:tr>
        <w:tc>
          <w:tcPr>
            <w:tcW w:type="dxa" w:w="1800"/>
            <w:tcBorders>
              <w:top w:val="single" w:color="CCCCCC" w:sz="4"/>
              <w:left w:val="single" w:color="CCCCCC" w:sz="4"/>
              <w:bottom w:val="single" w:color="CCCCCC" w:sz="4"/>
              <w:right w:val="single" w:color="CCCCCC" w:sz="4"/>
            </w:tcBorders>
            <w:shd w:fill="FAECE7" w:val="clear"/>
            <w:tcMar>
              <w:top w:type="dxa" w:w="80"/>
              <w:left w:type="dxa" w:w="150"/>
              <w:bottom w:type="dxa" w:w="80"/>
              <w:right w:type="dxa" w:w="120"/>
            </w:tcMar>
            <w:vAlign w:val="top"/>
          </w:tcPr>
          <w:p>
            <w:r>
              <w:rPr>
                <w:rFonts w:ascii="Arial" w:cs="Arial" w:eastAsia="Arial" w:hAnsi="Arial"/>
                <w:b/>
                <w:bCs/>
                <w:color w:val="993C1D"/>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防衛・宇宙産業 / 電機・重工業 / 安保コンサル</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993C1D"/>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三菱重工・川崎重工・IHIによる次期戦闘機（GCAP）の英伊との国際共同開発が正式スタート</w:t>
            </w:r>
          </w:p>
          <w:p>
            <w:pPr>
              <w:pStyle w:val="ListParagraph"/>
              <w:numPr>
                <w:ilvl w:val="0"/>
                <w:numId w:val="2"/>
              </w:numPr>
              <w:spacing w:after="40" w:before="40"/>
            </w:pPr>
            <w:r>
              <w:rPr>
                <w:rFonts w:ascii="Arial" w:cs="Arial" w:eastAsia="Arial" w:hAnsi="Arial"/>
                <w:color w:val="333333"/>
                <w:sz w:val="20"/>
                <w:szCs w:val="20"/>
              </w:rPr>
              <w:t xml:space="preserve">防衛費を2023〜27年度で43兆円（GDP比2%）に増額し、5年間で抜本的に強化する計画を閣議決定</w:t>
            </w:r>
          </w:p>
          <w:p>
            <w:pPr>
              <w:pStyle w:val="ListParagraph"/>
              <w:numPr>
                <w:ilvl w:val="0"/>
                <w:numId w:val="2"/>
              </w:numPr>
              <w:spacing w:after="40" w:before="40"/>
            </w:pPr>
            <w:r>
              <w:rPr>
                <w:rFonts w:ascii="Arial" w:cs="Arial" w:eastAsia="Arial" w:hAnsi="Arial"/>
                <w:color w:val="333333"/>
                <w:sz w:val="20"/>
                <w:szCs w:val="20"/>
              </w:rPr>
              <w:t xml:space="preserve">陸・海・空・宇宙・サイバー・電磁波を組み合わせて戦う「統合作戦司令部」を2024年3月に新設</w:t>
            </w:r>
          </w:p>
          <w:p>
            <w:pPr>
              <w:pStyle w:val="ListParagraph"/>
              <w:numPr>
                <w:ilvl w:val="0"/>
                <w:numId w:val="2"/>
              </w:numPr>
              <w:spacing w:after="40" w:before="40"/>
            </w:pPr>
            <w:r>
              <w:rPr>
                <w:rFonts w:ascii="Arial" w:cs="Arial" w:eastAsia="Arial" w:hAnsi="Arial"/>
                <w:color w:val="333333"/>
                <w:sz w:val="20"/>
                <w:szCs w:val="20"/>
              </w:rPr>
              <w:t xml:space="preserve">海上保安庁・自衛隊の共同訓練強化と、南西諸島への部隊・ミサイル配備を加速</w:t>
            </w:r>
          </w:p>
          <w:p>
            <w:pPr>
              <w:pStyle w:val="ListParagraph"/>
              <w:numPr>
                <w:ilvl w:val="0"/>
                <w:numId w:val="2"/>
              </w:numPr>
              <w:spacing w:after="40" w:before="40"/>
            </w:pPr>
            <w:r>
              <w:rPr>
                <w:rFonts w:ascii="Arial" w:cs="Arial" w:eastAsia="Arial" w:hAnsi="Arial"/>
                <w:color w:val="333333"/>
                <w:sz w:val="20"/>
                <w:szCs w:val="20"/>
              </w:rPr>
              <w:t xml:space="preserve">日米・日英・日豪などの2国間防衛協力を強化し、情報共有・演習を拡大</w:t>
            </w:r>
          </w:p>
        </w:tc>
      </w:tr>
    </w:tbl>
    <w:p>
      <w:pPr>
        <w:spacing w:after="200" w:before="0"/>
      </w:pPr>
      <w:r>
        <w:t xml:space="preserve"/>
      </w:r>
    </w:p>
    <w:p>
      <w:pPr>
        <w:spacing w:after="100" w:before="280"/>
      </w:pPr>
      <w:r>
        <w:rPr>
          <w:rFonts w:ascii="Arial" w:cs="Arial" w:eastAsia="Arial" w:hAnsi="Arial"/>
          <w:b/>
          <w:bCs/>
          <w:color w:val="993C1D"/>
          <w:sz w:val="26"/>
          <w:szCs w:val="26"/>
        </w:rPr>
        <w:t xml:space="preserve">▍経済安全保障・科学技術　</w:t>
      </w:r>
      <w:r>
        <w:rPr>
          <w:rFonts w:ascii="Arial" w:cs="Arial" w:eastAsia="Arial" w:hAnsi="Arial"/>
          <w:color w:val="777770"/>
          <w:sz w:val="20"/>
          <w:szCs w:val="20"/>
        </w:rPr>
        <w:t xml:space="preserve">重要物資と先端技術の保護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FAECE7" w:val="clear"/>
            <w:tcMar>
              <w:top w:type="dxa" w:w="80"/>
              <w:left w:type="dxa" w:w="150"/>
              <w:bottom w:type="dxa" w:w="80"/>
              <w:right w:type="dxa" w:w="120"/>
            </w:tcMar>
            <w:vAlign w:val="top"/>
          </w:tcPr>
          <w:p>
            <w:r>
              <w:rPr>
                <w:rFonts w:ascii="Arial" w:cs="Arial" w:eastAsia="Arial" w:hAnsi="Arial"/>
                <w:b/>
                <w:bCs/>
                <w:color w:val="993C1D"/>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特定重要物資（半導体・蓄電池） ／ 特許非公開制度 ／ 基幹インフラ審査 ／ Run Fasterパートナーシップ</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993C1D"/>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半導体や電池など、暮らしに欠かせない物資を特定の国から急に止められないよう、国内生産や備蓄を強化する取り組み。最先端技術が海外に盗まれないよう特許を非公開にする制度も整える。</w:t>
            </w:r>
          </w:p>
        </w:tc>
      </w:tr>
      <w:tr>
        <w:tc>
          <w:tcPr>
            <w:tcW w:type="dxa" w:w="1800"/>
            <w:tcBorders>
              <w:top w:val="single" w:color="CCCCCC" w:sz="4"/>
              <w:left w:val="single" w:color="CCCCCC" w:sz="4"/>
              <w:bottom w:val="single" w:color="CCCCCC" w:sz="4"/>
              <w:right w:val="single" w:color="CCCCCC" w:sz="4"/>
            </w:tcBorders>
            <w:shd w:fill="FAECE7" w:val="clear"/>
            <w:tcMar>
              <w:top w:type="dxa" w:w="80"/>
              <w:left w:type="dxa" w:w="150"/>
              <w:bottom w:type="dxa" w:w="80"/>
              <w:right w:type="dxa" w:w="120"/>
            </w:tcMar>
            <w:vAlign w:val="top"/>
          </w:tcPr>
          <w:p>
            <w:r>
              <w:rPr>
                <w:rFonts w:ascii="Arial" w:cs="Arial" w:eastAsia="Arial" w:hAnsi="Arial"/>
                <w:b/>
                <w:bCs/>
                <w:color w:val="993C1D"/>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半導体・IT / 総合商社 / シンクタンク・コンサル</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993C1D"/>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ラピダス（国産2nm半導体）が北海道千歳市に工場建設中。2027年量産開始に向け国が累計約1.8兆円支援</w:t>
            </w:r>
          </w:p>
          <w:p>
            <w:pPr>
              <w:pStyle w:val="ListParagraph"/>
              <w:numPr>
                <w:ilvl w:val="0"/>
                <w:numId w:val="2"/>
              </w:numPr>
              <w:spacing w:after="40" w:before="40"/>
            </w:pPr>
            <w:r>
              <w:rPr>
                <w:rFonts w:ascii="Arial" w:cs="Arial" w:eastAsia="Arial" w:hAnsi="Arial"/>
                <w:color w:val="333333"/>
                <w:sz w:val="20"/>
                <w:szCs w:val="20"/>
              </w:rPr>
              <w:t xml:space="preserve">TSMC（台湾）が熊本に第1・第2工場を建設。国が計1.2兆円超を補助し、周辺に170社超が集積</w:t>
            </w:r>
          </w:p>
          <w:p>
            <w:pPr>
              <w:pStyle w:val="ListParagraph"/>
              <w:numPr>
                <w:ilvl w:val="0"/>
                <w:numId w:val="2"/>
              </w:numPr>
              <w:spacing w:after="40" w:before="40"/>
            </w:pPr>
            <w:r>
              <w:rPr>
                <w:rFonts w:ascii="Arial" w:cs="Arial" w:eastAsia="Arial" w:hAnsi="Arial"/>
                <w:color w:val="333333"/>
                <w:sz w:val="20"/>
                <w:szCs w:val="20"/>
              </w:rPr>
              <w:t xml:space="preserve">半導体・AI産業基盤強化フレームで2030年度までに10兆円以上の公的支援・50兆円の官民投資を目標に設定</w:t>
            </w:r>
          </w:p>
          <w:p>
            <w:pPr>
              <w:pStyle w:val="ListParagraph"/>
              <w:numPr>
                <w:ilvl w:val="0"/>
                <w:numId w:val="2"/>
              </w:numPr>
              <w:spacing w:after="40" w:before="40"/>
            </w:pPr>
            <w:r>
              <w:rPr>
                <w:rFonts w:ascii="Arial" w:cs="Arial" w:eastAsia="Arial" w:hAnsi="Arial"/>
                <w:color w:val="333333"/>
                <w:sz w:val="20"/>
                <w:szCs w:val="20"/>
              </w:rPr>
              <w:t xml:space="preserve">三菱電機・ソニーなどが国内でのパワー半導体・CMOSイメージセンサー設備投資を数千億円規模で加速</w:t>
            </w:r>
          </w:p>
          <w:p>
            <w:pPr>
              <w:pStyle w:val="ListParagraph"/>
              <w:numPr>
                <w:ilvl w:val="0"/>
                <w:numId w:val="2"/>
              </w:numPr>
              <w:spacing w:after="40" w:before="40"/>
            </w:pPr>
            <w:r>
              <w:rPr>
                <w:rFonts w:ascii="Arial" w:cs="Arial" w:eastAsia="Arial" w:hAnsi="Arial"/>
                <w:color w:val="333333"/>
                <w:sz w:val="20"/>
                <w:szCs w:val="20"/>
              </w:rPr>
              <w:t xml:space="preserve">特許非公開制度（2023年施行）で安全保障上の重要技術の海外流出を防ぐ仕組みが始動</w:t>
            </w:r>
          </w:p>
        </w:tc>
      </w:tr>
    </w:tbl>
    <w:p>
      <w:pPr>
        <w:spacing w:after="200" w:before="0"/>
      </w:pPr>
      <w:r>
        <w:t xml:space="preserve"/>
      </w:r>
    </w:p>
    <w:p>
      <w:pPr>
        <w:spacing w:after="100" w:before="280"/>
      </w:pPr>
      <w:r>
        <w:rPr>
          <w:rFonts w:ascii="Arial" w:cs="Arial" w:eastAsia="Arial" w:hAnsi="Arial"/>
          <w:b/>
          <w:bCs/>
          <w:color w:val="993C1D"/>
          <w:sz w:val="26"/>
          <w:szCs w:val="26"/>
        </w:rPr>
        <w:t xml:space="preserve">▍海洋立国　</w:t>
      </w:r>
      <w:r>
        <w:rPr>
          <w:rFonts w:ascii="Arial" w:cs="Arial" w:eastAsia="Arial" w:hAnsi="Arial"/>
          <w:color w:val="777770"/>
          <w:sz w:val="20"/>
          <w:szCs w:val="20"/>
        </w:rPr>
        <w:t xml:space="preserve">安全な航行と海洋エネルギーの開発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FAECE7" w:val="clear"/>
            <w:tcMar>
              <w:top w:type="dxa" w:w="80"/>
              <w:left w:type="dxa" w:w="150"/>
              <w:bottom w:type="dxa" w:w="80"/>
              <w:right w:type="dxa" w:w="120"/>
            </w:tcMar>
            <w:vAlign w:val="top"/>
          </w:tcPr>
          <w:p>
            <w:r>
              <w:rPr>
                <w:rFonts w:ascii="Arial" w:cs="Arial" w:eastAsia="Arial" w:hAnsi="Arial"/>
                <w:b/>
                <w:bCs/>
                <w:color w:val="993C1D"/>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シーレーン防衛 ／ 洋上風力発電（EEZ活用） ／ グリーン海運（IMO規制） ／ 海しる（海洋データ統合）</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993C1D"/>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四方を海に囲む日本が、安全に海を使い続けるための戦略。貿易ルートを守りながら、海の上に風車を建てて電力を作る洋上風力発電や、CO2を出さない船の開発も積極的に進める。</w:t>
            </w:r>
          </w:p>
        </w:tc>
      </w:tr>
      <w:tr>
        <w:tc>
          <w:tcPr>
            <w:tcW w:type="dxa" w:w="1800"/>
            <w:tcBorders>
              <w:top w:val="single" w:color="CCCCCC" w:sz="4"/>
              <w:left w:val="single" w:color="CCCCCC" w:sz="4"/>
              <w:bottom w:val="single" w:color="CCCCCC" w:sz="4"/>
              <w:right w:val="single" w:color="CCCCCC" w:sz="4"/>
            </w:tcBorders>
            <w:shd w:fill="FAECE7" w:val="clear"/>
            <w:tcMar>
              <w:top w:type="dxa" w:w="80"/>
              <w:left w:type="dxa" w:w="150"/>
              <w:bottom w:type="dxa" w:w="80"/>
              <w:right w:type="dxa" w:w="120"/>
            </w:tcMar>
            <w:vAlign w:val="top"/>
          </w:tcPr>
          <w:p>
            <w:r>
              <w:rPr>
                <w:rFonts w:ascii="Arial" w:cs="Arial" w:eastAsia="Arial" w:hAnsi="Arial"/>
                <w:b/>
                <w:bCs/>
                <w:color w:val="993C1D"/>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海運・造船 / 電力・エネルギー / 海洋調査</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993C1D"/>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北九州響灘に国内最大規模（最大22万kW）の着床式洋上ウインドファームが2025年度中に運転開始予定</w:t>
            </w:r>
          </w:p>
          <w:p>
            <w:pPr>
              <w:pStyle w:val="ListParagraph"/>
              <w:numPr>
                <w:ilvl w:val="0"/>
                <w:numId w:val="2"/>
              </w:numPr>
              <w:spacing w:after="40" w:before="40"/>
            </w:pPr>
            <w:r>
              <w:rPr>
                <w:rFonts w:ascii="Arial" w:cs="Arial" w:eastAsia="Arial" w:hAnsi="Arial"/>
                <w:color w:val="333333"/>
                <w:sz w:val="20"/>
                <w:szCs w:val="20"/>
              </w:rPr>
              <w:t xml:space="preserve">政府が「洋上風力産業ビジョン第2次」を2025年8月に公表。2040年までに浮体式15GW案件形成を目標に設定</w:t>
            </w:r>
          </w:p>
          <w:p>
            <w:pPr>
              <w:pStyle w:val="ListParagraph"/>
              <w:numPr>
                <w:ilvl w:val="0"/>
                <w:numId w:val="2"/>
              </w:numPr>
              <w:spacing w:after="40" w:before="40"/>
            </w:pPr>
            <w:r>
              <w:rPr>
                <w:rFonts w:ascii="Arial" w:cs="Arial" w:eastAsia="Arial" w:hAnsi="Arial"/>
                <w:color w:val="333333"/>
                <w:sz w:val="20"/>
                <w:szCs w:val="20"/>
              </w:rPr>
              <w:t xml:space="preserve">商船三井・日本郵船がアンモニア燃料船を商用開発。IMO規制強化に対応したゼロエミッション船の実用化を推進</w:t>
            </w:r>
          </w:p>
          <w:p>
            <w:pPr>
              <w:pStyle w:val="ListParagraph"/>
              <w:numPr>
                <w:ilvl w:val="0"/>
                <w:numId w:val="2"/>
              </w:numPr>
              <w:spacing w:after="40" w:before="40"/>
            </w:pPr>
            <w:r>
              <w:rPr>
                <w:rFonts w:ascii="Arial" w:cs="Arial" w:eastAsia="Arial" w:hAnsi="Arial"/>
                <w:color w:val="333333"/>
                <w:sz w:val="20"/>
                <w:szCs w:val="20"/>
              </w:rPr>
              <w:t xml:space="preserve">再エネ海域利用法を改正し、排他的経済水域（EEZ）でも洋上風力が建設可能になる法整備が2025年に完了</w:t>
            </w:r>
          </w:p>
          <w:p>
            <w:pPr>
              <w:pStyle w:val="ListParagraph"/>
              <w:numPr>
                <w:ilvl w:val="0"/>
                <w:numId w:val="2"/>
              </w:numPr>
              <w:spacing w:after="40" w:before="40"/>
            </w:pPr>
            <w:r>
              <w:rPr>
                <w:rFonts w:ascii="Arial" w:cs="Arial" w:eastAsia="Arial" w:hAnsi="Arial"/>
                <w:color w:val="333333"/>
                <w:sz w:val="20"/>
                <w:szCs w:val="20"/>
              </w:rPr>
              <w:t xml:space="preserve">政府の海洋データ統合システム「海しる」が整備され、漁業・防災・エネルギー開発に活用が拡大</w:t>
            </w:r>
          </w:p>
        </w:tc>
      </w:tr>
    </w:tbl>
    <w:p>
      <w:pPr>
        <w:spacing w:after="200" w:before="0"/>
      </w:pPr>
      <w:r>
        <w:t xml:space="preserve"/>
      </w:r>
    </w:p>
    <w:p>
      <w:pPr>
        <w:spacing w:after="100" w:before="280"/>
      </w:pPr>
      <w:r>
        <w:rPr>
          <w:rFonts w:ascii="Arial" w:cs="Arial" w:eastAsia="Arial" w:hAnsi="Arial"/>
          <w:b/>
          <w:bCs/>
          <w:color w:val="993C1D"/>
          <w:sz w:val="26"/>
          <w:szCs w:val="26"/>
        </w:rPr>
        <w:t xml:space="preserve">▍教育・人材育成　</w:t>
      </w:r>
      <w:r>
        <w:rPr>
          <w:rFonts w:ascii="Arial" w:cs="Arial" w:eastAsia="Arial" w:hAnsi="Arial"/>
          <w:color w:val="777770"/>
          <w:sz w:val="20"/>
          <w:szCs w:val="20"/>
        </w:rPr>
        <w:t xml:space="preserve">デジタル人材と研究力強化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FAECE7" w:val="clear"/>
            <w:tcMar>
              <w:top w:type="dxa" w:w="80"/>
              <w:left w:type="dxa" w:w="150"/>
              <w:bottom w:type="dxa" w:w="80"/>
              <w:right w:type="dxa" w:w="120"/>
            </w:tcMar>
            <w:vAlign w:val="top"/>
          </w:tcPr>
          <w:p>
            <w:r>
              <w:rPr>
                <w:rFonts w:ascii="Arial" w:cs="Arial" w:eastAsia="Arial" w:hAnsi="Arial"/>
                <w:b/>
                <w:bCs/>
                <w:color w:val="993C1D"/>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GIGAスクール構想 ／ 10兆円大学ファンド ／ 博士人材の多様な活躍 ／ 理工農系転換支援</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993C1D"/>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AIやデジタルを使いこなす人材を育て、日本の科学研究力を世界レベルに取り戻す取り組み。10兆円のファンドを運用して大学を支援し、博士号を持つ人が企業でも活躍しやすくする。</w:t>
            </w:r>
          </w:p>
        </w:tc>
      </w:tr>
      <w:tr>
        <w:tc>
          <w:tcPr>
            <w:tcW w:type="dxa" w:w="1800"/>
            <w:tcBorders>
              <w:top w:val="single" w:color="CCCCCC" w:sz="4"/>
              <w:left w:val="single" w:color="CCCCCC" w:sz="4"/>
              <w:bottom w:val="single" w:color="CCCCCC" w:sz="4"/>
              <w:right w:val="single" w:color="CCCCCC" w:sz="4"/>
            </w:tcBorders>
            <w:shd w:fill="FAECE7" w:val="clear"/>
            <w:tcMar>
              <w:top w:type="dxa" w:w="80"/>
              <w:left w:type="dxa" w:w="150"/>
              <w:bottom w:type="dxa" w:w="80"/>
              <w:right w:type="dxa" w:w="120"/>
            </w:tcMar>
            <w:vAlign w:val="top"/>
          </w:tcPr>
          <w:p>
            <w:r>
              <w:rPr>
                <w:rFonts w:ascii="Arial" w:cs="Arial" w:eastAsia="Arial" w:hAnsi="Arial"/>
                <w:b/>
                <w:bCs/>
                <w:color w:val="993C1D"/>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教育・EdTech / 研究機関 / IT・コンサル</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993C1D"/>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東京大学が「国際卓越研究大学」第1号に認定され、10兆円大学ファンドから年数百億円規模の支援が始動</w:t>
            </w:r>
          </w:p>
          <w:p>
            <w:pPr>
              <w:pStyle w:val="ListParagraph"/>
              <w:numPr>
                <w:ilvl w:val="0"/>
                <w:numId w:val="2"/>
              </w:numPr>
              <w:spacing w:after="40" w:before="40"/>
            </w:pPr>
            <w:r>
              <w:rPr>
                <w:rFonts w:ascii="Arial" w:cs="Arial" w:eastAsia="Arial" w:hAnsi="Arial"/>
                <w:color w:val="333333"/>
                <w:sz w:val="20"/>
                <w:szCs w:val="20"/>
              </w:rPr>
              <w:t xml:space="preserve">GIGAスクール構想で全国の小中学生に1人1台端末を配布完了。2025年度から端末の計画的更新フェーズへ</w:t>
            </w:r>
          </w:p>
          <w:p>
            <w:pPr>
              <w:pStyle w:val="ListParagraph"/>
              <w:numPr>
                <w:ilvl w:val="0"/>
                <w:numId w:val="2"/>
              </w:numPr>
              <w:spacing w:after="40" w:before="40"/>
            </w:pPr>
            <w:r>
              <w:rPr>
                <w:rFonts w:ascii="Arial" w:cs="Arial" w:eastAsia="Arial" w:hAnsi="Arial"/>
                <w:color w:val="333333"/>
                <w:sz w:val="20"/>
                <w:szCs w:val="20"/>
              </w:rPr>
              <w:t xml:space="preserve">高校教育改革「N-E.X.T.ハイスクール構想」で理数・AI・起業家教育を強化する拠点校を全国に整備開始</w:t>
            </w:r>
          </w:p>
          <w:p>
            <w:pPr>
              <w:pStyle w:val="ListParagraph"/>
              <w:numPr>
                <w:ilvl w:val="0"/>
                <w:numId w:val="2"/>
              </w:numPr>
              <w:spacing w:after="40" w:before="40"/>
            </w:pPr>
            <w:r>
              <w:rPr>
                <w:rFonts w:ascii="Arial" w:cs="Arial" w:eastAsia="Arial" w:hAnsi="Arial"/>
                <w:color w:val="333333"/>
                <w:sz w:val="20"/>
                <w:szCs w:val="20"/>
              </w:rPr>
              <w:t xml:space="preserve">大学の理工農系転換を支援する「地域中核・特色ある研究大学強化促進事業」で文理融合型学部を多数新設</w:t>
            </w:r>
          </w:p>
          <w:p>
            <w:pPr>
              <w:pStyle w:val="ListParagraph"/>
              <w:numPr>
                <w:ilvl w:val="0"/>
                <w:numId w:val="2"/>
              </w:numPr>
              <w:spacing w:after="40" w:before="40"/>
            </w:pPr>
            <w:r>
              <w:rPr>
                <w:rFonts w:ascii="Arial" w:cs="Arial" w:eastAsia="Arial" w:hAnsi="Arial"/>
                <w:color w:val="333333"/>
                <w:sz w:val="20"/>
                <w:szCs w:val="20"/>
              </w:rPr>
              <w:t xml:space="preserve">博士人材の民間活躍推進のため、企業と大学院が連携する「産学共創博士課程」の設置が相次ぐ</w:t>
            </w:r>
          </w:p>
        </w:tc>
      </w:tr>
    </w:tbl>
    <w:p>
      <w:pPr>
        <w:spacing w:after="200" w:before="0"/>
      </w:pPr>
      <w:r>
        <w:t xml:space="preserve"/>
      </w:r>
    </w:p>
    <w:p>
      <w:pPr>
        <w:pBdr>
          <w:bottom w:val="single" w:color="F0997B" w:sz="4" w:space="1"/>
        </w:pBdr>
        <w:spacing w:after="360" w:before="240"/>
      </w:pPr>
      <w:r>
        <w:t xml:space="preserve"/>
      </w:r>
    </w:p>
    <w:p>
      <w:pPr>
        <w:pStyle w:val="Heading1"/>
        <w:spacing w:after="180" w:before="360"/>
      </w:pPr>
      <w:r>
        <w:rPr>
          <w:rFonts w:ascii="Arial" w:cs="Arial" w:eastAsia="Arial" w:hAnsi="Arial"/>
          <w:b/>
          <w:bCs/>
          <w:color w:val="185FA5"/>
          <w:sz w:val="32"/>
          <w:szCs w:val="32"/>
        </w:rPr>
        <w:t xml:space="preserve">② 暮らしの土台</w:t>
      </w:r>
      <w:r>
        <w:rPr>
          <w:rFonts w:ascii="Arial" w:cs="Arial" w:eastAsia="Arial" w:hAnsi="Arial"/>
          <w:color w:val="9a9990"/>
          <w:sz w:val="22"/>
          <w:szCs w:val="22"/>
        </w:rPr>
        <w:t xml:space="preserve">  Foundation &amp; Stability</w:t>
      </w:r>
    </w:p>
    <w:p>
      <w:pPr>
        <w:spacing w:after="100" w:before="280"/>
      </w:pPr>
      <w:r>
        <w:rPr>
          <w:rFonts w:ascii="Arial" w:cs="Arial" w:eastAsia="Arial" w:hAnsi="Arial"/>
          <w:b/>
          <w:bCs/>
          <w:color w:val="185FA5"/>
          <w:sz w:val="26"/>
          <w:szCs w:val="26"/>
        </w:rPr>
        <w:t xml:space="preserve">▍エネルギー安全保障　</w:t>
      </w:r>
      <w:r>
        <w:rPr>
          <w:rFonts w:ascii="Arial" w:cs="Arial" w:eastAsia="Arial" w:hAnsi="Arial"/>
          <w:color w:val="777770"/>
          <w:sz w:val="20"/>
          <w:szCs w:val="20"/>
        </w:rPr>
        <w:t xml:space="preserve">再エネ・水素・原子力の活用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E6F1FB" w:val="clear"/>
            <w:tcMar>
              <w:top w:type="dxa" w:w="80"/>
              <w:left w:type="dxa" w:w="150"/>
              <w:bottom w:type="dxa" w:w="80"/>
              <w:right w:type="dxa" w:w="120"/>
            </w:tcMar>
            <w:vAlign w:val="top"/>
          </w:tcPr>
          <w:p>
            <w:r>
              <w:rPr>
                <w:rFonts w:ascii="Arial" w:cs="Arial" w:eastAsia="Arial" w:hAnsi="Arial"/>
                <w:b/>
                <w:bCs/>
                <w:color w:val="185FA5"/>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GX経済移行債20兆円 ／ 次世代原子炉 ／ 水素・アンモニア混焼 ／ 洋上風力2030年目標</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185FA5"/>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「電気が止まらない国」「CO2を減らせる国」を同時に目指す取り組み。20兆円の国債を使って再生可能エネルギーや原子力・水素を組み合わせ、海外に頼らない安定したエネルギー供給を実現する。</w:t>
            </w:r>
          </w:p>
        </w:tc>
      </w:tr>
      <w:tr>
        <w:tc>
          <w:tcPr>
            <w:tcW w:type="dxa" w:w="1800"/>
            <w:tcBorders>
              <w:top w:val="single" w:color="CCCCCC" w:sz="4"/>
              <w:left w:val="single" w:color="CCCCCC" w:sz="4"/>
              <w:bottom w:val="single" w:color="CCCCCC" w:sz="4"/>
              <w:right w:val="single" w:color="CCCCCC" w:sz="4"/>
            </w:tcBorders>
            <w:shd w:fill="E6F1FB" w:val="clear"/>
            <w:tcMar>
              <w:top w:type="dxa" w:w="80"/>
              <w:left w:type="dxa" w:w="150"/>
              <w:bottom w:type="dxa" w:w="80"/>
              <w:right w:type="dxa" w:w="120"/>
            </w:tcMar>
            <w:vAlign w:val="top"/>
          </w:tcPr>
          <w:p>
            <w:r>
              <w:rPr>
                <w:rFonts w:ascii="Arial" w:cs="Arial" w:eastAsia="Arial" w:hAnsi="Arial"/>
                <w:b/>
                <w:bCs/>
                <w:color w:val="185FA5"/>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電力・ガス / 重工業 / 商社・金融（GX債）</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185FA5"/>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GX経済移行債を2023年に世界初の「トランジション国債」として発行。10年間で20兆円を調達しエネルギー転換を支援</w:t>
            </w:r>
          </w:p>
          <w:p>
            <w:pPr>
              <w:pStyle w:val="ListParagraph"/>
              <w:numPr>
                <w:ilvl w:val="0"/>
                <w:numId w:val="2"/>
              </w:numPr>
              <w:spacing w:after="40" w:before="40"/>
            </w:pPr>
            <w:r>
              <w:rPr>
                <w:rFonts w:ascii="Arial" w:cs="Arial" w:eastAsia="Arial" w:hAnsi="Arial"/>
                <w:color w:val="333333"/>
                <w:sz w:val="20"/>
                <w:szCs w:val="20"/>
              </w:rPr>
              <w:t xml:space="preserve">柏崎刈羽原子力発電所の再稼働が進み、政府は次世代革新炉（小型モジュール炉・SMR等）の開発・建設を支援</w:t>
            </w:r>
          </w:p>
          <w:p>
            <w:pPr>
              <w:pStyle w:val="ListParagraph"/>
              <w:numPr>
                <w:ilvl w:val="0"/>
                <w:numId w:val="2"/>
              </w:numPr>
              <w:spacing w:after="40" w:before="40"/>
            </w:pPr>
            <w:r>
              <w:rPr>
                <w:rFonts w:ascii="Arial" w:cs="Arial" w:eastAsia="Arial" w:hAnsi="Arial"/>
                <w:color w:val="333333"/>
                <w:sz w:val="20"/>
                <w:szCs w:val="20"/>
              </w:rPr>
              <w:t xml:space="preserve">JERA（東電・中電合弁）が碧南火力発電所でアンモニア20%混焼の実証運転に成功。世界初の商業規模の混焼実現</w:t>
            </w:r>
          </w:p>
          <w:p>
            <w:pPr>
              <w:pStyle w:val="ListParagraph"/>
              <w:numPr>
                <w:ilvl w:val="0"/>
                <w:numId w:val="2"/>
              </w:numPr>
              <w:spacing w:after="40" w:before="40"/>
            </w:pPr>
            <w:r>
              <w:rPr>
                <w:rFonts w:ascii="Arial" w:cs="Arial" w:eastAsia="Arial" w:hAnsi="Arial"/>
                <w:color w:val="333333"/>
                <w:sz w:val="20"/>
                <w:szCs w:val="20"/>
              </w:rPr>
              <w:t xml:space="preserve">Enechainなどエネルギーデジタル企業が電力・ガスの需給管理を最適化するプラットフォームを急速に拡大</w:t>
            </w:r>
          </w:p>
          <w:p>
            <w:pPr>
              <w:pStyle w:val="ListParagraph"/>
              <w:numPr>
                <w:ilvl w:val="0"/>
                <w:numId w:val="2"/>
              </w:numPr>
              <w:spacing w:after="40" w:before="40"/>
            </w:pPr>
            <w:r>
              <w:rPr>
                <w:rFonts w:ascii="Arial" w:cs="Arial" w:eastAsia="Arial" w:hAnsi="Arial"/>
                <w:color w:val="333333"/>
                <w:sz w:val="20"/>
                <w:szCs w:val="20"/>
              </w:rPr>
              <w:t xml:space="preserve">水素ステーション整備や燃料電池トラックの普及補助が拡充され、モビリティ分野での水素活用が本格化</w:t>
            </w:r>
          </w:p>
        </w:tc>
      </w:tr>
    </w:tbl>
    <w:p>
      <w:pPr>
        <w:spacing w:after="200" w:before="0"/>
      </w:pPr>
      <w:r>
        <w:t xml:space="preserve"/>
      </w:r>
    </w:p>
    <w:p>
      <w:pPr>
        <w:spacing w:after="100" w:before="280"/>
      </w:pPr>
      <w:r>
        <w:rPr>
          <w:rFonts w:ascii="Arial" w:cs="Arial" w:eastAsia="Arial" w:hAnsi="Arial"/>
          <w:b/>
          <w:bCs/>
          <w:color w:val="185FA5"/>
          <w:sz w:val="26"/>
          <w:szCs w:val="26"/>
        </w:rPr>
        <w:t xml:space="preserve">▍国土強靱化・インフラ更新　</w:t>
      </w:r>
      <w:r>
        <w:rPr>
          <w:rFonts w:ascii="Arial" w:cs="Arial" w:eastAsia="Arial" w:hAnsi="Arial"/>
          <w:color w:val="777770"/>
          <w:sz w:val="20"/>
          <w:szCs w:val="20"/>
        </w:rPr>
        <w:t xml:space="preserve">防災と長寿命化対策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E6F1FB" w:val="clear"/>
            <w:tcMar>
              <w:top w:type="dxa" w:w="80"/>
              <w:left w:type="dxa" w:w="150"/>
              <w:bottom w:type="dxa" w:w="80"/>
              <w:right w:type="dxa" w:w="120"/>
            </w:tcMar>
            <w:vAlign w:val="top"/>
          </w:tcPr>
          <w:p>
            <w:r>
              <w:rPr>
                <w:rFonts w:ascii="Arial" w:cs="Arial" w:eastAsia="Arial" w:hAnsi="Arial"/>
                <w:b/>
                <w:bCs/>
                <w:color w:val="185FA5"/>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5か年加速化対策 ／ 予防保全・老朽化対策 ／ i-Construction2.0 ／ PFI・コンセッション方式</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185FA5"/>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全国の橋・トンネル・水道などのインフラが一斉に古くなる問題に対応する取り組み。壊れてから直すのではなく、壊れる前に点検・修理する「予防保全」に切り替え、ドローンやAIも活用して維持する。</w:t>
            </w:r>
          </w:p>
        </w:tc>
      </w:tr>
      <w:tr>
        <w:tc>
          <w:tcPr>
            <w:tcW w:type="dxa" w:w="1800"/>
            <w:tcBorders>
              <w:top w:val="single" w:color="CCCCCC" w:sz="4"/>
              <w:left w:val="single" w:color="CCCCCC" w:sz="4"/>
              <w:bottom w:val="single" w:color="CCCCCC" w:sz="4"/>
              <w:right w:val="single" w:color="CCCCCC" w:sz="4"/>
            </w:tcBorders>
            <w:shd w:fill="E6F1FB" w:val="clear"/>
            <w:tcMar>
              <w:top w:type="dxa" w:w="80"/>
              <w:left w:type="dxa" w:w="150"/>
              <w:bottom w:type="dxa" w:w="80"/>
              <w:right w:type="dxa" w:w="120"/>
            </w:tcMar>
            <w:vAlign w:val="top"/>
          </w:tcPr>
          <w:p>
            <w:r>
              <w:rPr>
                <w:rFonts w:ascii="Arial" w:cs="Arial" w:eastAsia="Arial" w:hAnsi="Arial"/>
                <w:b/>
                <w:bCs/>
                <w:color w:val="185FA5"/>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建設・土木 / 建設コンサル / インフラ運営</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185FA5"/>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能登半島地震（2024年1月）を受け国土強靱化予算を大幅増額。半島部の道路・港湾整備を集中的に推進</w:t>
            </w:r>
          </w:p>
          <w:p>
            <w:pPr>
              <w:pStyle w:val="ListParagraph"/>
              <w:numPr>
                <w:ilvl w:val="0"/>
                <w:numId w:val="2"/>
              </w:numPr>
              <w:spacing w:after="40" w:before="40"/>
            </w:pPr>
            <w:r>
              <w:rPr>
                <w:rFonts w:ascii="Arial" w:cs="Arial" w:eastAsia="Arial" w:hAnsi="Arial"/>
                <w:color w:val="333333"/>
                <w:sz w:val="20"/>
                <w:szCs w:val="20"/>
              </w:rPr>
              <w:t xml:space="preserve">i-Construction2.0でドローン・3D測量・BIM/CIMの活用が全国の公共工事に標準化。建設現場の生産性が大幅向上</w:t>
            </w:r>
          </w:p>
          <w:p>
            <w:pPr>
              <w:pStyle w:val="ListParagraph"/>
              <w:numPr>
                <w:ilvl w:val="0"/>
                <w:numId w:val="2"/>
              </w:numPr>
              <w:spacing w:after="40" w:before="40"/>
            </w:pPr>
            <w:r>
              <w:rPr>
                <w:rFonts w:ascii="Arial" w:cs="Arial" w:eastAsia="Arial" w:hAnsi="Arial"/>
                <w:color w:val="333333"/>
                <w:sz w:val="20"/>
                <w:szCs w:val="20"/>
              </w:rPr>
              <w:t xml:space="preserve">日本工営・パシフィックコンサルタンツなど建設コンサルが橋梁・トンネルのAI点検システムを全国展開</w:t>
            </w:r>
          </w:p>
          <w:p>
            <w:pPr>
              <w:pStyle w:val="ListParagraph"/>
              <w:numPr>
                <w:ilvl w:val="0"/>
                <w:numId w:val="2"/>
              </w:numPr>
              <w:spacing w:after="40" w:before="40"/>
            </w:pPr>
            <w:r>
              <w:rPr>
                <w:rFonts w:ascii="Arial" w:cs="Arial" w:eastAsia="Arial" w:hAnsi="Arial"/>
                <w:color w:val="333333"/>
                <w:sz w:val="20"/>
                <w:szCs w:val="20"/>
              </w:rPr>
              <w:t xml:space="preserve">空港・高速道路などでコンセッション（運営権売却）方式が拡大。民間が長期運営することで維持費を効率化</w:t>
            </w:r>
          </w:p>
          <w:p>
            <w:pPr>
              <w:pStyle w:val="ListParagraph"/>
              <w:numPr>
                <w:ilvl w:val="0"/>
                <w:numId w:val="2"/>
              </w:numPr>
              <w:spacing w:after="40" w:before="40"/>
            </w:pPr>
            <w:r>
              <w:rPr>
                <w:rFonts w:ascii="Arial" w:cs="Arial" w:eastAsia="Arial" w:hAnsi="Arial"/>
                <w:color w:val="333333"/>
                <w:sz w:val="20"/>
                <w:szCs w:val="20"/>
              </w:rPr>
              <w:t xml:space="preserve">老朽化した水道管の更新を官民連携で加速。PFI方式を活用し小規模自治体の水道維持を広域化・効率化</w:t>
            </w:r>
          </w:p>
        </w:tc>
      </w:tr>
    </w:tbl>
    <w:p>
      <w:pPr>
        <w:spacing w:after="200" w:before="0"/>
      </w:pPr>
      <w:r>
        <w:t xml:space="preserve"/>
      </w:r>
    </w:p>
    <w:p>
      <w:pPr>
        <w:spacing w:after="100" w:before="280"/>
      </w:pPr>
      <w:r>
        <w:rPr>
          <w:rFonts w:ascii="Arial" w:cs="Arial" w:eastAsia="Arial" w:hAnsi="Arial"/>
          <w:b/>
          <w:bCs/>
          <w:color w:val="185FA5"/>
          <w:sz w:val="26"/>
          <w:szCs w:val="26"/>
        </w:rPr>
        <w:t xml:space="preserve">▍金融・資産運用立国　</w:t>
      </w:r>
      <w:r>
        <w:rPr>
          <w:rFonts w:ascii="Arial" w:cs="Arial" w:eastAsia="Arial" w:hAnsi="Arial"/>
          <w:color w:val="777770"/>
          <w:sz w:val="20"/>
          <w:szCs w:val="20"/>
        </w:rPr>
        <w:t xml:space="preserve">貯蓄から投資へ・国際金融都市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E6F1FB" w:val="clear"/>
            <w:tcMar>
              <w:top w:type="dxa" w:w="80"/>
              <w:left w:type="dxa" w:w="150"/>
              <w:bottom w:type="dxa" w:w="80"/>
              <w:right w:type="dxa" w:w="120"/>
            </w:tcMar>
            <w:vAlign w:val="top"/>
          </w:tcPr>
          <w:p>
            <w:r>
              <w:rPr>
                <w:rFonts w:ascii="Arial" w:cs="Arial" w:eastAsia="Arial" w:hAnsi="Arial"/>
                <w:b/>
                <w:bCs/>
                <w:color w:val="185FA5"/>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新NISA（無期限・非課税） ／ J-FLEC（金融教育機構） ／ 資産運用特区（札幌） ／ インパクト投資・GX債</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185FA5"/>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日本人が「貯金するだけ」から「投資でお金を増やす」社会に変える取り組み。新NISAで投資の税優遇を大幅拡大し、学校や職場でお金の教育を進め、海外の優良な金融機関も日本に呼び込む。</w:t>
            </w:r>
          </w:p>
        </w:tc>
      </w:tr>
      <w:tr>
        <w:tc>
          <w:tcPr>
            <w:tcW w:type="dxa" w:w="1800"/>
            <w:tcBorders>
              <w:top w:val="single" w:color="CCCCCC" w:sz="4"/>
              <w:left w:val="single" w:color="CCCCCC" w:sz="4"/>
              <w:bottom w:val="single" w:color="CCCCCC" w:sz="4"/>
              <w:right w:val="single" w:color="CCCCCC" w:sz="4"/>
            </w:tcBorders>
            <w:shd w:fill="E6F1FB" w:val="clear"/>
            <w:tcMar>
              <w:top w:type="dxa" w:w="80"/>
              <w:left w:type="dxa" w:w="150"/>
              <w:bottom w:type="dxa" w:w="80"/>
              <w:right w:type="dxa" w:w="120"/>
            </w:tcMar>
            <w:vAlign w:val="top"/>
          </w:tcPr>
          <w:p>
            <w:r>
              <w:rPr>
                <w:rFonts w:ascii="Arial" w:cs="Arial" w:eastAsia="Arial" w:hAnsi="Arial"/>
                <w:b/>
                <w:bCs/>
                <w:color w:val="185FA5"/>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証券・銀行・保険 / 資産運用 / FinTech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185FA5"/>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新NISA（2024年1月スタート）は口座数が2000万を突破。年間投資枠が360万円・生涯1800万円に大幅拡大</w:t>
            </w:r>
          </w:p>
          <w:p>
            <w:pPr>
              <w:pStyle w:val="ListParagraph"/>
              <w:numPr>
                <w:ilvl w:val="0"/>
                <w:numId w:val="2"/>
              </w:numPr>
              <w:spacing w:after="40" w:before="40"/>
            </w:pPr>
            <w:r>
              <w:rPr>
                <w:rFonts w:ascii="Arial" w:cs="Arial" w:eastAsia="Arial" w:hAnsi="Arial"/>
                <w:color w:val="333333"/>
                <w:sz w:val="20"/>
                <w:szCs w:val="20"/>
              </w:rPr>
              <w:t xml:space="preserve">J-FLEC（金融経済教育推進機構）が2024年に設立。学校派遣講師・無料相談を全国で展開し金融リテラシーを向上</w:t>
            </w:r>
          </w:p>
          <w:p>
            <w:pPr>
              <w:pStyle w:val="ListParagraph"/>
              <w:numPr>
                <w:ilvl w:val="0"/>
                <w:numId w:val="2"/>
              </w:numPr>
              <w:spacing w:after="40" w:before="40"/>
            </w:pPr>
            <w:r>
              <w:rPr>
                <w:rFonts w:ascii="Arial" w:cs="Arial" w:eastAsia="Arial" w:hAnsi="Arial"/>
                <w:color w:val="333333"/>
                <w:sz w:val="20"/>
                <w:szCs w:val="20"/>
              </w:rPr>
              <w:t xml:space="preserve">札幌市が資産運用特区に選定。英語で行政手続きができる環境を整備し、海外運用会社の誘致を加速</w:t>
            </w:r>
          </w:p>
          <w:p>
            <w:pPr>
              <w:pStyle w:val="ListParagraph"/>
              <w:numPr>
                <w:ilvl w:val="0"/>
                <w:numId w:val="2"/>
              </w:numPr>
              <w:spacing w:after="40" w:before="40"/>
            </w:pPr>
            <w:r>
              <w:rPr>
                <w:rFonts w:ascii="Arial" w:cs="Arial" w:eastAsia="Arial" w:hAnsi="Arial"/>
                <w:color w:val="333333"/>
                <w:sz w:val="20"/>
                <w:szCs w:val="20"/>
              </w:rPr>
              <w:t xml:space="preserve">日本版EMP（新興運用業者促進プログラム）で大手年金・共済が新興運用会社に資金を委託する仕組みが始動</w:t>
            </w:r>
          </w:p>
          <w:p>
            <w:pPr>
              <w:pStyle w:val="ListParagraph"/>
              <w:numPr>
                <w:ilvl w:val="0"/>
                <w:numId w:val="2"/>
              </w:numPr>
              <w:spacing w:after="40" w:before="40"/>
            </w:pPr>
            <w:r>
              <w:rPr>
                <w:rFonts w:ascii="Arial" w:cs="Arial" w:eastAsia="Arial" w:hAnsi="Arial"/>
                <w:color w:val="333333"/>
                <w:sz w:val="20"/>
                <w:szCs w:val="20"/>
              </w:rPr>
              <w:t xml:space="preserve">トランジション・ファイナンス推進のため、国が気候関連トランジション計画のガイドラインを策定・公表</w:t>
            </w:r>
          </w:p>
        </w:tc>
      </w:tr>
    </w:tbl>
    <w:p>
      <w:pPr>
        <w:spacing w:after="200" w:before="0"/>
      </w:pPr>
      <w:r>
        <w:t xml:space="preserve"/>
      </w:r>
    </w:p>
    <w:p>
      <w:pPr>
        <w:spacing w:after="100" w:before="280"/>
      </w:pPr>
      <w:r>
        <w:rPr>
          <w:rFonts w:ascii="Arial" w:cs="Arial" w:eastAsia="Arial" w:hAnsi="Arial"/>
          <w:b/>
          <w:bCs/>
          <w:color w:val="185FA5"/>
          <w:sz w:val="26"/>
          <w:szCs w:val="26"/>
        </w:rPr>
        <w:t xml:space="preserve">▍交通・物流ネットワーク　</w:t>
      </w:r>
      <w:r>
        <w:rPr>
          <w:rFonts w:ascii="Arial" w:cs="Arial" w:eastAsia="Arial" w:hAnsi="Arial"/>
          <w:color w:val="777770"/>
          <w:sz w:val="20"/>
          <w:szCs w:val="20"/>
        </w:rPr>
        <w:t xml:space="preserve">2024年問題と自動運転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E6F1FB" w:val="clear"/>
            <w:tcMar>
              <w:top w:type="dxa" w:w="80"/>
              <w:left w:type="dxa" w:w="150"/>
              <w:bottom w:type="dxa" w:w="80"/>
              <w:right w:type="dxa" w:w="120"/>
            </w:tcMar>
            <w:vAlign w:val="top"/>
          </w:tcPr>
          <w:p>
            <w:r>
              <w:rPr>
                <w:rFonts w:ascii="Arial" w:cs="Arial" w:eastAsia="Arial" w:hAnsi="Arial"/>
                <w:b/>
                <w:bCs/>
                <w:color w:val="185FA5"/>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物流2024年問題（ドライバー不足） ／ レベル4自動運転解禁 ／ SAF（持続可能航空燃料） ／ 地方鉄道存廃・上下分離</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185FA5"/>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ドライバーの働き方改革で物が届きにくくなる「2024年問題」への対応が急務。自動運転トラックや無人配送、環境に優しい航空燃料（SAF）の普及を進め、持続可能な物流・交通網を作る。</w:t>
            </w:r>
          </w:p>
        </w:tc>
      </w:tr>
      <w:tr>
        <w:tc>
          <w:tcPr>
            <w:tcW w:type="dxa" w:w="1800"/>
            <w:tcBorders>
              <w:top w:val="single" w:color="CCCCCC" w:sz="4"/>
              <w:left w:val="single" w:color="CCCCCC" w:sz="4"/>
              <w:bottom w:val="single" w:color="CCCCCC" w:sz="4"/>
              <w:right w:val="single" w:color="CCCCCC" w:sz="4"/>
            </w:tcBorders>
            <w:shd w:fill="E6F1FB" w:val="clear"/>
            <w:tcMar>
              <w:top w:type="dxa" w:w="80"/>
              <w:left w:type="dxa" w:w="150"/>
              <w:bottom w:type="dxa" w:w="80"/>
              <w:right w:type="dxa" w:w="120"/>
            </w:tcMar>
            <w:vAlign w:val="top"/>
          </w:tcPr>
          <w:p>
            <w:r>
              <w:rPr>
                <w:rFonts w:ascii="Arial" w:cs="Arial" w:eastAsia="Arial" w:hAnsi="Arial"/>
                <w:b/>
                <w:bCs/>
                <w:color w:val="185FA5"/>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物流・運輸 / 航空 / 自動車・モビリティ</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185FA5"/>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ANA・JALがSAF（持続可能な航空燃料）の国内調達・製造体制を整備。2030年までに使用燃料の10%をSAFにする目標</w:t>
            </w:r>
          </w:p>
          <w:p>
            <w:pPr>
              <w:pStyle w:val="ListParagraph"/>
              <w:numPr>
                <w:ilvl w:val="0"/>
                <w:numId w:val="2"/>
              </w:numPr>
              <w:spacing w:after="40" w:before="40"/>
            </w:pPr>
            <w:r>
              <w:rPr>
                <w:rFonts w:ascii="Arial" w:cs="Arial" w:eastAsia="Arial" w:hAnsi="Arial"/>
                <w:color w:val="333333"/>
                <w:sz w:val="20"/>
                <w:szCs w:val="20"/>
              </w:rPr>
              <w:t xml:space="preserve">自動運転レベル4が2023年4月に解禁され、福井県永平寺町など全国各地で無人移動サービスが商用運行を開始</w:t>
            </w:r>
          </w:p>
          <w:p>
            <w:pPr>
              <w:pStyle w:val="ListParagraph"/>
              <w:numPr>
                <w:ilvl w:val="0"/>
                <w:numId w:val="2"/>
              </w:numPr>
              <w:spacing w:after="40" w:before="40"/>
            </w:pPr>
            <w:r>
              <w:rPr>
                <w:rFonts w:ascii="Arial" w:cs="Arial" w:eastAsia="Arial" w:hAnsi="Arial"/>
                <w:color w:val="333333"/>
                <w:sz w:val="20"/>
                <w:szCs w:val="20"/>
              </w:rPr>
              <w:t xml:space="preserve">ヤマト運輸・佐川急便・日本郵便が共同配送や置き配を拡大。EC物流の効率化で再配達率を大幅削減</w:t>
            </w:r>
          </w:p>
          <w:p>
            <w:pPr>
              <w:pStyle w:val="ListParagraph"/>
              <w:numPr>
                <w:ilvl w:val="0"/>
                <w:numId w:val="2"/>
              </w:numPr>
              <w:spacing w:after="40" w:before="40"/>
            </w:pPr>
            <w:r>
              <w:rPr>
                <w:rFonts w:ascii="Arial" w:cs="Arial" w:eastAsia="Arial" w:hAnsi="Arial"/>
                <w:color w:val="333333"/>
                <w:sz w:val="20"/>
                <w:szCs w:val="20"/>
              </w:rPr>
              <w:t xml:space="preserve">JR西日本・東日本などが赤字ローカル線の再構築（上下分離・BRT転換）について沿線自治体と法定協議会を設置</w:t>
            </w:r>
          </w:p>
          <w:p>
            <w:pPr>
              <w:pStyle w:val="ListParagraph"/>
              <w:numPr>
                <w:ilvl w:val="0"/>
                <w:numId w:val="2"/>
              </w:numPr>
              <w:spacing w:after="40" w:before="40"/>
            </w:pPr>
            <w:r>
              <w:rPr>
                <w:rFonts w:ascii="Arial" w:cs="Arial" w:eastAsia="Arial" w:hAnsi="Arial"/>
                <w:color w:val="333333"/>
                <w:sz w:val="20"/>
                <w:szCs w:val="20"/>
              </w:rPr>
              <w:t xml:space="preserve">西九州新幹線（2022年開業）・北陸新幹線金沢〜敦賀延伸（2024年開業）など幹線整備が続く</w:t>
            </w:r>
          </w:p>
        </w:tc>
      </w:tr>
    </w:tbl>
    <w:p>
      <w:pPr>
        <w:spacing w:after="200" w:before="0"/>
      </w:pPr>
      <w:r>
        <w:t xml:space="preserve"/>
      </w:r>
    </w:p>
    <w:p>
      <w:pPr>
        <w:pBdr>
          <w:bottom w:val="single" w:color="85B7EB" w:sz="4" w:space="1"/>
        </w:pBdr>
        <w:spacing w:after="360" w:before="240"/>
      </w:pPr>
      <w:r>
        <w:t xml:space="preserve"/>
      </w:r>
    </w:p>
    <w:p>
      <w:pPr>
        <w:pStyle w:val="Heading1"/>
        <w:spacing w:after="180" w:before="360"/>
      </w:pPr>
      <w:r>
        <w:rPr>
          <w:rFonts w:ascii="Arial" w:cs="Arial" w:eastAsia="Arial" w:hAnsi="Arial"/>
          <w:b/>
          <w:bCs/>
          <w:color w:val="0F6E56"/>
          <w:sz w:val="32"/>
          <w:szCs w:val="32"/>
        </w:rPr>
        <w:t xml:space="preserve">③ 持続可能な社会</w:t>
      </w:r>
      <w:r>
        <w:rPr>
          <w:rFonts w:ascii="Arial" w:cs="Arial" w:eastAsia="Arial" w:hAnsi="Arial"/>
          <w:color w:val="9a9990"/>
          <w:sz w:val="22"/>
          <w:szCs w:val="22"/>
        </w:rPr>
        <w:t xml:space="preserve">  Future &amp; Well-being</w:t>
      </w:r>
    </w:p>
    <w:p>
      <w:pPr>
        <w:spacing w:after="100" w:before="280"/>
      </w:pPr>
      <w:r>
        <w:rPr>
          <w:rFonts w:ascii="Arial" w:cs="Arial" w:eastAsia="Arial" w:hAnsi="Arial"/>
          <w:b/>
          <w:bCs/>
          <w:color w:val="0F6E56"/>
          <w:sz w:val="26"/>
          <w:szCs w:val="26"/>
        </w:rPr>
        <w:t xml:space="preserve">▍こども・若者・教育　</w:t>
      </w:r>
      <w:r>
        <w:rPr>
          <w:rFonts w:ascii="Arial" w:cs="Arial" w:eastAsia="Arial" w:hAnsi="Arial"/>
          <w:color w:val="777770"/>
          <w:sz w:val="20"/>
          <w:szCs w:val="20"/>
        </w:rPr>
        <w:t xml:space="preserve">少子化対策と居場所づくり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E1F5EE" w:val="clear"/>
            <w:tcMar>
              <w:top w:type="dxa" w:w="80"/>
              <w:left w:type="dxa" w:w="150"/>
              <w:bottom w:type="dxa" w:w="80"/>
              <w:right w:type="dxa" w:w="120"/>
            </w:tcMar>
            <w:vAlign w:val="top"/>
          </w:tcPr>
          <w:p>
            <w:r>
              <w:rPr>
                <w:rFonts w:ascii="Arial" w:cs="Arial" w:eastAsia="Arial" w:hAnsi="Arial"/>
                <w:b/>
                <w:bCs/>
                <w:color w:val="0F6E56"/>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こども誰でも通園制度 ／ 育休手取り10割保障 ／ こどもまんなかアクション ／ ヤングケアラー支援</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0F6E56"/>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子どもが減り続ける日本で、子育て家庭を国全体で支える取り組み。親が働いていなくても保育所を使える制度を作り、男性も育休を取りやすくし、虐待や貧困で困っている子どもへの支援も強化する。</w:t>
            </w:r>
          </w:p>
        </w:tc>
      </w:tr>
      <w:tr>
        <w:tc>
          <w:tcPr>
            <w:tcW w:type="dxa" w:w="1800"/>
            <w:tcBorders>
              <w:top w:val="single" w:color="CCCCCC" w:sz="4"/>
              <w:left w:val="single" w:color="CCCCCC" w:sz="4"/>
              <w:bottom w:val="single" w:color="CCCCCC" w:sz="4"/>
              <w:right w:val="single" w:color="CCCCCC" w:sz="4"/>
            </w:tcBorders>
            <w:shd w:fill="E1F5EE" w:val="clear"/>
            <w:tcMar>
              <w:top w:type="dxa" w:w="80"/>
              <w:left w:type="dxa" w:w="150"/>
              <w:bottom w:type="dxa" w:w="80"/>
              <w:right w:type="dxa" w:w="120"/>
            </w:tcMar>
            <w:vAlign w:val="top"/>
          </w:tcPr>
          <w:p>
            <w:r>
              <w:rPr>
                <w:rFonts w:ascii="Arial" w:cs="Arial" w:eastAsia="Arial" w:hAnsi="Arial"/>
                <w:b/>
                <w:bCs/>
                <w:color w:val="0F6E56"/>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保育・教育 / EdTech / 人材・HR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0F6E56"/>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「こども誰でも通園制度」が2024年度から全国モデル事業を開始。2026年度に制度化、親の就労要件なしで保育所利用可能に</w:t>
            </w:r>
          </w:p>
          <w:p>
            <w:pPr>
              <w:pStyle w:val="ListParagraph"/>
              <w:numPr>
                <w:ilvl w:val="0"/>
                <w:numId w:val="2"/>
              </w:numPr>
              <w:spacing w:after="40" w:before="40"/>
            </w:pPr>
            <w:r>
              <w:rPr>
                <w:rFonts w:ascii="Arial" w:cs="Arial" w:eastAsia="Arial" w:hAnsi="Arial"/>
                <w:color w:val="333333"/>
                <w:sz w:val="20"/>
                <w:szCs w:val="20"/>
              </w:rPr>
              <w:t xml:space="preserve">育休中の手取り10割補償（出生後休業支援給付）が2025年4月から開始。男性育休取得率の向上を後押し</w:t>
            </w:r>
          </w:p>
          <w:p>
            <w:pPr>
              <w:pStyle w:val="ListParagraph"/>
              <w:numPr>
                <w:ilvl w:val="0"/>
                <w:numId w:val="2"/>
              </w:numPr>
              <w:spacing w:after="40" w:before="40"/>
            </w:pPr>
            <w:r>
              <w:rPr>
                <w:rFonts w:ascii="Arial" w:cs="Arial" w:eastAsia="Arial" w:hAnsi="Arial"/>
                <w:color w:val="333333"/>
                <w:sz w:val="20"/>
                <w:szCs w:val="20"/>
              </w:rPr>
              <w:t xml:space="preserve">こども家庭センターが全市町村に設置義務付け（2024年4月）。妊娠期から子育てまで切れ目ない相談支援を提供</w:t>
            </w:r>
          </w:p>
          <w:p>
            <w:pPr>
              <w:pStyle w:val="ListParagraph"/>
              <w:numPr>
                <w:ilvl w:val="0"/>
                <w:numId w:val="2"/>
              </w:numPr>
              <w:spacing w:after="40" w:before="40"/>
            </w:pPr>
            <w:r>
              <w:rPr>
                <w:rFonts w:ascii="Arial" w:cs="Arial" w:eastAsia="Arial" w:hAnsi="Arial"/>
                <w:color w:val="333333"/>
                <w:sz w:val="20"/>
                <w:szCs w:val="20"/>
              </w:rPr>
              <w:t xml:space="preserve">ヤングケアラー支援のため学校・SNS相談窓口を全国整備。認知度向上のための動画・ポスターも展開</w:t>
            </w:r>
          </w:p>
          <w:p>
            <w:pPr>
              <w:pStyle w:val="ListParagraph"/>
              <w:numPr>
                <w:ilvl w:val="0"/>
                <w:numId w:val="2"/>
              </w:numPr>
              <w:spacing w:after="40" w:before="40"/>
            </w:pPr>
            <w:r>
              <w:rPr>
                <w:rFonts w:ascii="Arial" w:cs="Arial" w:eastAsia="Arial" w:hAnsi="Arial"/>
                <w:color w:val="333333"/>
                <w:sz w:val="20"/>
                <w:szCs w:val="20"/>
              </w:rPr>
              <w:t xml:space="preserve">「こどもホスピス」支援モデル事業が全国10か所超で始動。重い病気の子どもと家族が地域で過ごせる場を整備</w:t>
            </w:r>
          </w:p>
        </w:tc>
      </w:tr>
    </w:tbl>
    <w:p>
      <w:pPr>
        <w:spacing w:after="200" w:before="0"/>
      </w:pPr>
      <w:r>
        <w:t xml:space="preserve"/>
      </w:r>
    </w:p>
    <w:p>
      <w:pPr>
        <w:spacing w:after="100" w:before="280"/>
      </w:pPr>
      <w:r>
        <w:rPr>
          <w:rFonts w:ascii="Arial" w:cs="Arial" w:eastAsia="Arial" w:hAnsi="Arial"/>
          <w:b/>
          <w:bCs/>
          <w:color w:val="0F6E56"/>
          <w:sz w:val="26"/>
          <w:szCs w:val="26"/>
        </w:rPr>
        <w:t xml:space="preserve">▍健康・働き方・福祉　</w:t>
      </w:r>
      <w:r>
        <w:rPr>
          <w:rFonts w:ascii="Arial" w:cs="Arial" w:eastAsia="Arial" w:hAnsi="Arial"/>
          <w:color w:val="777770"/>
          <w:sz w:val="20"/>
          <w:szCs w:val="20"/>
        </w:rPr>
        <w:t xml:space="preserve">リスキリングと介護テクノロジー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E1F5EE" w:val="clear"/>
            <w:tcMar>
              <w:top w:type="dxa" w:w="80"/>
              <w:left w:type="dxa" w:w="150"/>
              <w:bottom w:type="dxa" w:w="80"/>
              <w:right w:type="dxa" w:w="120"/>
            </w:tcMar>
            <w:vAlign w:val="top"/>
          </w:tcPr>
          <w:p>
            <w:r>
              <w:rPr>
                <w:rFonts w:ascii="Arial" w:cs="Arial" w:eastAsia="Arial" w:hAnsi="Arial"/>
                <w:b/>
                <w:bCs/>
                <w:color w:val="0F6E56"/>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リスキリング・教育訓練給付 ／ 健康日本21（第三次） ／ 全国医療情報プラットフォーム ／ 介護ロボット・AIケア</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0F6E56"/>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AI時代に合わせて「学び直し（リスキリング）」を国が費用補助する取り組み。高齢者が増える中でも介護ロボットやAIを使って少ない人数でも質の高いケアを提供できる仕組みを作る。</w:t>
            </w:r>
          </w:p>
        </w:tc>
      </w:tr>
      <w:tr>
        <w:tc>
          <w:tcPr>
            <w:tcW w:type="dxa" w:w="1800"/>
            <w:tcBorders>
              <w:top w:val="single" w:color="CCCCCC" w:sz="4"/>
              <w:left w:val="single" w:color="CCCCCC" w:sz="4"/>
              <w:bottom w:val="single" w:color="CCCCCC" w:sz="4"/>
              <w:right w:val="single" w:color="CCCCCC" w:sz="4"/>
            </w:tcBorders>
            <w:shd w:fill="E1F5EE" w:val="clear"/>
            <w:tcMar>
              <w:top w:type="dxa" w:w="80"/>
              <w:left w:type="dxa" w:w="150"/>
              <w:bottom w:type="dxa" w:w="80"/>
              <w:right w:type="dxa" w:w="120"/>
            </w:tcMar>
            <w:vAlign w:val="top"/>
          </w:tcPr>
          <w:p>
            <w:r>
              <w:rPr>
                <w:rFonts w:ascii="Arial" w:cs="Arial" w:eastAsia="Arial" w:hAnsi="Arial"/>
                <w:b/>
                <w:bCs/>
                <w:color w:val="0F6E56"/>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医療・介護 / HR・人材 / ヘルスケアIT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0F6E56"/>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JIHS（国立健康危機管理研究機構）が2024年4月に設立。次のパンデミックに備えた司令塔機能を整備</w:t>
            </w:r>
          </w:p>
          <w:p>
            <w:pPr>
              <w:pStyle w:val="ListParagraph"/>
              <w:numPr>
                <w:ilvl w:val="0"/>
                <w:numId w:val="2"/>
              </w:numPr>
              <w:spacing w:after="40" w:before="40"/>
            </w:pPr>
            <w:r>
              <w:rPr>
                <w:rFonts w:ascii="Arial" w:cs="Arial" w:eastAsia="Arial" w:hAnsi="Arial"/>
                <w:color w:val="333333"/>
                <w:sz w:val="20"/>
                <w:szCs w:val="20"/>
              </w:rPr>
              <w:t xml:space="preserve">マイナ保険証と連携した「全国医療情報プラットフォーム」が2025年から稼働。過去の薬・検査情報を全国の病院で共有</w:t>
            </w:r>
          </w:p>
          <w:p>
            <w:pPr>
              <w:pStyle w:val="ListParagraph"/>
              <w:numPr>
                <w:ilvl w:val="0"/>
                <w:numId w:val="2"/>
              </w:numPr>
              <w:spacing w:after="40" w:before="40"/>
            </w:pPr>
            <w:r>
              <w:rPr>
                <w:rFonts w:ascii="Arial" w:cs="Arial" w:eastAsia="Arial" w:hAnsi="Arial"/>
                <w:color w:val="333333"/>
                <w:sz w:val="20"/>
                <w:szCs w:val="20"/>
              </w:rPr>
              <w:t xml:space="preserve">教育訓練給付金が拡充され、デジタル・AI関連の講座を受講する社会人に最大70%の費用補助が適用可能に</w:t>
            </w:r>
          </w:p>
          <w:p>
            <w:pPr>
              <w:pStyle w:val="ListParagraph"/>
              <w:numPr>
                <w:ilvl w:val="0"/>
                <w:numId w:val="2"/>
              </w:numPr>
              <w:spacing w:after="40" w:before="40"/>
            </w:pPr>
            <w:r>
              <w:rPr>
                <w:rFonts w:ascii="Arial" w:cs="Arial" w:eastAsia="Arial" w:hAnsi="Arial"/>
                <w:color w:val="333333"/>
                <w:sz w:val="20"/>
                <w:szCs w:val="20"/>
              </w:rPr>
              <w:t xml:space="preserve">介護現場向けにAI見守りセンサー・移乗支援ロボット・記録AIの導入補助が拡充。全国の介護施設でDXが加速</w:t>
            </w:r>
          </w:p>
          <w:p>
            <w:pPr>
              <w:pStyle w:val="ListParagraph"/>
              <w:numPr>
                <w:ilvl w:val="0"/>
                <w:numId w:val="2"/>
              </w:numPr>
              <w:spacing w:after="40" w:before="40"/>
            </w:pPr>
            <w:r>
              <w:rPr>
                <w:rFonts w:ascii="Arial" w:cs="Arial" w:eastAsia="Arial" w:hAnsi="Arial"/>
                <w:color w:val="333333"/>
                <w:sz w:val="20"/>
                <w:szCs w:val="20"/>
              </w:rPr>
              <w:t xml:space="preserve">賃金デジタル払い（給与のPayPay等での受取）が2023年4月に解禁され、キャッシュレス社会化を後押し</w:t>
            </w:r>
          </w:p>
        </w:tc>
      </w:tr>
    </w:tbl>
    <w:p>
      <w:pPr>
        <w:spacing w:after="200" w:before="0"/>
      </w:pPr>
      <w:r>
        <w:t xml:space="preserve"/>
      </w:r>
    </w:p>
    <w:p>
      <w:pPr>
        <w:spacing w:after="100" w:before="280"/>
      </w:pPr>
      <w:r>
        <w:rPr>
          <w:rFonts w:ascii="Arial" w:cs="Arial" w:eastAsia="Arial" w:hAnsi="Arial"/>
          <w:b/>
          <w:bCs/>
          <w:color w:val="0F6E56"/>
          <w:sz w:val="26"/>
          <w:szCs w:val="26"/>
        </w:rPr>
        <w:t xml:space="preserve">▍食料安全保障・スマート農林水産　</w:t>
      </w:r>
      <w:r>
        <w:rPr>
          <w:rFonts w:ascii="Arial" w:cs="Arial" w:eastAsia="Arial" w:hAnsi="Arial"/>
          <w:color w:val="777770"/>
          <w:sz w:val="20"/>
          <w:szCs w:val="20"/>
        </w:rPr>
        <w:t xml:space="preserve">自給率向上とDX農業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E1F5EE" w:val="clear"/>
            <w:tcMar>
              <w:top w:type="dxa" w:w="80"/>
              <w:left w:type="dxa" w:w="150"/>
              <w:bottom w:type="dxa" w:w="80"/>
              <w:right w:type="dxa" w:w="120"/>
            </w:tcMar>
            <w:vAlign w:val="top"/>
          </w:tcPr>
          <w:p>
            <w:r>
              <w:rPr>
                <w:rFonts w:ascii="Arial" w:cs="Arial" w:eastAsia="Arial" w:hAnsi="Arial"/>
                <w:b/>
                <w:bCs/>
                <w:color w:val="0F6E56"/>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食料・農業基本法改正 ／ スマート農業（自動農機） ／ 農福連携 ／ フードテック・代替タンパク</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0F6E56"/>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海外から食料が入ってこなくなっても食べられる国を目指す取り組み。GPS付き自動農機やドローンで少ない農家でも広い農地を管理できるようにし、代替肉などの新技術でタンパク源も多様化する。</w:t>
            </w:r>
          </w:p>
        </w:tc>
      </w:tr>
      <w:tr>
        <w:tc>
          <w:tcPr>
            <w:tcW w:type="dxa" w:w="1800"/>
            <w:tcBorders>
              <w:top w:val="single" w:color="CCCCCC" w:sz="4"/>
              <w:left w:val="single" w:color="CCCCCC" w:sz="4"/>
              <w:bottom w:val="single" w:color="CCCCCC" w:sz="4"/>
              <w:right w:val="single" w:color="CCCCCC" w:sz="4"/>
            </w:tcBorders>
            <w:shd w:fill="E1F5EE" w:val="clear"/>
            <w:tcMar>
              <w:top w:type="dxa" w:w="80"/>
              <w:left w:type="dxa" w:w="150"/>
              <w:bottom w:type="dxa" w:w="80"/>
              <w:right w:type="dxa" w:w="120"/>
            </w:tcMar>
            <w:vAlign w:val="top"/>
          </w:tcPr>
          <w:p>
            <w:r>
              <w:rPr>
                <w:rFonts w:ascii="Arial" w:cs="Arial" w:eastAsia="Arial" w:hAnsi="Arial"/>
                <w:b/>
                <w:bCs/>
                <w:color w:val="0F6E56"/>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農業・食品 / 商社（穀物） / AgriTech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0F6E56"/>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食料・農業・農村基本法が50年ぶりに改正（2024年）。食料安全保障を基本理念に明記し、国産農産物の生産強化を推進</w:t>
            </w:r>
          </w:p>
          <w:p>
            <w:pPr>
              <w:pStyle w:val="ListParagraph"/>
              <w:numPr>
                <w:ilvl w:val="0"/>
                <w:numId w:val="2"/>
              </w:numPr>
              <w:spacing w:after="40" w:before="40"/>
            </w:pPr>
            <w:r>
              <w:rPr>
                <w:rFonts w:ascii="Arial" w:cs="Arial" w:eastAsia="Arial" w:hAnsi="Arial"/>
                <w:color w:val="333333"/>
                <w:sz w:val="20"/>
                <w:szCs w:val="20"/>
              </w:rPr>
              <w:t xml:space="preserve">クボタ・ヤンマーが自動運転トラクターを商用展開。農業人口が減っても広大な農地を少人数で管理できる体制が整備</w:t>
            </w:r>
          </w:p>
          <w:p>
            <w:pPr>
              <w:pStyle w:val="ListParagraph"/>
              <w:numPr>
                <w:ilvl w:val="0"/>
                <w:numId w:val="2"/>
              </w:numPr>
              <w:spacing w:after="40" w:before="40"/>
            </w:pPr>
            <w:r>
              <w:rPr>
                <w:rFonts w:ascii="Arial" w:cs="Arial" w:eastAsia="Arial" w:hAnsi="Arial"/>
                <w:color w:val="333333"/>
                <w:sz w:val="20"/>
                <w:szCs w:val="20"/>
              </w:rPr>
              <w:t xml:space="preserve">農林水産省がスマート農業技術の現場実装を支援。ドローン農薬散布が全国で急拡大し、農薬使用量を削減</w:t>
            </w:r>
          </w:p>
          <w:p>
            <w:pPr>
              <w:pStyle w:val="ListParagraph"/>
              <w:numPr>
                <w:ilvl w:val="0"/>
                <w:numId w:val="2"/>
              </w:numPr>
              <w:spacing w:after="40" w:before="40"/>
            </w:pPr>
            <w:r>
              <w:rPr>
                <w:rFonts w:ascii="Arial" w:cs="Arial" w:eastAsia="Arial" w:hAnsi="Arial"/>
                <w:color w:val="333333"/>
                <w:sz w:val="20"/>
                <w:szCs w:val="20"/>
              </w:rPr>
              <w:t xml:space="preserve">農福連携（農業と福祉の連携）が全国に拡大。障害者が農作業に従事する事例が2万件を超え、双方に効果</w:t>
            </w:r>
          </w:p>
          <w:p>
            <w:pPr>
              <w:pStyle w:val="ListParagraph"/>
              <w:numPr>
                <w:ilvl w:val="0"/>
                <w:numId w:val="2"/>
              </w:numPr>
              <w:spacing w:after="40" w:before="40"/>
            </w:pPr>
            <w:r>
              <w:rPr>
                <w:rFonts w:ascii="Arial" w:cs="Arial" w:eastAsia="Arial" w:hAnsi="Arial"/>
                <w:color w:val="333333"/>
                <w:sz w:val="20"/>
                <w:szCs w:val="20"/>
              </w:rPr>
              <w:t xml:space="preserve">代替タンパク・昆虫食・植物性食品の研究開発が加速。伊藤ハム・日清食品などが代替肉商品を本格展開</w:t>
            </w:r>
          </w:p>
        </w:tc>
      </w:tr>
    </w:tbl>
    <w:p>
      <w:pPr>
        <w:spacing w:after="200" w:before="0"/>
      </w:pPr>
      <w:r>
        <w:t xml:space="preserve"/>
      </w:r>
    </w:p>
    <w:p>
      <w:pPr>
        <w:spacing w:after="100" w:before="280"/>
      </w:pPr>
      <w:r>
        <w:rPr>
          <w:rFonts w:ascii="Arial" w:cs="Arial" w:eastAsia="Arial" w:hAnsi="Arial"/>
          <w:b/>
          <w:bCs/>
          <w:color w:val="0F6E56"/>
          <w:sz w:val="26"/>
          <w:szCs w:val="26"/>
        </w:rPr>
        <w:t xml:space="preserve">▍環境・ウェルビーイング　</w:t>
      </w:r>
      <w:r>
        <w:rPr>
          <w:rFonts w:ascii="Arial" w:cs="Arial" w:eastAsia="Arial" w:hAnsi="Arial"/>
          <w:color w:val="777770"/>
          <w:sz w:val="20"/>
          <w:szCs w:val="20"/>
        </w:rPr>
        <w:t xml:space="preserve">脱炭素とライフスタイル刷新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E1F5EE" w:val="clear"/>
            <w:tcMar>
              <w:top w:type="dxa" w:w="80"/>
              <w:left w:type="dxa" w:w="150"/>
              <w:bottom w:type="dxa" w:w="80"/>
              <w:right w:type="dxa" w:w="120"/>
            </w:tcMar>
            <w:vAlign w:val="top"/>
          </w:tcPr>
          <w:p>
            <w:r>
              <w:rPr>
                <w:rFonts w:ascii="Arial" w:cs="Arial" w:eastAsia="Arial" w:hAnsi="Arial"/>
                <w:b/>
                <w:bCs/>
                <w:color w:val="0F6E56"/>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第六次環境基本計画 ／ TCFD・TNFD開示義務 ／ 地域循環共生圏 ／ ネイチャーポジティブ</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0F6E56"/>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地球温暖化を防ぎながら、人々の暮らしの豊かさ（ウェルビーイング）も高める取り組み。企業は気候変動リスクを投資家に開示する義務（TCFD）が広がり、今やサステナビリティは全業種の必須テーマ。</w:t>
            </w:r>
          </w:p>
        </w:tc>
      </w:tr>
      <w:tr>
        <w:tc>
          <w:tcPr>
            <w:tcW w:type="dxa" w:w="1800"/>
            <w:tcBorders>
              <w:top w:val="single" w:color="CCCCCC" w:sz="4"/>
              <w:left w:val="single" w:color="CCCCCC" w:sz="4"/>
              <w:bottom w:val="single" w:color="CCCCCC" w:sz="4"/>
              <w:right w:val="single" w:color="CCCCCC" w:sz="4"/>
            </w:tcBorders>
            <w:shd w:fill="E1F5EE" w:val="clear"/>
            <w:tcMar>
              <w:top w:type="dxa" w:w="80"/>
              <w:left w:type="dxa" w:w="150"/>
              <w:bottom w:type="dxa" w:w="80"/>
              <w:right w:type="dxa" w:w="120"/>
            </w:tcMar>
            <w:vAlign w:val="top"/>
          </w:tcPr>
          <w:p>
            <w:r>
              <w:rPr>
                <w:rFonts w:ascii="Arial" w:cs="Arial" w:eastAsia="Arial" w:hAnsi="Arial"/>
                <w:b/>
                <w:bCs/>
                <w:color w:val="0F6E56"/>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環境コンサル / 商社・金融（ESG） / 全業種（サステナ部門）</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0F6E56"/>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東証プライム上場企業へのTCFD（気候変動リスク）情報開示が義務化。約1,800社以上が開示済みで世界最多水準</w:t>
            </w:r>
          </w:p>
          <w:p>
            <w:pPr>
              <w:pStyle w:val="ListParagraph"/>
              <w:numPr>
                <w:ilvl w:val="0"/>
                <w:numId w:val="2"/>
              </w:numPr>
              <w:spacing w:after="40" w:before="40"/>
            </w:pPr>
            <w:r>
              <w:rPr>
                <w:rFonts w:ascii="Arial" w:cs="Arial" w:eastAsia="Arial" w:hAnsi="Arial"/>
                <w:color w:val="333333"/>
                <w:sz w:val="20"/>
                <w:szCs w:val="20"/>
              </w:rPr>
              <w:t xml:space="preserve">TNFD（自然関連財務情報開示）の枠組みが2023年に正式公開。日本企業の採択数が世界最多水準で急増</w:t>
            </w:r>
          </w:p>
          <w:p>
            <w:pPr>
              <w:pStyle w:val="ListParagraph"/>
              <w:numPr>
                <w:ilvl w:val="0"/>
                <w:numId w:val="2"/>
              </w:numPr>
              <w:spacing w:after="40" w:before="40"/>
            </w:pPr>
            <w:r>
              <w:rPr>
                <w:rFonts w:ascii="Arial" w:cs="Arial" w:eastAsia="Arial" w:hAnsi="Arial"/>
                <w:color w:val="333333"/>
                <w:sz w:val="20"/>
                <w:szCs w:val="20"/>
              </w:rPr>
              <w:t xml:space="preserve">脱炭素先行地域として全国100か所を環境省が選定（2024年時点）。再エネ100%の町づくりモデルを全国展開</w:t>
            </w:r>
          </w:p>
          <w:p>
            <w:pPr>
              <w:pStyle w:val="ListParagraph"/>
              <w:numPr>
                <w:ilvl w:val="0"/>
                <w:numId w:val="2"/>
              </w:numPr>
              <w:spacing w:after="40" w:before="40"/>
            </w:pPr>
            <w:r>
              <w:rPr>
                <w:rFonts w:ascii="Arial" w:cs="Arial" w:eastAsia="Arial" w:hAnsi="Arial"/>
                <w:color w:val="333333"/>
                <w:sz w:val="20"/>
                <w:szCs w:val="20"/>
              </w:rPr>
              <w:t xml:space="preserve">カーボンクレジット市場（GXリーグ）が2023年度から本格稼働。企業間でCO2排出量の売買が可能に</w:t>
            </w:r>
          </w:p>
          <w:p>
            <w:pPr>
              <w:pStyle w:val="ListParagraph"/>
              <w:numPr>
                <w:ilvl w:val="0"/>
                <w:numId w:val="2"/>
              </w:numPr>
              <w:spacing w:after="40" w:before="40"/>
            </w:pPr>
            <w:r>
              <w:rPr>
                <w:rFonts w:ascii="Arial" w:cs="Arial" w:eastAsia="Arial" w:hAnsi="Arial"/>
                <w:color w:val="333333"/>
                <w:sz w:val="20"/>
                <w:szCs w:val="20"/>
              </w:rPr>
              <w:t xml:space="preserve">第六次環境基本計画（2024年閣議決定）でウェルビーイングを政策目標に正式位置付け。GDPだけに頼らない指標を導入</w:t>
            </w:r>
          </w:p>
        </w:tc>
      </w:tr>
    </w:tbl>
    <w:p>
      <w:pPr>
        <w:spacing w:after="200" w:before="0"/>
      </w:pPr>
      <w:r>
        <w:t xml:space="preserve"/>
      </w:r>
    </w:p>
    <w:p>
      <w:pPr>
        <w:pBdr>
          <w:bottom w:val="single" w:color="5DCAA5" w:sz="4" w:space="1"/>
        </w:pBdr>
        <w:spacing w:after="360" w:before="240"/>
      </w:pPr>
      <w:r>
        <w:t xml:space="preserve"/>
      </w:r>
    </w:p>
    <w:p>
      <w:pPr>
        <w:pStyle w:val="Heading1"/>
        <w:spacing w:after="180" w:before="360"/>
      </w:pPr>
      <w:r>
        <w:rPr>
          <w:rFonts w:ascii="Arial" w:cs="Arial" w:eastAsia="Arial" w:hAnsi="Arial"/>
          <w:b/>
          <w:bCs/>
          <w:color w:val="854F0B"/>
          <w:sz w:val="32"/>
          <w:szCs w:val="32"/>
        </w:rPr>
        <w:t xml:space="preserve">④ 地域を活性化する</w:t>
      </w:r>
      <w:r>
        <w:rPr>
          <w:rFonts w:ascii="Arial" w:cs="Arial" w:eastAsia="Arial" w:hAnsi="Arial"/>
          <w:color w:val="9a9990"/>
          <w:sz w:val="22"/>
          <w:szCs w:val="22"/>
        </w:rPr>
        <w:t xml:space="preserve">  Regional Vitalization</w:t>
      </w:r>
    </w:p>
    <w:p>
      <w:pPr>
        <w:spacing w:after="100" w:before="280"/>
      </w:pPr>
      <w:r>
        <w:rPr>
          <w:rFonts w:ascii="Arial" w:cs="Arial" w:eastAsia="Arial" w:hAnsi="Arial"/>
          <w:b/>
          <w:bCs/>
          <w:color w:val="854F0B"/>
          <w:sz w:val="26"/>
          <w:szCs w:val="26"/>
        </w:rPr>
        <w:t xml:space="preserve">▍地方創生・デジタル田園都市　</w:t>
      </w:r>
      <w:r>
        <w:rPr>
          <w:rFonts w:ascii="Arial" w:cs="Arial" w:eastAsia="Arial" w:hAnsi="Arial"/>
          <w:color w:val="777770"/>
          <w:sz w:val="20"/>
          <w:szCs w:val="20"/>
        </w:rPr>
        <w:t xml:space="preserve">地域DXと生活基盤維持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FAEEDA" w:val="clear"/>
            <w:tcMar>
              <w:top w:type="dxa" w:w="80"/>
              <w:left w:type="dxa" w:w="150"/>
              <w:bottom w:type="dxa" w:w="80"/>
              <w:right w:type="dxa" w:w="120"/>
            </w:tcMar>
            <w:vAlign w:val="top"/>
          </w:tcPr>
          <w:p>
            <w:r>
              <w:rPr>
                <w:rFonts w:ascii="Arial" w:cs="Arial" w:eastAsia="Arial" w:hAnsi="Arial"/>
                <w:b/>
                <w:bCs/>
                <w:color w:val="854F0B"/>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デジタル田園都市国家構想 ／ コンパクトシティ ／ 地域生活圏形成 ／ ローカル線・上下分離</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854F0B"/>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東京への人口集中を止め、地方でも便利に暮らせる社会を作る取り組み。デジタル技術でオンライン診療や自動運転バスを地方に普及させ、人が減っても生活に必要なサービスを維持する仕組みを整える。</w:t>
            </w:r>
          </w:p>
        </w:tc>
      </w:tr>
      <w:tr>
        <w:tc>
          <w:tcPr>
            <w:tcW w:type="dxa" w:w="1800"/>
            <w:tcBorders>
              <w:top w:val="single" w:color="CCCCCC" w:sz="4"/>
              <w:left w:val="single" w:color="CCCCCC" w:sz="4"/>
              <w:bottom w:val="single" w:color="CCCCCC" w:sz="4"/>
              <w:right w:val="single" w:color="CCCCCC" w:sz="4"/>
            </w:tcBorders>
            <w:shd w:fill="FAEEDA" w:val="clear"/>
            <w:tcMar>
              <w:top w:type="dxa" w:w="80"/>
              <w:left w:type="dxa" w:w="150"/>
              <w:bottom w:type="dxa" w:w="80"/>
              <w:right w:type="dxa" w:w="120"/>
            </w:tcMar>
            <w:vAlign w:val="top"/>
          </w:tcPr>
          <w:p>
            <w:r>
              <w:rPr>
                <w:rFonts w:ascii="Arial" w:cs="Arial" w:eastAsia="Arial" w:hAnsi="Arial"/>
                <w:b/>
                <w:bCs/>
                <w:color w:val="854F0B"/>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自治体・シンクタンク / IT / 地域金融</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854F0B"/>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島根県海士町が「島まるごとスマートシティ」を推進。関係人口・移住者を呼び込み、人口減少を食い止めるモデルに</w:t>
            </w:r>
          </w:p>
          <w:p>
            <w:pPr>
              <w:pStyle w:val="ListParagraph"/>
              <w:numPr>
                <w:ilvl w:val="0"/>
                <w:numId w:val="2"/>
              </w:numPr>
              <w:spacing w:after="40" w:before="40"/>
            </w:pPr>
            <w:r>
              <w:rPr>
                <w:rFonts w:ascii="Arial" w:cs="Arial" w:eastAsia="Arial" w:hAnsi="Arial"/>
                <w:color w:val="333333"/>
                <w:sz w:val="20"/>
                <w:szCs w:val="20"/>
              </w:rPr>
              <w:t xml:space="preserve">徳島県神山町でデジタル系企業のサテライトオフィス誘致が加速。神山まるごと高専も開校し教育移住が増加</w:t>
            </w:r>
          </w:p>
          <w:p>
            <w:pPr>
              <w:pStyle w:val="ListParagraph"/>
              <w:numPr>
                <w:ilvl w:val="0"/>
                <w:numId w:val="2"/>
              </w:numPr>
              <w:spacing w:after="40" w:before="40"/>
            </w:pPr>
            <w:r>
              <w:rPr>
                <w:rFonts w:ascii="Arial" w:cs="Arial" w:eastAsia="Arial" w:hAnsi="Arial"/>
                <w:color w:val="333333"/>
                <w:sz w:val="20"/>
                <w:szCs w:val="20"/>
              </w:rPr>
              <w:t xml:space="preserve">自動運転バスが全国の地方で商用運行を開始。過疎地の公共交通を維持するための切り札として実証が急拡大</w:t>
            </w:r>
          </w:p>
          <w:p>
            <w:pPr>
              <w:pStyle w:val="ListParagraph"/>
              <w:numPr>
                <w:ilvl w:val="0"/>
                <w:numId w:val="2"/>
              </w:numPr>
              <w:spacing w:after="40" w:before="40"/>
            </w:pPr>
            <w:r>
              <w:rPr>
                <w:rFonts w:ascii="Arial" w:cs="Arial" w:eastAsia="Arial" w:hAnsi="Arial"/>
                <w:color w:val="333333"/>
                <w:sz w:val="20"/>
                <w:szCs w:val="20"/>
              </w:rPr>
              <w:t xml:space="preserve">JR西日本が芸備線（広島〜岡山）で全国初の「再構築協議会」を設置。国・県・市町村・鉄道が廃線か維持かを協議</w:t>
            </w:r>
          </w:p>
          <w:p>
            <w:pPr>
              <w:pStyle w:val="ListParagraph"/>
              <w:numPr>
                <w:ilvl w:val="0"/>
                <w:numId w:val="2"/>
              </w:numPr>
              <w:spacing w:after="40" w:before="40"/>
            </w:pPr>
            <w:r>
              <w:rPr>
                <w:rFonts w:ascii="Arial" w:cs="Arial" w:eastAsia="Arial" w:hAnsi="Arial"/>
                <w:color w:val="333333"/>
                <w:sz w:val="20"/>
                <w:szCs w:val="20"/>
              </w:rPr>
              <w:t xml:space="preserve">デジタル庁がマイナンバーカードを活用した「ぴったりサービス」を拡充。引越し・子育て手続きがオンラインで完結</w:t>
            </w:r>
          </w:p>
        </w:tc>
      </w:tr>
    </w:tbl>
    <w:p>
      <w:pPr>
        <w:spacing w:after="200" w:before="0"/>
      </w:pPr>
      <w:r>
        <w:t xml:space="preserve"/>
      </w:r>
    </w:p>
    <w:p>
      <w:pPr>
        <w:spacing w:after="100" w:before="280"/>
      </w:pPr>
      <w:r>
        <w:rPr>
          <w:rFonts w:ascii="Arial" w:cs="Arial" w:eastAsia="Arial" w:hAnsi="Arial"/>
          <w:b/>
          <w:bCs/>
          <w:color w:val="854F0B"/>
          <w:sz w:val="26"/>
          <w:szCs w:val="26"/>
        </w:rPr>
        <w:t xml:space="preserve">▍インバウンド誘致と地域の物語　</w:t>
      </w:r>
      <w:r>
        <w:rPr>
          <w:rFonts w:ascii="Arial" w:cs="Arial" w:eastAsia="Arial" w:hAnsi="Arial"/>
          <w:color w:val="777770"/>
          <w:sz w:val="20"/>
          <w:szCs w:val="20"/>
        </w:rPr>
        <w:t xml:space="preserve">高付加価値観光と発信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FAEEDA" w:val="clear"/>
            <w:tcMar>
              <w:top w:type="dxa" w:w="80"/>
              <w:left w:type="dxa" w:w="150"/>
              <w:bottom w:type="dxa" w:w="80"/>
              <w:right w:type="dxa" w:w="120"/>
            </w:tcMar>
            <w:vAlign w:val="top"/>
          </w:tcPr>
          <w:p>
            <w:r>
              <w:rPr>
                <w:rFonts w:ascii="Arial" w:cs="Arial" w:eastAsia="Arial" w:hAnsi="Arial"/>
                <w:b/>
                <w:bCs/>
                <w:color w:val="854F0B"/>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観光立国推進計画 ／ 高付加価値旅行者誘致 ／ ワーケーション ／ ナラティブ（地域の物語）</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854F0B"/>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訪日外国人に「安くたくさん来てもらう」より「少人数でお金をしっかり使ってもらう」観光への転換。地域独自の歴史・文化・食を「物語（ナラティブ）」として発信し、特別な体験を高値で提供する。</w:t>
            </w:r>
          </w:p>
        </w:tc>
      </w:tr>
      <w:tr>
        <w:tc>
          <w:tcPr>
            <w:tcW w:type="dxa" w:w="1800"/>
            <w:tcBorders>
              <w:top w:val="single" w:color="CCCCCC" w:sz="4"/>
              <w:left w:val="single" w:color="CCCCCC" w:sz="4"/>
              <w:bottom w:val="single" w:color="CCCCCC" w:sz="4"/>
              <w:right w:val="single" w:color="CCCCCC" w:sz="4"/>
            </w:tcBorders>
            <w:shd w:fill="FAEEDA" w:val="clear"/>
            <w:tcMar>
              <w:top w:type="dxa" w:w="80"/>
              <w:left w:type="dxa" w:w="150"/>
              <w:bottom w:type="dxa" w:w="80"/>
              <w:right w:type="dxa" w:w="120"/>
            </w:tcMar>
            <w:vAlign w:val="top"/>
          </w:tcPr>
          <w:p>
            <w:r>
              <w:rPr>
                <w:rFonts w:ascii="Arial" w:cs="Arial" w:eastAsia="Arial" w:hAnsi="Arial"/>
                <w:b/>
                <w:bCs/>
                <w:color w:val="854F0B"/>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観光・ホテル / 航空 / 地域メディア・PR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854F0B"/>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2023年訪日外国人数が3188万人で史上最高を更新。消費額も8兆円を突破し観光立国の実績が明確に</w:t>
            </w:r>
          </w:p>
          <w:p>
            <w:pPr>
              <w:pStyle w:val="ListParagraph"/>
              <w:numPr>
                <w:ilvl w:val="0"/>
                <w:numId w:val="2"/>
              </w:numPr>
              <w:spacing w:after="40" w:before="40"/>
            </w:pPr>
            <w:r>
              <w:rPr>
                <w:rFonts w:ascii="Arial" w:cs="Arial" w:eastAsia="Arial" w:hAnsi="Arial"/>
                <w:color w:val="333333"/>
                <w:sz w:val="20"/>
                <w:szCs w:val="20"/>
              </w:rPr>
              <w:t xml:space="preserve">京都市が宿泊税を大幅増税（2026年実施予定）し「量より質」への転換を明確化。混雑緩和と付加価値向上を両立</w:t>
            </w:r>
          </w:p>
          <w:p>
            <w:pPr>
              <w:pStyle w:val="ListParagraph"/>
              <w:numPr>
                <w:ilvl w:val="0"/>
                <w:numId w:val="2"/>
              </w:numPr>
              <w:spacing w:after="40" w:before="40"/>
            </w:pPr>
            <w:r>
              <w:rPr>
                <w:rFonts w:ascii="Arial" w:cs="Arial" w:eastAsia="Arial" w:hAnsi="Arial"/>
                <w:color w:val="333333"/>
                <w:sz w:val="20"/>
                <w:szCs w:val="20"/>
              </w:rPr>
              <w:t xml:space="preserve">栃木県日光・長野県白馬などで外資高級ホテル（アマン・パークハイアット等）の開業が相次ぎ、富裕層誘致が加速</w:t>
            </w:r>
          </w:p>
          <w:p>
            <w:pPr>
              <w:pStyle w:val="ListParagraph"/>
              <w:numPr>
                <w:ilvl w:val="0"/>
                <w:numId w:val="2"/>
              </w:numPr>
              <w:spacing w:after="40" w:before="40"/>
            </w:pPr>
            <w:r>
              <w:rPr>
                <w:rFonts w:ascii="Arial" w:cs="Arial" w:eastAsia="Arial" w:hAnsi="Arial"/>
                <w:color w:val="333333"/>
                <w:sz w:val="20"/>
                <w:szCs w:val="20"/>
              </w:rPr>
              <w:t xml:space="preserve">観光庁が「地域の物語（ナラティブ）」を活用した滞在型コンテンツ開発を支援。農泊・伝統工芸体験の商品化を補助</w:t>
            </w:r>
          </w:p>
          <w:p>
            <w:pPr>
              <w:pStyle w:val="ListParagraph"/>
              <w:numPr>
                <w:ilvl w:val="0"/>
                <w:numId w:val="2"/>
              </w:numPr>
              <w:spacing w:after="40" w:before="40"/>
            </w:pPr>
            <w:r>
              <w:rPr>
                <w:rFonts w:ascii="Arial" w:cs="Arial" w:eastAsia="Arial" w:hAnsi="Arial"/>
                <w:color w:val="333333"/>
                <w:sz w:val="20"/>
                <w:szCs w:val="20"/>
              </w:rPr>
              <w:t xml:space="preserve">沖縄・北海道を中心にワーケーション受入拠点の整備が進み、長期滞在型観光客の消費単価が向上</w:t>
            </w:r>
          </w:p>
        </w:tc>
      </w:tr>
    </w:tbl>
    <w:p>
      <w:pPr>
        <w:spacing w:after="200" w:before="0"/>
      </w:pPr>
      <w:r>
        <w:t xml:space="preserve"/>
      </w:r>
    </w:p>
    <w:p>
      <w:pPr>
        <w:spacing w:after="100" w:before="280"/>
      </w:pPr>
      <w:r>
        <w:rPr>
          <w:rFonts w:ascii="Arial" w:cs="Arial" w:eastAsia="Arial" w:hAnsi="Arial"/>
          <w:b/>
          <w:bCs/>
          <w:color w:val="854F0B"/>
          <w:sz w:val="26"/>
          <w:szCs w:val="26"/>
        </w:rPr>
        <w:t xml:space="preserve">▍人口減少下の国土利用・管理　</w:t>
      </w:r>
      <w:r>
        <w:rPr>
          <w:rFonts w:ascii="Arial" w:cs="Arial" w:eastAsia="Arial" w:hAnsi="Arial"/>
          <w:color w:val="777770"/>
          <w:sz w:val="20"/>
          <w:szCs w:val="20"/>
        </w:rPr>
        <w:t xml:space="preserve">土地の適正化と所有者不明対策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FAEEDA" w:val="clear"/>
            <w:tcMar>
              <w:top w:type="dxa" w:w="80"/>
              <w:left w:type="dxa" w:w="150"/>
              <w:bottom w:type="dxa" w:w="80"/>
              <w:right w:type="dxa" w:w="120"/>
            </w:tcMar>
            <w:vAlign w:val="top"/>
          </w:tcPr>
          <w:p>
            <w:r>
              <w:rPr>
                <w:rFonts w:ascii="Arial" w:cs="Arial" w:eastAsia="Arial" w:hAnsi="Arial"/>
                <w:b/>
                <w:bCs/>
                <w:color w:val="854F0B"/>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所有者不明土地（九州超の面積） ／ 相続土地国庫帰属法 ／ 相続登記義務化2024 ／ グリーンインフラ</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854F0B"/>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誰の土地かわからない「所有者不明土地」が九州を超える面積になり、空き家や農地放棄が深刻化。2024年から相続登記が義務化され、不動産・IT・法律が交差する新しいビジネス領域が生まれている。</w:t>
            </w:r>
          </w:p>
        </w:tc>
      </w:tr>
      <w:tr>
        <w:tc>
          <w:tcPr>
            <w:tcW w:type="dxa" w:w="1800"/>
            <w:tcBorders>
              <w:top w:val="single" w:color="CCCCCC" w:sz="4"/>
              <w:left w:val="single" w:color="CCCCCC" w:sz="4"/>
              <w:bottom w:val="single" w:color="CCCCCC" w:sz="4"/>
              <w:right w:val="single" w:color="CCCCCC" w:sz="4"/>
            </w:tcBorders>
            <w:shd w:fill="FAEEDA" w:val="clear"/>
            <w:tcMar>
              <w:top w:type="dxa" w:w="80"/>
              <w:left w:type="dxa" w:w="150"/>
              <w:bottom w:type="dxa" w:w="80"/>
              <w:right w:type="dxa" w:w="120"/>
            </w:tcMar>
            <w:vAlign w:val="top"/>
          </w:tcPr>
          <w:p>
            <w:r>
              <w:rPr>
                <w:rFonts w:ascii="Arial" w:cs="Arial" w:eastAsia="Arial" w:hAnsi="Arial"/>
                <w:b/>
                <w:bCs/>
                <w:color w:val="854F0B"/>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不動産・法律 / IT（登記DX） / 行政</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854F0B"/>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相続登記の義務化が2024年4月に施行。相続してから3年以内に法務局へ登記しないと10万円以下の過料の対象に</w:t>
            </w:r>
          </w:p>
          <w:p>
            <w:pPr>
              <w:pStyle w:val="ListParagraph"/>
              <w:numPr>
                <w:ilvl w:val="0"/>
                <w:numId w:val="2"/>
              </w:numPr>
              <w:spacing w:after="40" w:before="40"/>
            </w:pPr>
            <w:r>
              <w:rPr>
                <w:rFonts w:ascii="Arial" w:cs="Arial" w:eastAsia="Arial" w:hAnsi="Arial"/>
                <w:color w:val="333333"/>
                <w:sz w:val="20"/>
                <w:szCs w:val="20"/>
              </w:rPr>
              <w:t xml:space="preserve">相続土地国庫帰属法（2023年4月施行）により、管理が困難な土地を国に引き渡せる制度が始動</w:t>
            </w:r>
          </w:p>
          <w:p>
            <w:pPr>
              <w:pStyle w:val="ListParagraph"/>
              <w:numPr>
                <w:ilvl w:val="0"/>
                <w:numId w:val="2"/>
              </w:numPr>
              <w:spacing w:after="40" w:before="40"/>
            </w:pPr>
            <w:r>
              <w:rPr>
                <w:rFonts w:ascii="Arial" w:cs="Arial" w:eastAsia="Arial" w:hAnsi="Arial"/>
                <w:color w:val="333333"/>
                <w:sz w:val="20"/>
                <w:szCs w:val="20"/>
              </w:rPr>
              <w:t xml:space="preserve">法務省が登記のデジタル化（オンライン申請・AI活用）を推進。司法書士業務のDXが加速し手続きが効率化</w:t>
            </w:r>
          </w:p>
          <w:p>
            <w:pPr>
              <w:pStyle w:val="ListParagraph"/>
              <w:numPr>
                <w:ilvl w:val="0"/>
                <w:numId w:val="2"/>
              </w:numPr>
              <w:spacing w:after="40" w:before="40"/>
            </w:pPr>
            <w:r>
              <w:rPr>
                <w:rFonts w:ascii="Arial" w:cs="Arial" w:eastAsia="Arial" w:hAnsi="Arial"/>
                <w:color w:val="333333"/>
                <w:sz w:val="20"/>
                <w:szCs w:val="20"/>
              </w:rPr>
              <w:t xml:space="preserve">空き家バンク（自治体運営の空き家マッチングサービス）が全国1,500自治体超に拡大。移住希望者との成約数が急増</w:t>
            </w:r>
          </w:p>
          <w:p>
            <w:pPr>
              <w:pStyle w:val="ListParagraph"/>
              <w:numPr>
                <w:ilvl w:val="0"/>
                <w:numId w:val="2"/>
              </w:numPr>
              <w:spacing w:after="40" w:before="40"/>
            </w:pPr>
            <w:r>
              <w:rPr>
                <w:rFonts w:ascii="Arial" w:cs="Arial" w:eastAsia="Arial" w:hAnsi="Arial"/>
                <w:color w:val="333333"/>
                <w:sz w:val="20"/>
                <w:szCs w:val="20"/>
              </w:rPr>
              <w:t xml:space="preserve">農地中間管理機構が耕作放棄地を集約し農業法人に貸し出す事業を拡大。担い手不足の農村を支援</w:t>
            </w:r>
          </w:p>
        </w:tc>
      </w:tr>
    </w:tbl>
    <w:p>
      <w:pPr>
        <w:spacing w:after="200" w:before="0"/>
      </w:pPr>
      <w:r>
        <w:t xml:space="preserve"/>
      </w:r>
    </w:p>
    <w:p>
      <w:pPr>
        <w:spacing w:after="100" w:before="280"/>
      </w:pPr>
      <w:r>
        <w:rPr>
          <w:rFonts w:ascii="Arial" w:cs="Arial" w:eastAsia="Arial" w:hAnsi="Arial"/>
          <w:b/>
          <w:bCs/>
          <w:color w:val="854F0B"/>
          <w:sz w:val="26"/>
          <w:szCs w:val="26"/>
        </w:rPr>
        <w:t xml:space="preserve">▍多文化共生と人材獲得　</w:t>
      </w:r>
      <w:r>
        <w:rPr>
          <w:rFonts w:ascii="Arial" w:cs="Arial" w:eastAsia="Arial" w:hAnsi="Arial"/>
          <w:color w:val="777770"/>
          <w:sz w:val="20"/>
          <w:szCs w:val="20"/>
        </w:rPr>
        <w:t xml:space="preserve">外国人との共生と選ばれる地域づくり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4"/>
              <w:left w:val="single" w:color="CCCCCC" w:sz="4"/>
              <w:bottom w:val="single" w:color="CCCCCC" w:sz="4"/>
              <w:right w:val="single" w:color="CCCCCC" w:sz="4"/>
            </w:tcBorders>
            <w:shd w:fill="FAEEDA" w:val="clear"/>
            <w:tcMar>
              <w:top w:type="dxa" w:w="80"/>
              <w:left w:type="dxa" w:w="150"/>
              <w:bottom w:type="dxa" w:w="80"/>
              <w:right w:type="dxa" w:w="120"/>
            </w:tcMar>
            <w:vAlign w:val="top"/>
          </w:tcPr>
          <w:p>
            <w:r>
              <w:rPr>
                <w:rFonts w:ascii="Arial" w:cs="Arial" w:eastAsia="Arial" w:hAnsi="Arial"/>
                <w:b/>
                <w:bCs/>
                <w:color w:val="854F0B"/>
                <w:sz w:val="20"/>
                <w:szCs w:val="20"/>
              </w:rPr>
              <w:t xml:space="preserve">🔑 キーワード</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育成就労制度（技能実習廃止） ／ 特定技能1・2号 ／ 高度人材ポイント制 ／ 日本語教育の充実</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854F0B"/>
                <w:sz w:val="20"/>
                <w:szCs w:val="20"/>
              </w:rPr>
              <w:t xml:space="preserve">💬 解説</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日本で働く外国人を守りながら、優秀な人材に「日本で働きたい」と思ってもらうための大改革。長年批判されてきた「技能実習制度」を廃止し、外国人が安心してスキルを身につけられる新制度に切り替える。</w:t>
            </w:r>
          </w:p>
        </w:tc>
      </w:tr>
      <w:tr>
        <w:tc>
          <w:tcPr>
            <w:tcW w:type="dxa" w:w="1800"/>
            <w:tcBorders>
              <w:top w:val="single" w:color="CCCCCC" w:sz="4"/>
              <w:left w:val="single" w:color="CCCCCC" w:sz="4"/>
              <w:bottom w:val="single" w:color="CCCCCC" w:sz="4"/>
              <w:right w:val="single" w:color="CCCCCC" w:sz="4"/>
            </w:tcBorders>
            <w:shd w:fill="FAEEDA" w:val="clear"/>
            <w:tcMar>
              <w:top w:type="dxa" w:w="80"/>
              <w:left w:type="dxa" w:w="150"/>
              <w:bottom w:type="dxa" w:w="80"/>
              <w:right w:type="dxa" w:w="120"/>
            </w:tcMar>
            <w:vAlign w:val="top"/>
          </w:tcPr>
          <w:p>
            <w:r>
              <w:rPr>
                <w:rFonts w:ascii="Arial" w:cs="Arial" w:eastAsia="Arial" w:hAnsi="Arial"/>
                <w:b/>
                <w:bCs/>
                <w:color w:val="854F0B"/>
                <w:sz w:val="20"/>
                <w:szCs w:val="20"/>
              </w:rPr>
              <w:t xml:space="preserve">🏭 関連業界</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r>
              <w:rPr>
                <w:rFonts w:ascii="Arial" w:cs="Arial" w:eastAsia="Arial" w:hAnsi="Arial"/>
                <w:color w:val="333333"/>
                <w:sz w:val="20"/>
                <w:szCs w:val="20"/>
              </w:rPr>
              <w:t xml:space="preserve">人材・HR / 行政書士・法律 / 地域支援NPO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20"/>
            </w:tcMar>
            <w:vAlign w:val="top"/>
          </w:tcPr>
          <w:p>
            <w:r>
              <w:rPr>
                <w:rFonts w:ascii="Arial" w:cs="Arial" w:eastAsia="Arial" w:hAnsi="Arial"/>
                <w:b/>
                <w:bCs/>
                <w:color w:val="854F0B"/>
                <w:sz w:val="20"/>
                <w:szCs w:val="20"/>
              </w:rPr>
              <w:t xml:space="preserve">📌 取り組み事例</w:t>
            </w:r>
          </w:p>
        </w:tc>
        <w:tc>
          <w:tcPr>
            <w:tcW w:type="dxa" w:w="7200"/>
            <w:tcBorders>
              <w:top w:val="single" w:color="CCCCCC" w:sz="4"/>
              <w:left w:val="single" w:color="CCCCCC" w:sz="4"/>
              <w:bottom w:val="single" w:color="CCCCCC" w:sz="4"/>
              <w:right w:val="single" w:color="CCCCCC" w:sz="4"/>
            </w:tcBorders>
            <w:tcMar>
              <w:top w:type="dxa" w:w="80"/>
              <w:left w:type="dxa" w:w="150"/>
              <w:bottom w:type="dxa" w:w="80"/>
              <w:right w:type="dxa" w:w="150"/>
            </w:tcMar>
          </w:tcPr>
          <w:p>
            <w:pPr>
              <w:pStyle w:val="ListParagraph"/>
              <w:numPr>
                <w:ilvl w:val="0"/>
                <w:numId w:val="2"/>
              </w:numPr>
              <w:spacing w:after="40" w:before="40"/>
            </w:pPr>
            <w:r>
              <w:rPr>
                <w:rFonts w:ascii="Arial" w:cs="Arial" w:eastAsia="Arial" w:hAnsi="Arial"/>
                <w:color w:val="333333"/>
                <w:sz w:val="20"/>
                <w:szCs w:val="20"/>
              </w:rPr>
              <w:t xml:space="preserve">「育成就労制度」を創設する法律が2024年6月に成立。批判が多かった技能実習制度を廃止し2027年頃に新制度へ移行</w:t>
            </w:r>
          </w:p>
          <w:p>
            <w:pPr>
              <w:pStyle w:val="ListParagraph"/>
              <w:numPr>
                <w:ilvl w:val="0"/>
                <w:numId w:val="2"/>
              </w:numPr>
              <w:spacing w:after="40" w:before="40"/>
            </w:pPr>
            <w:r>
              <w:rPr>
                <w:rFonts w:ascii="Arial" w:cs="Arial" w:eastAsia="Arial" w:hAnsi="Arial"/>
                <w:color w:val="333333"/>
                <w:sz w:val="20"/>
                <w:szCs w:val="20"/>
              </w:rPr>
              <w:t xml:space="preserve">特定技能2号の対象分野が2023年に大幅拡大（11分野→12分野）。家族帯同・永住申請が可能になり定着支援が強化</w:t>
            </w:r>
          </w:p>
          <w:p>
            <w:pPr>
              <w:pStyle w:val="ListParagraph"/>
              <w:numPr>
                <w:ilvl w:val="0"/>
                <w:numId w:val="2"/>
              </w:numPr>
              <w:spacing w:after="40" w:before="40"/>
            </w:pPr>
            <w:r>
              <w:rPr>
                <w:rFonts w:ascii="Arial" w:cs="Arial" w:eastAsia="Arial" w:hAnsi="Arial"/>
                <w:color w:val="333333"/>
                <w:sz w:val="20"/>
                <w:szCs w:val="20"/>
              </w:rPr>
              <w:t xml:space="preserve">浜松市が外国人市民の生活サポートを市役所内で多言語対応。「やさしい日本語」の活用を全国の自治体に展開</w:t>
            </w:r>
          </w:p>
          <w:p>
            <w:pPr>
              <w:pStyle w:val="ListParagraph"/>
              <w:numPr>
                <w:ilvl w:val="0"/>
                <w:numId w:val="2"/>
              </w:numPr>
              <w:spacing w:after="40" w:before="40"/>
            </w:pPr>
            <w:r>
              <w:rPr>
                <w:rFonts w:ascii="Arial" w:cs="Arial" w:eastAsia="Arial" w:hAnsi="Arial"/>
                <w:color w:val="333333"/>
                <w:sz w:val="20"/>
                <w:szCs w:val="20"/>
              </w:rPr>
              <w:t xml:space="preserve">豊田市がブラジル人学校を認定校として支援し、外国人の子どもが安心して学べる教育環境を整備</w:t>
            </w:r>
          </w:p>
          <w:p>
            <w:pPr>
              <w:pStyle w:val="ListParagraph"/>
              <w:numPr>
                <w:ilvl w:val="0"/>
                <w:numId w:val="2"/>
              </w:numPr>
              <w:spacing w:after="40" w:before="40"/>
            </w:pPr>
            <w:r>
              <w:rPr>
                <w:rFonts w:ascii="Arial" w:cs="Arial" w:eastAsia="Arial" w:hAnsi="Arial"/>
                <w:color w:val="333333"/>
                <w:sz w:val="20"/>
                <w:szCs w:val="20"/>
              </w:rPr>
              <w:t xml:space="preserve">日本語教育推進法（2019年）に基づき「日本語教育機関認定制度」が2024年に施行。質の高い日本語教育が全国に拡大</w:t>
            </w:r>
          </w:p>
        </w:tc>
      </w:tr>
    </w:tbl>
    <w:p>
      <w:pPr>
        <w:spacing w:after="200" w:before="0"/>
      </w:pPr>
      <w:r>
        <w:t xml:space="preserve"/>
      </w:r>
    </w:p>
    <w:p>
      <w:pPr>
        <w:pBdr>
          <w:bottom w:val="single" w:color="EF9F27" w:sz="4" w:space="1"/>
        </w:pBdr>
        <w:spacing w:after="360" w:before="240"/>
      </w:pPr>
      <w:r>
        <w:t xml:space="preserve"/>
      </w:r>
    </w:p>
    <w:p>
      <w:pPr>
        <w:jc w:val="center"/>
      </w:pPr>
      <w:r>
        <w:rPr>
          <w:rFonts w:ascii="Arial" w:cs="Arial" w:eastAsia="Arial" w:hAnsi="Arial"/>
          <w:color w:val="9a9990"/>
          <w:sz w:val="16"/>
          <w:szCs w:val="16"/>
        </w:rPr>
        <w:t xml:space="preserve">出典：防衛省・国土交通省・経済産業省・こども家庭庁・金融庁・文部科学省・厚生労働省・総務省 各政策資料（2025〜2026年版）をもとに作成</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2026-04-09T18:19:47.054Z</dcterms:created>
  <dcterms:modified xsi:type="dcterms:W3CDTF">2026-04-09T18:19:47.055Z</dcterms:modified>
</cp:coreProperties>
</file>

<file path=docProps/custom.xml><?xml version="1.0" encoding="utf-8"?>
<Properties xmlns="http://schemas.openxmlformats.org/officeDocument/2006/custom-properties" xmlns:vt="http://schemas.openxmlformats.org/officeDocument/2006/docPropsVTypes"/>
</file>