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E37" w:rsidRPr="00717E37" w:rsidRDefault="00717E37" w:rsidP="00717E37">
      <w:pPr>
        <w:shd w:val="clear" w:color="auto" w:fill="F2F2F2"/>
        <w:spacing w:before="100" w:beforeAutospacing="1" w:after="100" w:afterAutospacing="1" w:line="240" w:lineRule="auto"/>
        <w:outlineLvl w:val="3"/>
        <w:rPr>
          <w:rFonts w:ascii="Arial" w:eastAsia="Times New Roman" w:hAnsi="Arial" w:cs="Arial"/>
          <w:b/>
          <w:bCs/>
          <w:color w:val="1F1923"/>
          <w:sz w:val="24"/>
          <w:szCs w:val="24"/>
        </w:rPr>
      </w:pPr>
      <w:bookmarkStart w:id="0" w:name="_Toc160534972"/>
      <w:r w:rsidRPr="00717E37">
        <w:rPr>
          <w:rFonts w:ascii="Arial" w:eastAsia="Times New Roman" w:hAnsi="Arial" w:cs="Arial"/>
          <w:b/>
          <w:bCs/>
          <w:i/>
          <w:iCs/>
          <w:color w:val="C73D24"/>
          <w:sz w:val="24"/>
          <w:szCs w:val="24"/>
        </w:rPr>
        <w:t>Issue 3: condition in prisons</w:t>
      </w:r>
      <w:bookmarkEnd w:id="0"/>
    </w:p>
    <w:p w:rsidR="00717E37" w:rsidRPr="00717E37" w:rsidRDefault="00717E37" w:rsidP="00717E37">
      <w:pPr>
        <w:numPr>
          <w:ilvl w:val="0"/>
          <w:numId w:val="1"/>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In 2001 the Committee recommended that Australia ‘continue its efforts to reduce overcrowding in prisons’ and expressed concern about:</w:t>
      </w:r>
      <w:r w:rsidRPr="00717E37">
        <w:rPr>
          <w:rFonts w:ascii="Arial" w:eastAsia="Times New Roman" w:hAnsi="Arial" w:cs="Arial"/>
          <w:color w:val="1F1923"/>
        </w:rPr>
        <w:br/>
      </w:r>
    </w:p>
    <w:p w:rsidR="00717E37" w:rsidRPr="00717E37" w:rsidRDefault="00717E37" w:rsidP="00717E37">
      <w:pPr>
        <w:numPr>
          <w:ilvl w:val="1"/>
          <w:numId w:val="1"/>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The use by prison authorities of instruments of physical restraint that may cause unnecessary pain and humiliation;</w:t>
      </w:r>
    </w:p>
    <w:p w:rsidR="00717E37" w:rsidRPr="00717E37" w:rsidRDefault="00717E37" w:rsidP="00717E37">
      <w:pPr>
        <w:numPr>
          <w:ilvl w:val="1"/>
          <w:numId w:val="1"/>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Allegations of excessive use of force or degrading treatment by police forces or prison guards;</w:t>
      </w:r>
    </w:p>
    <w:p w:rsidR="00717E37" w:rsidRPr="00717E37" w:rsidRDefault="00717E37" w:rsidP="00717E37">
      <w:pPr>
        <w:numPr>
          <w:ilvl w:val="1"/>
          <w:numId w:val="1"/>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Allegations of intimidation and adverse consequences faced by inmates who complain about their treatment in prisons.</w:t>
      </w:r>
      <w:bookmarkStart w:id="1" w:name="endnoteb7"/>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"endnote7" </w:instrText>
      </w:r>
      <w:r w:rsidRPr="00717E37">
        <w:rPr>
          <w:rFonts w:ascii="Arial" w:eastAsia="Times New Roman" w:hAnsi="Arial" w:cs="Arial"/>
          <w:color w:val="1F1923"/>
        </w:rPr>
        <w:fldChar w:fldCharType="separate"/>
      </w:r>
      <w:r w:rsidRPr="00717E37">
        <w:rPr>
          <w:rFonts w:ascii="Arial" w:eastAsia="Times New Roman" w:hAnsi="Arial" w:cs="Arial"/>
          <w:color w:val="C73D24"/>
        </w:rPr>
        <w:t>7</w:t>
      </w:r>
      <w:r w:rsidRPr="00717E37">
        <w:rPr>
          <w:rFonts w:ascii="Arial" w:eastAsia="Times New Roman" w:hAnsi="Arial" w:cs="Arial"/>
          <w:color w:val="1F1923"/>
        </w:rPr>
        <w:fldChar w:fldCharType="end"/>
      </w:r>
      <w:bookmarkEnd w:id="1"/>
    </w:p>
    <w:p w:rsidR="00717E37" w:rsidRPr="00717E37" w:rsidRDefault="00717E37" w:rsidP="00717E37">
      <w:pPr>
        <w:shd w:val="clear" w:color="auto" w:fill="F2F2F2"/>
        <w:spacing w:before="100" w:beforeAutospacing="1" w:after="100" w:afterAutospacing="1" w:line="240" w:lineRule="auto"/>
        <w:outlineLvl w:val="3"/>
        <w:rPr>
          <w:rFonts w:ascii="Arial" w:eastAsia="Times New Roman" w:hAnsi="Arial" w:cs="Arial"/>
          <w:b/>
          <w:bCs/>
          <w:color w:val="1F1923"/>
          <w:sz w:val="24"/>
          <w:szCs w:val="24"/>
        </w:rPr>
      </w:pPr>
      <w:bookmarkStart w:id="2" w:name="_Toc160534973"/>
      <w:r w:rsidRPr="00717E37">
        <w:rPr>
          <w:rFonts w:ascii="Arial" w:eastAsia="Times New Roman" w:hAnsi="Arial" w:cs="Arial"/>
          <w:b/>
          <w:bCs/>
          <w:color w:val="C73D24"/>
          <w:sz w:val="24"/>
          <w:szCs w:val="24"/>
        </w:rPr>
        <w:t>Monitoring prison conditions</w:t>
      </w:r>
      <w:bookmarkEnd w:id="2"/>
    </w:p>
    <w:p w:rsidR="00717E37" w:rsidRPr="00717E37" w:rsidRDefault="00717E37" w:rsidP="00717E37">
      <w:pPr>
        <w:numPr>
          <w:ilvl w:val="0"/>
          <w:numId w:val="2"/>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HREOC </w:t>
      </w:r>
      <w:proofErr w:type="spellStart"/>
      <w:r w:rsidRPr="00717E37">
        <w:rPr>
          <w:rFonts w:ascii="Arial" w:eastAsia="Times New Roman" w:hAnsi="Arial" w:cs="Arial"/>
          <w:color w:val="1F1923"/>
        </w:rPr>
        <w:t>can not</w:t>
      </w:r>
      <w:proofErr w:type="spellEnd"/>
      <w:r w:rsidRPr="00717E37">
        <w:rPr>
          <w:rFonts w:ascii="Arial" w:eastAsia="Times New Roman" w:hAnsi="Arial" w:cs="Arial"/>
          <w:color w:val="1F1923"/>
        </w:rPr>
        <w:t xml:space="preserve"> provide commentary on the experiences of prisoners because there is no regular program of prison visits by HREOC. HREOC has no power to compel entry to prisons and no jurisdiction to receive complaints from state prisoners about breaches of human rights under the ICCPR or the CRC.  </w:t>
      </w:r>
    </w:p>
    <w:p w:rsidR="00717E37" w:rsidRPr="00717E37" w:rsidRDefault="00717E37" w:rsidP="00717E37">
      <w:pPr>
        <w:numPr>
          <w:ilvl w:val="0"/>
          <w:numId w:val="2"/>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While HREOC does not have the resources or the jurisdiction to investigate whether conditions in state prisons comply with CAT (in particular, the prohibition on cruel, inhuman and degrading treatment), HREOC is concerned about human rights conditions in Australian prisons.  In expressing these concerns, HREOC emphasizes the importance of preventative actions to reduce the risk of people in detention being subjected to cruel, inhuman or degrading treatment.</w:t>
      </w:r>
    </w:p>
    <w:p w:rsidR="00717E37" w:rsidRPr="00717E37" w:rsidRDefault="00717E37" w:rsidP="00717E37">
      <w:pPr>
        <w:numPr>
          <w:ilvl w:val="0"/>
          <w:numId w:val="2"/>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In particular, HREOC is concerned about the protection of the rights of the mentally ill in Australian prisons.</w:t>
      </w:r>
      <w:bookmarkStart w:id="3" w:name="endnoteb8"/>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"endnote8" </w:instrText>
      </w:r>
      <w:r w:rsidRPr="00717E37">
        <w:rPr>
          <w:rFonts w:ascii="Arial" w:eastAsia="Times New Roman" w:hAnsi="Arial" w:cs="Arial"/>
          <w:color w:val="1F1923"/>
        </w:rPr>
        <w:fldChar w:fldCharType="separate"/>
      </w:r>
      <w:r w:rsidRPr="00717E37">
        <w:rPr>
          <w:rFonts w:ascii="Arial" w:eastAsia="Times New Roman" w:hAnsi="Arial" w:cs="Arial"/>
          <w:color w:val="C73D24"/>
        </w:rPr>
        <w:t>8</w:t>
      </w:r>
      <w:r w:rsidRPr="00717E37">
        <w:rPr>
          <w:rFonts w:ascii="Arial" w:eastAsia="Times New Roman" w:hAnsi="Arial" w:cs="Arial"/>
          <w:color w:val="1F1923"/>
        </w:rPr>
        <w:fldChar w:fldCharType="end"/>
      </w:r>
      <w:bookmarkEnd w:id="3"/>
      <w:r w:rsidRPr="00717E37">
        <w:rPr>
          <w:rFonts w:ascii="Arial" w:eastAsia="Times New Roman" w:hAnsi="Arial" w:cs="Arial"/>
          <w:color w:val="1F1923"/>
        </w:rPr>
        <w:t> HREOC notes with concern a 2006 report by the </w:t>
      </w:r>
      <w:r w:rsidRPr="00717E37">
        <w:rPr>
          <w:rFonts w:ascii="Arial" w:eastAsia="Times New Roman" w:hAnsi="Arial" w:cs="Arial"/>
          <w:i/>
          <w:iCs/>
          <w:color w:val="1F1923"/>
        </w:rPr>
        <w:t>Anti-Discrimination Commission Queensland </w:t>
      </w:r>
      <w:r w:rsidRPr="00717E37">
        <w:rPr>
          <w:rFonts w:ascii="Arial" w:eastAsia="Times New Roman" w:hAnsi="Arial" w:cs="Arial"/>
          <w:color w:val="1F1923"/>
        </w:rPr>
        <w:t>found:</w:t>
      </w:r>
      <w:r w:rsidRPr="00717E37">
        <w:rPr>
          <w:rFonts w:ascii="Arial" w:eastAsia="Times New Roman" w:hAnsi="Arial" w:cs="Arial"/>
          <w:color w:val="1F1923"/>
        </w:rPr>
        <w:br/>
      </w:r>
    </w:p>
    <w:p w:rsidR="00717E37" w:rsidRPr="00717E37" w:rsidRDefault="00717E37" w:rsidP="00717E37">
      <w:pPr>
        <w:numPr>
          <w:ilvl w:val="1"/>
          <w:numId w:val="2"/>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many women with mental illness are inappropriately detained in prison while their mental health needs are left unintended; and</w:t>
      </w:r>
    </w:p>
    <w:p w:rsidR="00717E37" w:rsidRPr="00717E37" w:rsidRDefault="00717E37" w:rsidP="00717E37">
      <w:pPr>
        <w:numPr>
          <w:ilvl w:val="1"/>
          <w:numId w:val="2"/>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Indigenous women are especially at risk of discrimination in prison.</w:t>
      </w:r>
      <w:bookmarkStart w:id="4" w:name="endnoteb9"/>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"endnote9" </w:instrText>
      </w:r>
      <w:r w:rsidRPr="00717E37">
        <w:rPr>
          <w:rFonts w:ascii="Arial" w:eastAsia="Times New Roman" w:hAnsi="Arial" w:cs="Arial"/>
          <w:color w:val="1F1923"/>
        </w:rPr>
        <w:fldChar w:fldCharType="separate"/>
      </w:r>
      <w:r w:rsidRPr="00717E37">
        <w:rPr>
          <w:rFonts w:ascii="Arial" w:eastAsia="Times New Roman" w:hAnsi="Arial" w:cs="Arial"/>
          <w:color w:val="C73D24"/>
        </w:rPr>
        <w:t>9</w:t>
      </w:r>
      <w:r w:rsidRPr="00717E37">
        <w:rPr>
          <w:rFonts w:ascii="Arial" w:eastAsia="Times New Roman" w:hAnsi="Arial" w:cs="Arial"/>
          <w:color w:val="1F1923"/>
        </w:rPr>
        <w:fldChar w:fldCharType="end"/>
      </w:r>
      <w:bookmarkEnd w:id="4"/>
    </w:p>
    <w:p w:rsidR="00717E37" w:rsidRPr="00717E37" w:rsidRDefault="00717E37" w:rsidP="00717E37">
      <w:pPr>
        <w:shd w:val="clear" w:color="auto" w:fill="F2F2F2"/>
        <w:spacing w:before="100" w:beforeAutospacing="1" w:after="100" w:afterAutospacing="1" w:line="240" w:lineRule="auto"/>
        <w:outlineLvl w:val="3"/>
        <w:rPr>
          <w:rFonts w:ascii="Arial" w:eastAsia="Times New Roman" w:hAnsi="Arial" w:cs="Arial"/>
          <w:b/>
          <w:bCs/>
          <w:color w:val="1F1923"/>
          <w:sz w:val="24"/>
          <w:szCs w:val="24"/>
        </w:rPr>
      </w:pPr>
      <w:bookmarkStart w:id="5" w:name="_Toc160534974"/>
      <w:r w:rsidRPr="00717E37">
        <w:rPr>
          <w:rFonts w:ascii="Arial" w:eastAsia="Times New Roman" w:hAnsi="Arial" w:cs="Arial"/>
          <w:b/>
          <w:bCs/>
          <w:color w:val="C73D24"/>
          <w:sz w:val="24"/>
          <w:szCs w:val="24"/>
        </w:rPr>
        <w:t>Case Study: the death of Scott Simpson</w:t>
      </w:r>
      <w:bookmarkEnd w:id="5"/>
    </w:p>
    <w:p w:rsidR="00717E37" w:rsidRPr="00717E37" w:rsidRDefault="00717E37" w:rsidP="00717E37">
      <w:pPr>
        <w:numPr>
          <w:ilvl w:val="0"/>
          <w:numId w:val="3"/>
        </w:numPr>
        <w:shd w:val="clear" w:color="auto" w:fill="F2F2F2"/>
        <w:spacing w:after="0" w:line="240" w:lineRule="auto"/>
        <w:rPr>
          <w:rFonts w:ascii="Arial" w:eastAsia="Times New Roman" w:hAnsi="Arial" w:cs="Arial"/>
          <w:color w:val="1F1923"/>
        </w:rPr>
      </w:pP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hanged himself at the Long Bay Correctional Centre, Malabar, New South Wales on 7 June 2004. He had paranoid schizophrenia.</w:t>
      </w:r>
    </w:p>
    <w:p w:rsidR="00717E37" w:rsidRPr="00717E37" w:rsidRDefault="00717E37" w:rsidP="00717E37">
      <w:pPr>
        <w:numPr>
          <w:ilvl w:val="0"/>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HREOC intervened in the Coroner’s inquest into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Simpson’s death. HREOC made submissions that the treatment of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during his incarceration was inconsistent with both article 7 and article 10(1) of the ICCPR in the following respects:</w:t>
      </w:r>
      <w:r w:rsidRPr="00717E37">
        <w:rPr>
          <w:rFonts w:ascii="Arial" w:eastAsia="Times New Roman" w:hAnsi="Arial" w:cs="Arial"/>
          <w:color w:val="1F1923"/>
        </w:rPr>
        <w:br/>
      </w:r>
    </w:p>
    <w:p w:rsidR="00717E37" w:rsidRPr="00717E37" w:rsidRDefault="00717E37" w:rsidP="00717E37">
      <w:pPr>
        <w:numPr>
          <w:ilvl w:val="1"/>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(a) the prolonged detention of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in segregated custody, particularly in light of his serious mental illness;</w:t>
      </w:r>
    </w:p>
    <w:p w:rsidR="00717E37" w:rsidRPr="00717E37" w:rsidRDefault="00717E37" w:rsidP="00717E37">
      <w:pPr>
        <w:numPr>
          <w:ilvl w:val="1"/>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(b) the failure to transfer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to ‘D ward’, contrary to the recommendations of numerous psychiatrists that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required hospital treatment; and</w:t>
      </w:r>
    </w:p>
    <w:p w:rsidR="00717E37" w:rsidRPr="00717E37" w:rsidRDefault="00717E37" w:rsidP="00717E37">
      <w:pPr>
        <w:numPr>
          <w:ilvl w:val="1"/>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(c) </w:t>
      </w:r>
      <w:proofErr w:type="gramStart"/>
      <w:r w:rsidRPr="00717E37">
        <w:rPr>
          <w:rFonts w:ascii="Arial" w:eastAsia="Times New Roman" w:hAnsi="Arial" w:cs="Arial"/>
          <w:color w:val="1F1923"/>
        </w:rPr>
        <w:t>the</w:t>
      </w:r>
      <w:proofErr w:type="gramEnd"/>
      <w:r w:rsidRPr="00717E37">
        <w:rPr>
          <w:rFonts w:ascii="Arial" w:eastAsia="Times New Roman" w:hAnsi="Arial" w:cs="Arial"/>
          <w:color w:val="1F1923"/>
        </w:rPr>
        <w:t xml:space="preserve"> failure to provide adequate medical care, including psychiatric care, to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while he remained in the correctional environment.</w:t>
      </w:r>
      <w:bookmarkStart w:id="6" w:name="endnoteb10"/>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"endnote10" </w:instrText>
      </w:r>
      <w:r w:rsidRPr="00717E37">
        <w:rPr>
          <w:rFonts w:ascii="Arial" w:eastAsia="Times New Roman" w:hAnsi="Arial" w:cs="Arial"/>
          <w:color w:val="1F1923"/>
        </w:rPr>
        <w:fldChar w:fldCharType="separate"/>
      </w:r>
      <w:r w:rsidRPr="00717E37">
        <w:rPr>
          <w:rFonts w:ascii="Arial" w:eastAsia="Times New Roman" w:hAnsi="Arial" w:cs="Arial"/>
          <w:color w:val="C73D24"/>
        </w:rPr>
        <w:t>10</w:t>
      </w:r>
      <w:r w:rsidRPr="00717E37">
        <w:rPr>
          <w:rFonts w:ascii="Arial" w:eastAsia="Times New Roman" w:hAnsi="Arial" w:cs="Arial"/>
          <w:color w:val="1F1923"/>
        </w:rPr>
        <w:fldChar w:fldCharType="end"/>
      </w:r>
      <w:bookmarkEnd w:id="6"/>
    </w:p>
    <w:p w:rsidR="00717E37" w:rsidRPr="00717E37" w:rsidRDefault="00717E37" w:rsidP="00717E37">
      <w:pPr>
        <w:numPr>
          <w:ilvl w:val="0"/>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The Coroner found that:</w:t>
      </w:r>
      <w:r w:rsidRPr="00717E37">
        <w:rPr>
          <w:rFonts w:ascii="Arial" w:eastAsia="Times New Roman" w:hAnsi="Arial" w:cs="Arial"/>
          <w:color w:val="1F1923"/>
        </w:rPr>
        <w:br/>
      </w:r>
    </w:p>
    <w:p w:rsidR="00717E37" w:rsidRPr="00717E37" w:rsidRDefault="00717E37" w:rsidP="00717E37">
      <w:pPr>
        <w:numPr>
          <w:ilvl w:val="1"/>
          <w:numId w:val="3"/>
        </w:numPr>
        <w:shd w:val="clear" w:color="auto" w:fill="F2F2F2"/>
        <w:spacing w:after="0" w:line="240" w:lineRule="auto"/>
        <w:rPr>
          <w:rFonts w:ascii="Arial" w:eastAsia="Times New Roman" w:hAnsi="Arial" w:cs="Arial"/>
          <w:color w:val="1F1923"/>
        </w:rPr>
      </w:pPr>
      <w:proofErr w:type="spellStart"/>
      <w:r w:rsidRPr="00717E37">
        <w:rPr>
          <w:rFonts w:ascii="Arial" w:eastAsia="Times New Roman" w:hAnsi="Arial" w:cs="Arial"/>
          <w:color w:val="1F1923"/>
        </w:rPr>
        <w:lastRenderedPageBreak/>
        <w:t>Mr</w:t>
      </w:r>
      <w:proofErr w:type="spellEnd"/>
      <w:r w:rsidRPr="00717E37">
        <w:rPr>
          <w:rFonts w:ascii="Arial" w:eastAsia="Times New Roman" w:hAnsi="Arial" w:cs="Arial"/>
          <w:color w:val="1F1923"/>
        </w:rPr>
        <w:t xml:space="preserve"> Simpson was not provided with adequate medical treatment during his incarceration;</w:t>
      </w:r>
    </w:p>
    <w:p w:rsidR="00717E37" w:rsidRPr="00717E37" w:rsidRDefault="00717E37" w:rsidP="00717E37">
      <w:pPr>
        <w:numPr>
          <w:ilvl w:val="1"/>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the time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spent in segregation lead inevitably to a deterioration of his mental state until the crisis point was reached on 7 June 2004;</w:t>
      </w:r>
    </w:p>
    <w:p w:rsidR="00717E37" w:rsidRPr="00717E37" w:rsidRDefault="00717E37" w:rsidP="00717E37">
      <w:pPr>
        <w:numPr>
          <w:ilvl w:val="1"/>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more could have been done to secure a hospital bed for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but wasn't;</w:t>
      </w:r>
    </w:p>
    <w:p w:rsidR="00717E37" w:rsidRPr="00717E37" w:rsidRDefault="00717E37" w:rsidP="00717E37">
      <w:pPr>
        <w:numPr>
          <w:ilvl w:val="1"/>
          <w:numId w:val="3"/>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Justice Health administrators were reluctant to admit </w:t>
      </w:r>
      <w:proofErr w:type="spellStart"/>
      <w:r w:rsidRPr="00717E37">
        <w:rPr>
          <w:rFonts w:ascii="Arial" w:eastAsia="Times New Roman" w:hAnsi="Arial" w:cs="Arial"/>
          <w:color w:val="1F1923"/>
        </w:rPr>
        <w:t>Mr</w:t>
      </w:r>
      <w:proofErr w:type="spellEnd"/>
      <w:r w:rsidRPr="00717E37">
        <w:rPr>
          <w:rFonts w:ascii="Arial" w:eastAsia="Times New Roman" w:hAnsi="Arial" w:cs="Arial"/>
          <w:color w:val="1F1923"/>
        </w:rPr>
        <w:t xml:space="preserve"> Simpson to D ward, whether unconvinced of the clinical urgency or because of security considerations or a combination of both.</w:t>
      </w:r>
    </w:p>
    <w:p w:rsidR="00717E37" w:rsidRPr="00717E37" w:rsidRDefault="00717E37" w:rsidP="00717E37">
      <w:pPr>
        <w:shd w:val="clear" w:color="auto" w:fill="F2F2F2"/>
        <w:spacing w:before="100" w:beforeAutospacing="1" w:after="100" w:afterAutospacing="1" w:line="240" w:lineRule="auto"/>
        <w:outlineLvl w:val="3"/>
        <w:rPr>
          <w:rFonts w:ascii="Arial" w:eastAsia="Times New Roman" w:hAnsi="Arial" w:cs="Arial"/>
          <w:b/>
          <w:bCs/>
          <w:color w:val="1F1923"/>
          <w:sz w:val="24"/>
          <w:szCs w:val="24"/>
        </w:rPr>
      </w:pPr>
      <w:bookmarkStart w:id="7" w:name="_Toc160534975"/>
      <w:r w:rsidRPr="00717E37">
        <w:rPr>
          <w:rFonts w:ascii="Arial" w:eastAsia="Times New Roman" w:hAnsi="Arial" w:cs="Arial"/>
          <w:b/>
          <w:bCs/>
          <w:color w:val="C73D24"/>
          <w:sz w:val="24"/>
          <w:szCs w:val="24"/>
        </w:rPr>
        <w:t>Mandatory minimum sentencing</w:t>
      </w:r>
      <w:bookmarkEnd w:id="7"/>
    </w:p>
    <w:p w:rsidR="00717E37" w:rsidRPr="00717E37" w:rsidRDefault="00717E37" w:rsidP="00717E37">
      <w:pPr>
        <w:numPr>
          <w:ilvl w:val="0"/>
          <w:numId w:val="4"/>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In 2001 the Committee recommended that Australia ‘…keep under careful review legislation imposing mandatory minimum sentences, to ensure that it does not raise questions of compliance with its international obligations under the Convention and other relevant instruments, particularly with regard to the possible adverse effect upon disadvantaged groups’.</w:t>
      </w:r>
    </w:p>
    <w:p w:rsidR="00717E37" w:rsidRPr="00717E37" w:rsidRDefault="00717E37" w:rsidP="00717E37">
      <w:pPr>
        <w:numPr>
          <w:ilvl w:val="0"/>
          <w:numId w:val="4"/>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HREOC notes that although the Northern Territory (NT) Parliament made changes to the ‘mandatory sentencing’ laws for property offences effective from 22 October 2001, the </w:t>
      </w:r>
      <w:r w:rsidRPr="00717E37">
        <w:rPr>
          <w:rFonts w:ascii="Arial" w:eastAsia="Times New Roman" w:hAnsi="Arial" w:cs="Arial"/>
          <w:i/>
          <w:iCs/>
          <w:color w:val="1F1923"/>
        </w:rPr>
        <w:t>Sentencing Act 1995 </w:t>
      </w:r>
      <w:r w:rsidRPr="00717E37">
        <w:rPr>
          <w:rFonts w:ascii="Arial" w:eastAsia="Times New Roman" w:hAnsi="Arial" w:cs="Arial"/>
          <w:color w:val="1F1923"/>
        </w:rPr>
        <w:t>(NT) still contains forms of mandatory sentencing in cases involving offences of violence.</w:t>
      </w:r>
      <w:bookmarkStart w:id="8" w:name="endnoteb11"/>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"endnote11" </w:instrText>
      </w:r>
      <w:r w:rsidRPr="00717E37">
        <w:rPr>
          <w:rFonts w:ascii="Arial" w:eastAsia="Times New Roman" w:hAnsi="Arial" w:cs="Arial"/>
          <w:color w:val="1F1923"/>
        </w:rPr>
        <w:fldChar w:fldCharType="separate"/>
      </w:r>
      <w:r w:rsidRPr="00717E37">
        <w:rPr>
          <w:rFonts w:ascii="Arial" w:eastAsia="Times New Roman" w:hAnsi="Arial" w:cs="Arial"/>
          <w:color w:val="C73D24"/>
        </w:rPr>
        <w:t>11</w:t>
      </w:r>
      <w:r w:rsidRPr="00717E37">
        <w:rPr>
          <w:rFonts w:ascii="Arial" w:eastAsia="Times New Roman" w:hAnsi="Arial" w:cs="Arial"/>
          <w:color w:val="1F1923"/>
        </w:rPr>
        <w:fldChar w:fldCharType="end"/>
      </w:r>
      <w:bookmarkEnd w:id="8"/>
    </w:p>
    <w:p w:rsidR="00717E37" w:rsidRPr="00717E37" w:rsidRDefault="00717E37" w:rsidP="00717E37">
      <w:pPr>
        <w:numPr>
          <w:ilvl w:val="0"/>
          <w:numId w:val="4"/>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Mandatory sentencing laws are still in place in Western Australia (WA).</w:t>
      </w:r>
      <w:bookmarkStart w:id="9" w:name="endnoteb12"/>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"endnote12" </w:instrText>
      </w:r>
      <w:r w:rsidRPr="00717E37">
        <w:rPr>
          <w:rFonts w:ascii="Arial" w:eastAsia="Times New Roman" w:hAnsi="Arial" w:cs="Arial"/>
          <w:color w:val="1F1923"/>
        </w:rPr>
        <w:fldChar w:fldCharType="separate"/>
      </w:r>
      <w:r w:rsidRPr="00717E37">
        <w:rPr>
          <w:rFonts w:ascii="Arial" w:eastAsia="Times New Roman" w:hAnsi="Arial" w:cs="Arial"/>
          <w:color w:val="C73D24"/>
        </w:rPr>
        <w:t>12</w:t>
      </w:r>
      <w:r w:rsidRPr="00717E37">
        <w:rPr>
          <w:rFonts w:ascii="Arial" w:eastAsia="Times New Roman" w:hAnsi="Arial" w:cs="Arial"/>
          <w:color w:val="1F1923"/>
        </w:rPr>
        <w:fldChar w:fldCharType="end"/>
      </w:r>
      <w:bookmarkEnd w:id="9"/>
      <w:r w:rsidRPr="00717E37">
        <w:rPr>
          <w:rFonts w:ascii="Arial" w:eastAsia="Times New Roman" w:hAnsi="Arial" w:cs="Arial"/>
          <w:color w:val="1F1923"/>
        </w:rPr>
        <w:t>Like the NT provisions, the WA laws have resulted in situations of injustice, with individuals receiving sentences that are disproportionate to the circumstances of their offending.</w:t>
      </w:r>
      <w:bookmarkStart w:id="10" w:name="endnoteb13"/>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"endnote13" </w:instrText>
      </w:r>
      <w:r w:rsidRPr="00717E37">
        <w:rPr>
          <w:rFonts w:ascii="Arial" w:eastAsia="Times New Roman" w:hAnsi="Arial" w:cs="Arial"/>
          <w:color w:val="1F1923"/>
        </w:rPr>
        <w:fldChar w:fldCharType="separate"/>
      </w:r>
      <w:r w:rsidRPr="00717E37">
        <w:rPr>
          <w:rFonts w:ascii="Arial" w:eastAsia="Times New Roman" w:hAnsi="Arial" w:cs="Arial"/>
          <w:color w:val="C73D24"/>
        </w:rPr>
        <w:t>13</w:t>
      </w:r>
      <w:r w:rsidRPr="00717E37">
        <w:rPr>
          <w:rFonts w:ascii="Arial" w:eastAsia="Times New Roman" w:hAnsi="Arial" w:cs="Arial"/>
          <w:color w:val="1F1923"/>
        </w:rPr>
        <w:fldChar w:fldCharType="end"/>
      </w:r>
      <w:bookmarkEnd w:id="10"/>
    </w:p>
    <w:p w:rsidR="00717E37" w:rsidRPr="00717E37" w:rsidRDefault="00717E37" w:rsidP="00717E37">
      <w:pPr>
        <w:shd w:val="clear" w:color="auto" w:fill="F2F2F2"/>
        <w:spacing w:before="100" w:beforeAutospacing="1" w:after="100" w:afterAutospacing="1" w:line="240" w:lineRule="auto"/>
        <w:outlineLvl w:val="3"/>
        <w:rPr>
          <w:rFonts w:ascii="Arial" w:eastAsia="Times New Roman" w:hAnsi="Arial" w:cs="Arial"/>
          <w:b/>
          <w:bCs/>
          <w:color w:val="1F1923"/>
          <w:sz w:val="24"/>
          <w:szCs w:val="24"/>
        </w:rPr>
      </w:pPr>
      <w:bookmarkStart w:id="11" w:name="_Toc160534976"/>
      <w:r w:rsidRPr="00717E37">
        <w:rPr>
          <w:rFonts w:ascii="Arial" w:eastAsia="Times New Roman" w:hAnsi="Arial" w:cs="Arial"/>
          <w:b/>
          <w:bCs/>
          <w:color w:val="C73D24"/>
          <w:sz w:val="24"/>
          <w:szCs w:val="24"/>
        </w:rPr>
        <w:t>Disproportionate incarceration of Indigenous Australians</w:t>
      </w:r>
      <w:bookmarkEnd w:id="11"/>
    </w:p>
    <w:p w:rsidR="00717E37" w:rsidRPr="00717E37" w:rsidRDefault="00717E37" w:rsidP="00717E37">
      <w:pPr>
        <w:numPr>
          <w:ilvl w:val="0"/>
          <w:numId w:val="5"/>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In 2001 the Committee recommended that Australia ‘address the socio-economic disadvantage that, inter alia, leads to a disproportionate number of indigenous Australians coming into contact with the contact with the criminal justice system’.</w:t>
      </w:r>
      <w:bookmarkStart w:id="12" w:name="endnoteb14"/>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"endnote14" </w:instrText>
      </w:r>
      <w:r w:rsidRPr="00717E37">
        <w:rPr>
          <w:rFonts w:ascii="Arial" w:eastAsia="Times New Roman" w:hAnsi="Arial" w:cs="Arial"/>
          <w:color w:val="1F1923"/>
        </w:rPr>
        <w:fldChar w:fldCharType="separate"/>
      </w:r>
      <w:r w:rsidRPr="00717E37">
        <w:rPr>
          <w:rFonts w:ascii="Arial" w:eastAsia="Times New Roman" w:hAnsi="Arial" w:cs="Arial"/>
          <w:color w:val="C73D24"/>
        </w:rPr>
        <w:t>14</w:t>
      </w:r>
      <w:r w:rsidRPr="00717E37">
        <w:rPr>
          <w:rFonts w:ascii="Arial" w:eastAsia="Times New Roman" w:hAnsi="Arial" w:cs="Arial"/>
          <w:color w:val="1F1923"/>
        </w:rPr>
        <w:fldChar w:fldCharType="end"/>
      </w:r>
      <w:bookmarkEnd w:id="12"/>
    </w:p>
    <w:p w:rsidR="00717E37" w:rsidRPr="00717E37" w:rsidRDefault="00717E37" w:rsidP="00717E37">
      <w:pPr>
        <w:numPr>
          <w:ilvl w:val="0"/>
          <w:numId w:val="5"/>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HREOC notes that Indigenous Australians are still incarcerated at a disproportionate rate when compared to non-Indigenous Australians.  The Australian Bureau of Statistics report, </w:t>
      </w:r>
      <w:r w:rsidRPr="00717E37">
        <w:rPr>
          <w:rFonts w:ascii="Arial" w:eastAsia="Times New Roman" w:hAnsi="Arial" w:cs="Arial"/>
          <w:i/>
          <w:iCs/>
          <w:color w:val="1F1923"/>
        </w:rPr>
        <w:t>Prisoners in Australia 2006,</w:t>
      </w:r>
      <w:r w:rsidRPr="00717E37">
        <w:rPr>
          <w:rFonts w:ascii="Arial" w:eastAsia="Times New Roman" w:hAnsi="Arial" w:cs="Arial"/>
          <w:color w:val="1F1923"/>
        </w:rPr>
        <w:t> states that Indigenous prisoners represented 24% of the total prisoner population at 30 June 2006, the highest proportion at 30 June since 1996.  </w:t>
      </w:r>
    </w:p>
    <w:p w:rsidR="00717E37" w:rsidRPr="00717E37" w:rsidRDefault="00717E37" w:rsidP="00717E37">
      <w:pPr>
        <w:numPr>
          <w:ilvl w:val="0"/>
          <w:numId w:val="5"/>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One of the clear messages of Royal Commission into Aboriginal Deaths in Custody (RCIADIC) was that a reduction in the unacceptable rate at which Aboriginal people were dying in custody required a reduction in the rates of arrest, detention and imprisonment of Aboriginal people. Many of the 339 recommendations contained in the RCIADIC are yet to be implemented.</w:t>
      </w:r>
    </w:p>
    <w:p w:rsidR="00717E37" w:rsidRPr="00717E37" w:rsidRDefault="00717E37" w:rsidP="00717E37">
      <w:pPr>
        <w:shd w:val="clear" w:color="auto" w:fill="F2F2F2"/>
        <w:spacing w:before="100" w:beforeAutospacing="1" w:after="100" w:afterAutospacing="1" w:line="240" w:lineRule="auto"/>
        <w:outlineLvl w:val="3"/>
        <w:rPr>
          <w:rFonts w:ascii="Arial" w:eastAsia="Times New Roman" w:hAnsi="Arial" w:cs="Arial"/>
          <w:b/>
          <w:bCs/>
          <w:color w:val="1F1923"/>
          <w:sz w:val="24"/>
          <w:szCs w:val="24"/>
        </w:rPr>
      </w:pPr>
      <w:bookmarkStart w:id="13" w:name="_Toc160534977"/>
      <w:r w:rsidRPr="00717E37">
        <w:rPr>
          <w:rFonts w:ascii="Arial" w:eastAsia="Times New Roman" w:hAnsi="Arial" w:cs="Arial"/>
          <w:b/>
          <w:bCs/>
          <w:color w:val="C73D24"/>
          <w:sz w:val="24"/>
          <w:szCs w:val="24"/>
        </w:rPr>
        <w:t>Case study: </w:t>
      </w:r>
      <w:proofErr w:type="spellStart"/>
      <w:r w:rsidRPr="00717E37">
        <w:rPr>
          <w:rFonts w:ascii="Arial" w:eastAsia="Times New Roman" w:hAnsi="Arial" w:cs="Arial"/>
          <w:b/>
          <w:bCs/>
          <w:color w:val="C73D24"/>
          <w:sz w:val="24"/>
          <w:szCs w:val="24"/>
        </w:rPr>
        <w:t>Mulrunji’s</w:t>
      </w:r>
      <w:proofErr w:type="spellEnd"/>
      <w:r w:rsidRPr="00717E37">
        <w:rPr>
          <w:rFonts w:ascii="Arial" w:eastAsia="Times New Roman" w:hAnsi="Arial" w:cs="Arial"/>
          <w:b/>
          <w:bCs/>
          <w:color w:val="C73D24"/>
          <w:sz w:val="24"/>
          <w:szCs w:val="24"/>
        </w:rPr>
        <w:t xml:space="preserve"> Death</w:t>
      </w:r>
      <w:bookmarkEnd w:id="13"/>
    </w:p>
    <w:p w:rsidR="00717E37" w:rsidRPr="00717E37" w:rsidRDefault="00717E37" w:rsidP="00717E37">
      <w:pPr>
        <w:numPr>
          <w:ilvl w:val="0"/>
          <w:numId w:val="6"/>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The death of a man living on Palm Island in Northern Queensland, in a police cell on 19 November 2004, highlighted many systemic problems with policing in Aboriginal communities which could have been avoided by implementation of the recommendations of RCIADIC. An inquest into the death of </w:t>
      </w:r>
      <w:proofErr w:type="spellStart"/>
      <w:r w:rsidRPr="00717E37">
        <w:rPr>
          <w:rFonts w:ascii="Arial" w:eastAsia="Times New Roman" w:hAnsi="Arial" w:cs="Arial"/>
          <w:color w:val="1F1923"/>
        </w:rPr>
        <w:t>Mulrunji</w:t>
      </w:r>
      <w:proofErr w:type="spellEnd"/>
      <w:r w:rsidRPr="00717E37">
        <w:rPr>
          <w:rFonts w:ascii="Arial" w:eastAsia="Times New Roman" w:hAnsi="Arial" w:cs="Arial"/>
          <w:color w:val="1F1923"/>
        </w:rPr>
        <w:t xml:space="preserve"> was conducted by the Queensland Deputy State Coroner in 2006.</w:t>
      </w:r>
    </w:p>
    <w:p w:rsidR="00717E37" w:rsidRPr="00717E37" w:rsidRDefault="00717E37" w:rsidP="00717E37">
      <w:pPr>
        <w:numPr>
          <w:ilvl w:val="0"/>
          <w:numId w:val="6"/>
        </w:numPr>
        <w:shd w:val="clear" w:color="auto" w:fill="F2F2F2"/>
        <w:spacing w:after="0" w:line="240" w:lineRule="auto"/>
        <w:rPr>
          <w:rFonts w:ascii="Arial" w:eastAsia="Times New Roman" w:hAnsi="Arial" w:cs="Arial"/>
          <w:color w:val="1F1923"/>
        </w:rPr>
      </w:pPr>
      <w:proofErr w:type="spellStart"/>
      <w:r w:rsidRPr="00717E37">
        <w:rPr>
          <w:rFonts w:ascii="Arial" w:eastAsia="Times New Roman" w:hAnsi="Arial" w:cs="Arial"/>
          <w:color w:val="1F1923"/>
        </w:rPr>
        <w:t>Mulrunji</w:t>
      </w:r>
      <w:proofErr w:type="spellEnd"/>
      <w:r w:rsidRPr="00717E37">
        <w:rPr>
          <w:rFonts w:ascii="Arial" w:eastAsia="Times New Roman" w:hAnsi="Arial" w:cs="Arial"/>
          <w:color w:val="1F1923"/>
        </w:rPr>
        <w:t xml:space="preserve"> was arrested for disorderly </w:t>
      </w:r>
      <w:proofErr w:type="spellStart"/>
      <w:r w:rsidRPr="00717E37">
        <w:rPr>
          <w:rFonts w:ascii="Arial" w:eastAsia="Times New Roman" w:hAnsi="Arial" w:cs="Arial"/>
          <w:color w:val="1F1923"/>
        </w:rPr>
        <w:t>behaviour</w:t>
      </w:r>
      <w:proofErr w:type="spellEnd"/>
      <w:r w:rsidRPr="00717E37">
        <w:rPr>
          <w:rFonts w:ascii="Arial" w:eastAsia="Times New Roman" w:hAnsi="Arial" w:cs="Arial"/>
          <w:color w:val="1F1923"/>
        </w:rPr>
        <w:t xml:space="preserve"> as he walked along a street on Palm Island after he said certain words to a police officer and a Police Liaison Officer. Upon being removed from the police wagon at the police station, </w:t>
      </w:r>
      <w:proofErr w:type="spellStart"/>
      <w:r w:rsidRPr="00717E37">
        <w:rPr>
          <w:rFonts w:ascii="Arial" w:eastAsia="Times New Roman" w:hAnsi="Arial" w:cs="Arial"/>
          <w:color w:val="1F1923"/>
        </w:rPr>
        <w:t>Mulrunji</w:t>
      </w:r>
      <w:proofErr w:type="spellEnd"/>
      <w:r w:rsidRPr="00717E37">
        <w:rPr>
          <w:rFonts w:ascii="Arial" w:eastAsia="Times New Roman" w:hAnsi="Arial" w:cs="Arial"/>
          <w:color w:val="1F1923"/>
        </w:rPr>
        <w:t xml:space="preserve"> struck the arresting </w:t>
      </w:r>
      <w:r w:rsidRPr="00717E37">
        <w:rPr>
          <w:rFonts w:ascii="Arial" w:eastAsia="Times New Roman" w:hAnsi="Arial" w:cs="Arial"/>
          <w:color w:val="1F1923"/>
        </w:rPr>
        <w:lastRenderedPageBreak/>
        <w:t>officer, Senior Sergeant Hurley, and a scuffle ensued which resulted in the two men falling to the floor of the police station.</w:t>
      </w:r>
    </w:p>
    <w:p w:rsidR="00717E37" w:rsidRPr="00717E37" w:rsidRDefault="00717E37" w:rsidP="00717E37">
      <w:pPr>
        <w:numPr>
          <w:ilvl w:val="0"/>
          <w:numId w:val="6"/>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 xml:space="preserve">The Deputy State Coroner found that Senior Sergeant Hurley hit </w:t>
      </w:r>
      <w:proofErr w:type="spellStart"/>
      <w:r w:rsidRPr="00717E37">
        <w:rPr>
          <w:rFonts w:ascii="Arial" w:eastAsia="Times New Roman" w:hAnsi="Arial" w:cs="Arial"/>
          <w:color w:val="1F1923"/>
        </w:rPr>
        <w:t>Mulrunji</w:t>
      </w:r>
      <w:proofErr w:type="spellEnd"/>
      <w:r w:rsidRPr="00717E37">
        <w:rPr>
          <w:rFonts w:ascii="Arial" w:eastAsia="Times New Roman" w:hAnsi="Arial" w:cs="Arial"/>
          <w:color w:val="1F1923"/>
        </w:rPr>
        <w:t xml:space="preserve"> while he was on the floor. This broke four of </w:t>
      </w:r>
      <w:proofErr w:type="spellStart"/>
      <w:r w:rsidRPr="00717E37">
        <w:rPr>
          <w:rFonts w:ascii="Arial" w:eastAsia="Times New Roman" w:hAnsi="Arial" w:cs="Arial"/>
          <w:color w:val="1F1923"/>
        </w:rPr>
        <w:t>Mulrunji’s</w:t>
      </w:r>
      <w:proofErr w:type="spellEnd"/>
      <w:r w:rsidRPr="00717E37">
        <w:rPr>
          <w:rFonts w:ascii="Arial" w:eastAsia="Times New Roman" w:hAnsi="Arial" w:cs="Arial"/>
          <w:color w:val="1F1923"/>
        </w:rPr>
        <w:t xml:space="preserve"> ribs and caused his liver to rupture. The bleeding from this injury resulted in his death.  </w:t>
      </w:r>
    </w:p>
    <w:p w:rsidR="00717E37" w:rsidRPr="00717E37" w:rsidRDefault="00717E37" w:rsidP="00717E37">
      <w:pPr>
        <w:numPr>
          <w:ilvl w:val="0"/>
          <w:numId w:val="6"/>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HREOC intervened in the Coroner’s inquest. HREOC’s submissions included 40 suggested recommendations aimed at protecting human rights and preventing future deaths</w:t>
      </w:r>
      <w:bookmarkStart w:id="14" w:name="endnoteb15"/>
      <w:r w:rsidRPr="00717E37">
        <w:rPr>
          <w:rFonts w:ascii="Arial" w:eastAsia="Times New Roman" w:hAnsi="Arial" w:cs="Arial"/>
          <w:color w:val="1F1923"/>
        </w:rPr>
        <w:fldChar w:fldCharType="begin"/>
      </w:r>
      <w:r w:rsidRPr="00717E37">
        <w:rPr>
          <w:rFonts w:ascii="Arial" w:eastAsia="Times New Roman" w:hAnsi="Arial" w:cs="Arial"/>
          <w:color w:val="1F1923"/>
        </w:rPr>
        <w:instrText xml:space="preserve"> HYPERLINK "https://www.humanrights.gov.au/our-work/legal/australias-compliance-convention-against-torture" \l "endnote15" </w:instrText>
      </w:r>
      <w:r w:rsidRPr="00717E37">
        <w:rPr>
          <w:rFonts w:ascii="Arial" w:eastAsia="Times New Roman" w:hAnsi="Arial" w:cs="Arial"/>
          <w:color w:val="1F1923"/>
        </w:rPr>
        <w:fldChar w:fldCharType="separate"/>
      </w:r>
      <w:r w:rsidRPr="00717E37">
        <w:rPr>
          <w:rFonts w:ascii="Arial" w:eastAsia="Times New Roman" w:hAnsi="Arial" w:cs="Arial"/>
          <w:color w:val="C73D24"/>
        </w:rPr>
        <w:t>15</w:t>
      </w:r>
      <w:r w:rsidRPr="00717E37">
        <w:rPr>
          <w:rFonts w:ascii="Arial" w:eastAsia="Times New Roman" w:hAnsi="Arial" w:cs="Arial"/>
          <w:color w:val="1F1923"/>
        </w:rPr>
        <w:fldChar w:fldCharType="end"/>
      </w:r>
      <w:bookmarkEnd w:id="14"/>
      <w:r w:rsidRPr="00717E37">
        <w:rPr>
          <w:rFonts w:ascii="Arial" w:eastAsia="Times New Roman" w:hAnsi="Arial" w:cs="Arial"/>
          <w:color w:val="1F1923"/>
        </w:rPr>
        <w:t> all of which were adopted by the Coroner.</w:t>
      </w:r>
    </w:p>
    <w:p w:rsidR="00717E37" w:rsidRPr="00717E37" w:rsidRDefault="00717E37" w:rsidP="00717E37">
      <w:pPr>
        <w:numPr>
          <w:ilvl w:val="0"/>
          <w:numId w:val="6"/>
        </w:numPr>
        <w:shd w:val="clear" w:color="auto" w:fill="F2F2F2"/>
        <w:spacing w:after="0" w:line="240" w:lineRule="auto"/>
        <w:rPr>
          <w:rFonts w:ascii="Arial" w:eastAsia="Times New Roman" w:hAnsi="Arial" w:cs="Arial"/>
          <w:color w:val="1F1923"/>
        </w:rPr>
      </w:pPr>
      <w:r w:rsidRPr="00717E37">
        <w:rPr>
          <w:rFonts w:ascii="Arial" w:eastAsia="Times New Roman" w:hAnsi="Arial" w:cs="Arial"/>
          <w:color w:val="1F1923"/>
        </w:rPr>
        <w:t>Despite the Coroner’s findings, the Queensland Director of Public Prosecutions recommended that no charges be laid against Senior Sergeant Hurley. A subsequent independent report by former New South Wales Chief Justice Sir Lawrence Street found that there was sufficient evidence to charge Senior Sergeant Hurley. Senior Sergeant Hurley has now been formally charged with manslaughter.</w:t>
      </w:r>
    </w:p>
    <w:p w:rsidR="00717E37" w:rsidRDefault="00717E37"/>
    <w:sectPr w:rsidR="00717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33225"/>
    <w:multiLevelType w:val="multilevel"/>
    <w:tmpl w:val="F55C86C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6688C"/>
    <w:multiLevelType w:val="multilevel"/>
    <w:tmpl w:val="339C663A"/>
    <w:lvl w:ilvl="0">
      <w:start w:val="2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D4093"/>
    <w:multiLevelType w:val="multilevel"/>
    <w:tmpl w:val="05AAA37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A04E8"/>
    <w:multiLevelType w:val="multilevel"/>
    <w:tmpl w:val="B79A451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9B7530"/>
    <w:multiLevelType w:val="multilevel"/>
    <w:tmpl w:val="17D21C66"/>
    <w:lvl w:ilvl="0">
      <w:start w:val="2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F95F1E"/>
    <w:multiLevelType w:val="multilevel"/>
    <w:tmpl w:val="B41AF142"/>
    <w:lvl w:ilvl="0">
      <w:start w:val="2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useFELayout/>
  </w:compat>
  <w:rsids>
    <w:rsidRoot w:val="00717E37"/>
    <w:rsid w:val="003806E4"/>
    <w:rsid w:val="00717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17E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7E37"/>
    <w:rPr>
      <w:rFonts w:ascii="Times New Roman" w:eastAsia="Times New Roman" w:hAnsi="Times New Roman" w:cs="Times New Roman"/>
      <w:b/>
      <w:bCs/>
      <w:sz w:val="24"/>
      <w:szCs w:val="24"/>
    </w:rPr>
  </w:style>
  <w:style w:type="character" w:styleId="Emphasis">
    <w:name w:val="Emphasis"/>
    <w:basedOn w:val="DefaultParagraphFont"/>
    <w:uiPriority w:val="20"/>
    <w:qFormat/>
    <w:rsid w:val="00717E37"/>
    <w:rPr>
      <w:i/>
      <w:iCs/>
    </w:rPr>
  </w:style>
  <w:style w:type="character" w:styleId="Hyperlink">
    <w:name w:val="Hyperlink"/>
    <w:basedOn w:val="DefaultParagraphFont"/>
    <w:uiPriority w:val="99"/>
    <w:semiHidden/>
    <w:unhideWhenUsed/>
    <w:rsid w:val="00717E37"/>
    <w:rPr>
      <w:color w:val="0000FF"/>
      <w:u w:val="single"/>
    </w:rPr>
  </w:style>
  <w:style w:type="character" w:styleId="Strong">
    <w:name w:val="Strong"/>
    <w:basedOn w:val="DefaultParagraphFont"/>
    <w:uiPriority w:val="22"/>
    <w:qFormat/>
    <w:rsid w:val="00717E37"/>
    <w:rPr>
      <w:b/>
      <w:bCs/>
    </w:rPr>
  </w:style>
</w:styles>
</file>

<file path=word/webSettings.xml><?xml version="1.0" encoding="utf-8"?>
<w:webSettings xmlns:r="http://schemas.openxmlformats.org/officeDocument/2006/relationships" xmlns:w="http://schemas.openxmlformats.org/wordprocessingml/2006/main">
  <w:divs>
    <w:div w:id="16157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2020-01-22T10:47:00Z</dcterms:created>
  <dcterms:modified xsi:type="dcterms:W3CDTF">2020-01-22T17:22:00Z</dcterms:modified>
</cp:coreProperties>
</file>