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E1D24" w14:textId="77777777" w:rsidR="00141F30" w:rsidRDefault="00000000">
      <w:pPr>
        <w:spacing w:before="315" w:after="105" w:line="360" w:lineRule="auto"/>
        <w:ind w:left="-30"/>
      </w:pPr>
      <w:bookmarkStart w:id="0" w:name="task_4_full_methodology_walkthrough"/>
      <w:r>
        <w:rPr>
          <w:rFonts w:eastAsia="Georgia" w:hAnsi="Georgia" w:cs="Georgia"/>
          <w:b/>
          <w:color w:val="000000"/>
          <w:sz w:val="24"/>
        </w:rPr>
        <w:t>Task 4 — Full Methodology Walkthrough</w:t>
      </w:r>
      <w:bookmarkEnd w:id="0"/>
    </w:p>
    <w:p w14:paraId="5CE0B3D6" w14:textId="77777777" w:rsidR="00141F30" w:rsidRDefault="00000000">
      <w:pPr>
        <w:spacing w:before="315" w:after="105" w:line="360" w:lineRule="auto"/>
        <w:ind w:left="-30"/>
      </w:pPr>
      <w:bookmarkStart w:id="1" w:name="what_task_4_requires"/>
      <w:r>
        <w:rPr>
          <w:rFonts w:eastAsia="Georgia" w:hAnsi="Georgia" w:cs="Georgia"/>
          <w:b/>
          <w:color w:val="000000"/>
          <w:sz w:val="24"/>
        </w:rPr>
        <w:t>What Task 4 Requires</w:t>
      </w:r>
      <w:bookmarkEnd w:id="1"/>
    </w:p>
    <w:p w14:paraId="335FF6B4" w14:textId="77777777" w:rsidR="00141F3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The problem asked you to take ₹10,00,000 and build </w:t>
      </w:r>
      <w:r>
        <w:rPr>
          <w:rFonts w:eastAsia="Georgia" w:hAnsi="Georgia" w:cs="Georgia"/>
          <w:b/>
          <w:color w:val="000000"/>
        </w:rPr>
        <w:t>two portfolios</w:t>
      </w:r>
      <w:r>
        <w:rPr>
          <w:rFonts w:eastAsia="Georgia" w:hAnsi="Georgia" w:cs="Georgia"/>
          <w:color w:val="000000"/>
        </w:rPr>
        <w:t xml:space="preserve"> from the 15 NSE stocks:</w:t>
      </w:r>
      <w:bookmarkStart w:id="2" w:name="fnref1"/>
      <w:bookmarkEnd w:id="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38828B1" w14:textId="77777777" w:rsidR="00141F30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Portfolio A</w:t>
      </w:r>
      <w:r>
        <w:rPr>
          <w:rFonts w:eastAsia="Georgia" w:hAnsi="Georgia" w:cs="Georgia"/>
          <w:color w:val="000000"/>
        </w:rPr>
        <w:t xml:space="preserve"> — Naive equal-weight baseline (₹66,667 per stock)</w:t>
      </w:r>
    </w:p>
    <w:p w14:paraId="198DC4DA" w14:textId="77777777" w:rsidR="00141F30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Portfolio B</w:t>
      </w:r>
      <w:r>
        <w:rPr>
          <w:rFonts w:eastAsia="Georgia" w:hAnsi="Georgia" w:cs="Georgia"/>
          <w:color w:val="000000"/>
        </w:rPr>
        <w:t xml:space="preserve"> — Your own risk-justified allocation (can exclude stocks, freely weight)</w:t>
      </w:r>
    </w:p>
    <w:p w14:paraId="6EC59BA9" w14:textId="77777777" w:rsidR="00141F3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Then compare them on </w:t>
      </w:r>
      <w:proofErr w:type="spellStart"/>
      <w:r>
        <w:rPr>
          <w:rFonts w:eastAsia="Georgia" w:hAnsi="Georgia" w:cs="Georgia"/>
          <w:color w:val="000000"/>
        </w:rPr>
        <w:t>Annualised</w:t>
      </w:r>
      <w:proofErr w:type="spellEnd"/>
      <w:r>
        <w:rPr>
          <w:rFonts w:eastAsia="Georgia" w:hAnsi="Georgia" w:cs="Georgia"/>
          <w:color w:val="000000"/>
        </w:rPr>
        <w:t xml:space="preserve"> Return, Volatility, Sharpe Ratio, and sector exposure.</w:t>
      </w:r>
      <w:bookmarkStart w:id="3" w:name="fnref1_1"/>
      <w:bookmarkEnd w:id="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2DF192A3" w14:textId="77777777" w:rsidR="00141F30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CCC058D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79354F4" w14:textId="77777777" w:rsidR="00141F30" w:rsidRDefault="00000000">
      <w:pPr>
        <w:spacing w:before="315" w:after="105" w:line="360" w:lineRule="auto"/>
        <w:ind w:left="-30"/>
      </w:pPr>
      <w:bookmarkStart w:id="4" w:name="step_by_step_process"/>
      <w:r>
        <w:rPr>
          <w:rFonts w:eastAsia="Georgia" w:hAnsi="Georgia" w:cs="Georgia"/>
          <w:b/>
          <w:color w:val="000000"/>
          <w:sz w:val="24"/>
        </w:rPr>
        <w:t>Step-by-Step Process</w:t>
      </w:r>
      <w:bookmarkEnd w:id="4"/>
    </w:p>
    <w:p w14:paraId="5A2ED108" w14:textId="77777777" w:rsidR="00141F30" w:rsidRDefault="00000000">
      <w:pPr>
        <w:spacing w:before="315" w:after="105" w:line="360" w:lineRule="auto"/>
        <w:ind w:left="-30"/>
      </w:pPr>
      <w:bookmarkStart w:id="5" w:name="step_1_load_prepare_adjusted_close_data"/>
      <w:r>
        <w:rPr>
          <w:rFonts w:eastAsia="Georgia" w:hAnsi="Georgia" w:cs="Georgia"/>
          <w:b/>
          <w:color w:val="000000"/>
          <w:sz w:val="24"/>
        </w:rPr>
        <w:t>Step 1 — Load &amp; Prepare Adjusted Close Data</w:t>
      </w:r>
      <w:bookmarkEnd w:id="5"/>
    </w:p>
    <w:p w14:paraId="5116092E" w14:textId="77777777" w:rsidR="00141F3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The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task1_adj_close_wide.csv</w:t>
      </w:r>
      <w:r>
        <w:rPr>
          <w:rFonts w:eastAsia="Georgia" w:hAnsi="Georgia" w:cs="Georgia"/>
          <w:color w:val="000000"/>
        </w:rPr>
        <w:t xml:space="preserve"> file (output of Task 1) was loaded. It contains </w:t>
      </w:r>
      <w:r>
        <w:rPr>
          <w:rFonts w:eastAsia="Georgia" w:hAnsi="Georgia" w:cs="Georgia"/>
          <w:b/>
          <w:color w:val="000000"/>
        </w:rPr>
        <w:t>490 trading days</w:t>
      </w:r>
      <w:r>
        <w:rPr>
          <w:rFonts w:eastAsia="Georgia" w:hAnsi="Georgia" w:cs="Georgia"/>
          <w:color w:val="000000"/>
        </w:rPr>
        <w:t xml:space="preserve"> (Jan 2023–Dec 2024) of adjusted close prices for all 15 stocks + Nifty50 benchmark. Adjusted close is used because it accounts for dividends and splits — making return calculations accurate.</w:t>
      </w:r>
      <w:bookmarkStart w:id="6" w:name="fnref2"/>
      <w:bookmarkEnd w:id="6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</w:p>
    <w:p w14:paraId="556B0B6B" w14:textId="77777777" w:rsidR="00141F30" w:rsidRDefault="00000000">
      <w:pPr>
        <w:spacing w:before="315" w:after="105" w:line="360" w:lineRule="auto"/>
        <w:ind w:left="-30"/>
      </w:pPr>
      <w:bookmarkStart w:id="7" w:name="step_2_compute_all_6_required_met_8f1444"/>
      <w:r>
        <w:rPr>
          <w:rFonts w:eastAsia="Georgia" w:hAnsi="Georgia" w:cs="Georgia"/>
          <w:b/>
          <w:color w:val="000000"/>
          <w:sz w:val="24"/>
        </w:rPr>
        <w:t>Step 2 — Compute All 6 Required Metrics per Stock</w:t>
      </w:r>
      <w:bookmarkEnd w:id="7"/>
    </w:p>
    <w:p w14:paraId="06A1DC52" w14:textId="77777777" w:rsidR="00141F3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For every stock, six metrics were calculated using </w:t>
      </w:r>
      <w:r>
        <w:rPr>
          <w:rFonts w:eastAsia="Georgia" w:hAnsi="Georgia" w:cs="Georgia"/>
          <w:b/>
          <w:color w:val="000000"/>
        </w:rPr>
        <w:t>252 trading days/year</w:t>
      </w:r>
      <w:r>
        <w:rPr>
          <w:rFonts w:eastAsia="Georgia" w:hAnsi="Georgia" w:cs="Georgia"/>
          <w:color w:val="000000"/>
        </w:rPr>
        <w:t xml:space="preserve"> and </w:t>
      </w:r>
      <w:r>
        <w:rPr>
          <w:rFonts w:eastAsia="Georgia" w:hAnsi="Georgia" w:cs="Georgia"/>
          <w:b/>
          <w:color w:val="000000"/>
        </w:rPr>
        <w:t>6.5% risk-free rate</w:t>
      </w:r>
      <w:r>
        <w:rPr>
          <w:rFonts w:eastAsia="Georgia" w:hAnsi="Georgia" w:cs="Georgia"/>
          <w:color w:val="000000"/>
        </w:rPr>
        <w:t xml:space="preserve"> (NSE standard as specified in the problem):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173"/>
        <w:gridCol w:w="4308"/>
      </w:tblGrid>
      <w:tr w:rsidR="00141F30" w14:paraId="1338458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8DDE1B" w14:textId="77777777" w:rsidR="00141F3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Metric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F8E5AA4" w14:textId="77777777" w:rsidR="00141F3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Formula Used</w:t>
            </w:r>
          </w:p>
        </w:tc>
      </w:tr>
      <w:tr w:rsidR="00141F30" w14:paraId="06BDE80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D13BB7" w14:textId="77777777" w:rsidR="00141F30" w:rsidRDefault="00000000">
            <w:pPr>
              <w:spacing w:line="360" w:lineRule="auto"/>
            </w:pP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Annualised</w:t>
            </w:r>
            <w:proofErr w:type="spellEnd"/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 Return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5ECC13C" w14:textId="77777777" w:rsidR="00141F30" w:rsidRDefault="00000000">
            <w:pPr>
              <w:spacing w:line="360" w:lineRule="auto"/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17"/>
                </w:rPr>
                <m:t>(1+</m:t>
              </m:r>
              <m:r>
                <w:rPr>
                  <w:rFonts w:ascii="Cambria Math" w:hAnsi="Cambria Math"/>
                  <w:color w:val="000000"/>
                  <w:sz w:val="17"/>
                </w:rPr>
                <m:t>r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  <w:sz w:val="17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17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17"/>
                    </w:rPr>
                    <m:t>252/</m:t>
                  </m:r>
                  <m:r>
                    <w:rPr>
                      <w:rFonts w:ascii="Cambria Math" w:hAnsi="Cambria Math"/>
                      <w:color w:val="000000"/>
                      <w:sz w:val="17"/>
                    </w:rPr>
                    <m:t>n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17"/>
                </w:rPr>
                <m:t>-1</m:t>
              </m:r>
            </m:oMath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compounded from daily returns</w:t>
            </w:r>
          </w:p>
        </w:tc>
      </w:tr>
      <w:tr w:rsidR="00141F30" w14:paraId="7B46B8B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7BF89D" w14:textId="77777777" w:rsidR="00141F30" w:rsidRDefault="00000000">
            <w:pPr>
              <w:spacing w:line="360" w:lineRule="auto"/>
            </w:pP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Annualised</w:t>
            </w:r>
            <w:proofErr w:type="spellEnd"/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 Volatility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4FD7A39" w14:textId="77777777" w:rsidR="00141F30" w:rsidRDefault="00000000">
            <w:pPr>
              <w:spacing w:line="360" w:lineRule="auto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17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17"/>
                      </w:rPr>
                      <m:t>daily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17"/>
                  </w:rPr>
                  <m:t>×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17"/>
                      </w:rPr>
                      <m:t>252</m:t>
                    </m:r>
                  </m:e>
                </m:rad>
              </m:oMath>
            </m:oMathPara>
          </w:p>
        </w:tc>
      </w:tr>
      <w:tr w:rsidR="00141F30" w14:paraId="6238221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2946C7" w14:textId="77777777" w:rsidR="00141F30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Sharpe Ratio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18D3BB3" w14:textId="77777777" w:rsidR="00141F30" w:rsidRDefault="00000000">
            <w:pPr>
              <w:spacing w:line="360" w:lineRule="auto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color w:val="000000"/>
                            <w:sz w:val="17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z w:val="17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z w:val="17"/>
                          </w:rPr>
                          <m:t>ann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17"/>
                      </w:rPr>
                      <m:t>-0.065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color w:val="000000"/>
                            <w:sz w:val="17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z w:val="17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z w:val="17"/>
                          </w:rPr>
                          <m:t>ann</m:t>
                        </m:r>
                      </m:sub>
                    </m:sSub>
                  </m:den>
                </m:f>
              </m:oMath>
            </m:oMathPara>
          </w:p>
        </w:tc>
      </w:tr>
      <w:tr w:rsidR="00141F30" w14:paraId="08C337C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07A97" w14:textId="77777777" w:rsidR="00141F30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Beta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1EBA91B" w14:textId="77777777" w:rsidR="00141F30" w:rsidRDefault="00000000">
            <w:pPr>
              <w:spacing w:line="360" w:lineRule="auto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/>
                        <w:sz w:val="17"/>
                      </w:rPr>
                      <m:t>Cov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17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000000"/>
                            <w:sz w:val="17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z w:val="17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z w:val="17"/>
                          </w:rPr>
                          <m:t>stock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17"/>
                      </w:rPr>
                      <m:t>,</m:t>
                    </m:r>
                  </m:num>
                  <m:den>
                    <m:r>
                      <w:rPr>
                        <w:rFonts w:ascii="Cambria Math" w:hAnsi="Cambria Math"/>
                        <w:color w:val="000000"/>
                        <w:sz w:val="17"/>
                      </w:rPr>
                      <m:t>Var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17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000000"/>
                            <w:sz w:val="17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z w:val="17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z w:val="17"/>
                          </w:rPr>
                          <m:t>Nifty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17"/>
                      </w:rPr>
                      <m:t>)</m:t>
                    </m:r>
                  </m:den>
                </m:f>
              </m:oMath>
            </m:oMathPara>
          </w:p>
        </w:tc>
      </w:tr>
      <w:tr w:rsidR="00141F30" w14:paraId="24026DB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3F3491" w14:textId="77777777" w:rsidR="00141F30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Max Drawdown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7D07AC3" w14:textId="77777777" w:rsidR="00141F3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Worst peak-to-trough % loss over the period</w:t>
            </w:r>
          </w:p>
        </w:tc>
      </w:tr>
      <w:tr w:rsidR="00141F30" w14:paraId="1B5D0B8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39093D" w14:textId="77777777" w:rsidR="00141F30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SMA Signal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241C44" w14:textId="77777777" w:rsidR="00141F3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Golden Cross if SMA-50 &gt; SMA-200 on 31 Dec 2024</w:t>
            </w:r>
          </w:p>
        </w:tc>
      </w:tr>
    </w:tbl>
    <w:p w14:paraId="5B904E67" w14:textId="77777777" w:rsidR="00141F30" w:rsidRDefault="00141F30"/>
    <w:p w14:paraId="4A1CA8C6" w14:textId="77777777" w:rsidR="00141F3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This gave the full metrics table used to </w:t>
      </w:r>
      <w:r>
        <w:rPr>
          <w:rFonts w:eastAsia="Georgia" w:hAnsi="Georgia" w:cs="Georgia"/>
          <w:b/>
          <w:color w:val="000000"/>
        </w:rPr>
        <w:t>score and rank</w:t>
      </w:r>
      <w:r>
        <w:rPr>
          <w:rFonts w:eastAsia="Georgia" w:hAnsi="Georgia" w:cs="Georgia"/>
          <w:color w:val="000000"/>
        </w:rPr>
        <w:t xml:space="preserve"> every stock objectively.</w:t>
      </w:r>
      <w:bookmarkStart w:id="8" w:name="fnref3"/>
      <w:bookmarkEnd w:id="8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</w:p>
    <w:p w14:paraId="48838839" w14:textId="77777777" w:rsidR="00141F30" w:rsidRDefault="00000000">
      <w:pPr>
        <w:spacing w:before="315" w:after="105" w:line="360" w:lineRule="auto"/>
        <w:ind w:left="-30"/>
      </w:pPr>
      <w:bookmarkStart w:id="9" w:name="step_3_screen_stocks_for_portfolio_b"/>
      <w:r>
        <w:rPr>
          <w:rFonts w:eastAsia="Georgia" w:hAnsi="Georgia" w:cs="Georgia"/>
          <w:b/>
          <w:color w:val="000000"/>
          <w:sz w:val="24"/>
        </w:rPr>
        <w:lastRenderedPageBreak/>
        <w:t>Step 3 — Screen Stocks for Portfolio B</w:t>
      </w:r>
      <w:bookmarkEnd w:id="9"/>
    </w:p>
    <w:p w14:paraId="790DD9CE" w14:textId="77777777" w:rsidR="00141F3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This is the core decision-making step. Stocks were screened using a </w:t>
      </w:r>
      <w:r>
        <w:rPr>
          <w:rFonts w:eastAsia="Georgia" w:hAnsi="Georgia" w:cs="Georgia"/>
          <w:b/>
          <w:color w:val="000000"/>
        </w:rPr>
        <w:t>multi-factor filter</w:t>
      </w:r>
      <w:r>
        <w:rPr>
          <w:rFonts w:eastAsia="Georgia" w:hAnsi="Georgia" w:cs="Georgia"/>
          <w:color w:val="000000"/>
        </w:rPr>
        <w:t>:</w:t>
      </w:r>
      <w:bookmarkStart w:id="10" w:name="fnref4"/>
      <w:bookmarkEnd w:id="10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  <w:bookmarkStart w:id="11" w:name="fnref2_1"/>
      <w:bookmarkEnd w:id="11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</w:p>
    <w:p w14:paraId="2369B1A5" w14:textId="77777777" w:rsidR="00141F30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🟢 </w:t>
      </w:r>
      <w:r>
        <w:rPr>
          <w:rFonts w:eastAsia="Georgia" w:hAnsi="Georgia" w:cs="Georgia"/>
          <w:b/>
          <w:color w:val="000000"/>
        </w:rPr>
        <w:t>Keep</w:t>
      </w:r>
      <w:r>
        <w:rPr>
          <w:rFonts w:eastAsia="Georgia" w:hAnsi="Georgia" w:cs="Georgia"/>
          <w:color w:val="000000"/>
        </w:rPr>
        <w:t xml:space="preserve"> if Sharpe &gt; 0.5 AND no negative </w:t>
      </w:r>
      <w:proofErr w:type="spellStart"/>
      <w:r>
        <w:rPr>
          <w:rFonts w:eastAsia="Georgia" w:hAnsi="Georgia" w:cs="Georgia"/>
          <w:color w:val="000000"/>
        </w:rPr>
        <w:t>annualised</w:t>
      </w:r>
      <w:proofErr w:type="spellEnd"/>
      <w:r>
        <w:rPr>
          <w:rFonts w:eastAsia="Georgia" w:hAnsi="Georgia" w:cs="Georgia"/>
          <w:color w:val="000000"/>
        </w:rPr>
        <w:t xml:space="preserve"> return</w:t>
      </w:r>
    </w:p>
    <w:p w14:paraId="28D0B985" w14:textId="77777777" w:rsidR="00141F30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🟡 </w:t>
      </w:r>
      <w:r>
        <w:rPr>
          <w:rFonts w:eastAsia="Georgia" w:hAnsi="Georgia" w:cs="Georgia"/>
          <w:b/>
          <w:color w:val="000000"/>
        </w:rPr>
        <w:t>Reduce</w:t>
      </w:r>
      <w:r>
        <w:rPr>
          <w:rFonts w:eastAsia="Georgia" w:hAnsi="Georgia" w:cs="Georgia"/>
          <w:color w:val="000000"/>
        </w:rPr>
        <w:t xml:space="preserve"> if Sharpe is 0.3–0.5 (low conviction, small position)</w:t>
      </w:r>
    </w:p>
    <w:p w14:paraId="6A69EE18" w14:textId="77777777" w:rsidR="00141F30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🔴 </w:t>
      </w:r>
      <w:r>
        <w:rPr>
          <w:rFonts w:eastAsia="Georgia" w:hAnsi="Georgia" w:cs="Georgia"/>
          <w:b/>
          <w:color w:val="000000"/>
        </w:rPr>
        <w:t>Exclude</w:t>
      </w:r>
      <w:r>
        <w:rPr>
          <w:rFonts w:eastAsia="Georgia" w:hAnsi="Georgia" w:cs="Georgia"/>
          <w:color w:val="000000"/>
        </w:rPr>
        <w:t xml:space="preserve"> if Sharpe ≈ 0 or negative, or Death Cross signal on low-return stock</w:t>
      </w:r>
    </w:p>
    <w:p w14:paraId="7CDFF332" w14:textId="77777777" w:rsidR="00141F30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Result — 4 stocks excluded: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67"/>
        <w:gridCol w:w="5559"/>
      </w:tblGrid>
      <w:tr w:rsidR="00141F30" w14:paraId="6A6DFB2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81B542" w14:textId="77777777" w:rsidR="00141F3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Stock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91374A1" w14:textId="77777777" w:rsidR="00141F3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Why Excluded</w:t>
            </w:r>
          </w:p>
        </w:tc>
      </w:tr>
      <w:tr w:rsidR="00141F30" w14:paraId="5672842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4A2AD8" w14:textId="77777777" w:rsidR="00141F3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KOTAKBANK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05A621A" w14:textId="77777777" w:rsidR="00141F3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Negative return (-2.31%), Sharpe -0.432, Death Cross</w:t>
            </w:r>
          </w:p>
        </w:tc>
      </w:tr>
      <w:tr w:rsidR="00141F30" w14:paraId="2C1E9FE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444D4C" w14:textId="77777777" w:rsidR="00141F3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HDFCBANK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1560586" w14:textId="77777777" w:rsidR="00141F3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Near-zero Sharpe (-0.026), only 5.98% return</w:t>
            </w:r>
          </w:p>
        </w:tc>
      </w:tr>
      <w:tr w:rsidR="00141F30" w14:paraId="1DAAA8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E93091" w14:textId="77777777" w:rsidR="00141F3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AXISBANK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5F907BC" w14:textId="77777777" w:rsidR="00141F3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Sharpe ≈ 0.019, Death Cross — offers no excess return over risk-free</w:t>
            </w:r>
          </w:p>
        </w:tc>
      </w:tr>
      <w:tr w:rsidR="00141F30" w14:paraId="60F6475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FE55D0" w14:textId="77777777" w:rsidR="00141F3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INFY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2EEAE5" w14:textId="77777777" w:rsidR="00141F3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Lowest IT Sharpe (0.393); WIPRO/HCLTECH/TECHM all dominate</w:t>
            </w:r>
          </w:p>
        </w:tc>
      </w:tr>
    </w:tbl>
    <w:p w14:paraId="631B502F" w14:textId="77777777" w:rsidR="00141F30" w:rsidRDefault="00141F30"/>
    <w:p w14:paraId="29DFFFC8" w14:textId="77777777" w:rsidR="00141F30" w:rsidRDefault="00000000">
      <w:pPr>
        <w:spacing w:before="315" w:after="105" w:line="360" w:lineRule="auto"/>
        <w:ind w:left="-30"/>
      </w:pPr>
      <w:bookmarkStart w:id="12" w:name="step_4_assign_weights_based_on_co_a5c6ee"/>
      <w:r>
        <w:rPr>
          <w:rFonts w:eastAsia="Georgia" w:hAnsi="Georgia" w:cs="Georgia"/>
          <w:b/>
          <w:color w:val="000000"/>
          <w:sz w:val="24"/>
        </w:rPr>
        <w:t>Step 4 — Assign Weights Based on Conviction Tiers</w:t>
      </w:r>
      <w:bookmarkEnd w:id="12"/>
    </w:p>
    <w:p w14:paraId="116453EE" w14:textId="77777777" w:rsidR="00141F3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Weights were assigned proportionally to </w:t>
      </w:r>
      <w:r>
        <w:rPr>
          <w:rFonts w:eastAsia="Georgia" w:hAnsi="Georgia" w:cs="Georgia"/>
          <w:b/>
          <w:color w:val="000000"/>
        </w:rPr>
        <w:t>Sharpe Ratio strength by sector</w:t>
      </w:r>
      <w:r>
        <w:rPr>
          <w:rFonts w:eastAsia="Georgia" w:hAnsi="Georgia" w:cs="Georgia"/>
          <w:color w:val="000000"/>
        </w:rPr>
        <w:t>, not randomly:</w:t>
      </w:r>
      <w:bookmarkStart w:id="13" w:name="fnref2_2"/>
      <w:bookmarkEnd w:id="13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</w:p>
    <w:p w14:paraId="50F494BF" w14:textId="77777777" w:rsidR="00141F30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Pharma at 47%</w:t>
      </w:r>
      <w:r>
        <w:rPr>
          <w:rFonts w:eastAsia="Georgia" w:hAnsi="Georgia" w:cs="Georgia"/>
          <w:color w:val="000000"/>
        </w:rPr>
        <w:t xml:space="preserve"> — Sector avg Sharpe = 1.179 + avg Beta = 0.45 (lowest market risk). SUNPHARMA leads at 17% (Sharpe 1.940)</w:t>
      </w:r>
    </w:p>
    <w:p w14:paraId="51FB4192" w14:textId="77777777" w:rsidR="00141F30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IT at 38%</w:t>
      </w:r>
      <w:r>
        <w:rPr>
          <w:rFonts w:eastAsia="Georgia" w:hAnsi="Georgia" w:cs="Georgia"/>
          <w:color w:val="000000"/>
        </w:rPr>
        <w:t xml:space="preserve"> — HCLTECH (43% return, Sharpe 1.719) gets 15%; TECHM (37% return) gets 10%</w:t>
      </w:r>
    </w:p>
    <w:p w14:paraId="2F0F643E" w14:textId="77777777" w:rsidR="00141F30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Banking at 15%</w:t>
      </w:r>
      <w:r>
        <w:rPr>
          <w:rFonts w:eastAsia="Georgia" w:hAnsi="Georgia" w:cs="Georgia"/>
          <w:color w:val="000000"/>
        </w:rPr>
        <w:t xml:space="preserve"> — Only ICICIBANK (Sharpe 0.817) and SBIN retained; sector avg Sharpe is a weak 0.150</w:t>
      </w:r>
      <w:bookmarkStart w:id="14" w:name="fnref3_1"/>
      <w:bookmarkEnd w:id="14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</w:p>
    <w:p w14:paraId="7C856F11" w14:textId="77777777" w:rsidR="00141F3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All weights sum to exactly </w:t>
      </w:r>
      <w:r>
        <w:rPr>
          <w:rFonts w:eastAsia="Georgia" w:hAnsi="Georgia" w:cs="Georgia"/>
          <w:b/>
          <w:color w:val="000000"/>
        </w:rPr>
        <w:t>100%</w:t>
      </w:r>
      <w:r>
        <w:rPr>
          <w:rFonts w:eastAsia="Georgia" w:hAnsi="Georgia" w:cs="Georgia"/>
          <w:color w:val="000000"/>
        </w:rPr>
        <w:t xml:space="preserve"> = ₹10,00,000.</w:t>
      </w:r>
    </w:p>
    <w:p w14:paraId="2602E97F" w14:textId="77777777" w:rsidR="00141F30" w:rsidRDefault="00000000">
      <w:pPr>
        <w:spacing w:before="315" w:after="105" w:line="360" w:lineRule="auto"/>
        <w:ind w:left="-30"/>
      </w:pPr>
      <w:bookmarkStart w:id="15" w:name="step_5_compute_portfolio_level_metrics"/>
      <w:r>
        <w:rPr>
          <w:rFonts w:eastAsia="Georgia" w:hAnsi="Georgia" w:cs="Georgia"/>
          <w:b/>
          <w:color w:val="000000"/>
          <w:sz w:val="24"/>
        </w:rPr>
        <w:t>Step 5 — Compute Portfolio-Level Metrics</w:t>
      </w:r>
      <w:bookmarkEnd w:id="15"/>
    </w:p>
    <w:p w14:paraId="58C46C9A" w14:textId="77777777" w:rsidR="00141F3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Daily portfolio returns were computed as the </w:t>
      </w:r>
      <w:r>
        <w:rPr>
          <w:rFonts w:eastAsia="Georgia" w:hAnsi="Georgia" w:cs="Georgia"/>
          <w:b/>
          <w:color w:val="000000"/>
        </w:rPr>
        <w:t>weighted sum of individual stock daily returns</w:t>
      </w:r>
      <w:r>
        <w:rPr>
          <w:rFonts w:eastAsia="Georgia" w:hAnsi="Georgia" w:cs="Georgia"/>
          <w:color w:val="000000"/>
        </w:rPr>
        <w:t>:</w:t>
      </w:r>
      <w:bookmarkStart w:id="16" w:name="fnref1_2"/>
      <w:bookmarkEnd w:id="1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2872405" w14:textId="77777777" w:rsidR="00141F30" w:rsidRDefault="00000000">
      <w:pPr>
        <w:spacing w:after="210" w:line="360" w:lineRule="auto"/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r</m:t>
              </m:r>
            </m:e>
            <m:sub>
              <m:r>
                <w:rPr>
                  <w:rFonts w:ascii="Cambria Math" w:hAnsi="Cambria Math"/>
                  <w:color w:val="000000"/>
                </w:rPr>
                <m:t>portfolio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,</m:t>
              </m:r>
              <m:r>
                <w:rPr>
                  <w:rFonts w:ascii="Cambria Math" w:hAnsi="Cambria Math"/>
                  <w:color w:val="000000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  <w:color w:val="000000"/>
                </w:rPr>
                <m:t>i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w</m:t>
              </m:r>
            </m:e>
            <m:sub>
              <m:r>
                <w:rPr>
                  <w:rFonts w:ascii="Cambria Math" w:hAnsi="Cambria Math"/>
                  <w:color w:val="000000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⋅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r</m:t>
              </m:r>
            </m:e>
            <m:sub>
              <m:r>
                <w:rPr>
                  <w:rFonts w:ascii="Cambria Math" w:hAnsi="Cambria Math"/>
                  <w:color w:val="000000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,</m:t>
              </m:r>
              <m:r>
                <w:rPr>
                  <w:rFonts w:ascii="Cambria Math" w:hAnsi="Cambria Math"/>
                  <w:color w:val="000000"/>
                </w:rPr>
                <m:t>t</m:t>
              </m:r>
            </m:sub>
          </m:sSub>
        </m:oMath>
      </m:oMathPara>
    </w:p>
    <w:p w14:paraId="157D7FA7" w14:textId="77777777" w:rsidR="00141F3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Then </w:t>
      </w:r>
      <w:proofErr w:type="spellStart"/>
      <w:r>
        <w:rPr>
          <w:rFonts w:eastAsia="Georgia" w:hAnsi="Georgia" w:cs="Georgia"/>
          <w:color w:val="000000"/>
        </w:rPr>
        <w:t>annualised</w:t>
      </w:r>
      <w:proofErr w:type="spellEnd"/>
      <w:r>
        <w:rPr>
          <w:rFonts w:eastAsia="Georgia" w:hAnsi="Georgia" w:cs="Georgia"/>
          <w:color w:val="000000"/>
        </w:rPr>
        <w:t xml:space="preserve"> metrics (return, volatility, Sharpe, max drawdown) were calculated the same way as individual stocks — ensuring apples-to-apples comparison.</w:t>
      </w:r>
    </w:p>
    <w:p w14:paraId="0A96E71D" w14:textId="77777777" w:rsidR="00141F30" w:rsidRDefault="00000000">
      <w:pPr>
        <w:spacing w:before="315" w:after="105" w:line="360" w:lineRule="auto"/>
        <w:ind w:left="-30"/>
      </w:pPr>
      <w:bookmarkStart w:id="17" w:name="step_6_compare_portfolio_a_vs_b"/>
      <w:r>
        <w:rPr>
          <w:rFonts w:eastAsia="Georgia" w:hAnsi="Georgia" w:cs="Georgia"/>
          <w:b/>
          <w:color w:val="000000"/>
          <w:sz w:val="24"/>
        </w:rPr>
        <w:lastRenderedPageBreak/>
        <w:t>Step 6 — Compare Portfolio A vs B</w:t>
      </w:r>
      <w:bookmarkEnd w:id="17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99"/>
        <w:gridCol w:w="899"/>
        <w:gridCol w:w="934"/>
        <w:gridCol w:w="1620"/>
      </w:tblGrid>
      <w:tr w:rsidR="00141F30" w14:paraId="3996E51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2D0BEA" w14:textId="77777777" w:rsidR="00141F3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Metric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2EFBAF" w14:textId="77777777" w:rsidR="00141F3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Port 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7A1CB9" w14:textId="77777777" w:rsidR="00141F3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Port 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DACCF3C" w14:textId="77777777" w:rsidR="00141F3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Edge</w:t>
            </w:r>
          </w:p>
        </w:tc>
      </w:tr>
      <w:tr w:rsidR="00141F30" w14:paraId="07A991C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DFC1AD" w14:textId="77777777" w:rsidR="00141F3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Ann Return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1602A1" w14:textId="77777777" w:rsidR="00141F3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24.28%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6FD332" w14:textId="77777777" w:rsidR="00141F30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33.61%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F0616E7" w14:textId="77777777" w:rsidR="00141F3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+9.33%</w:t>
            </w:r>
          </w:p>
        </w:tc>
      </w:tr>
      <w:tr w:rsidR="00141F30" w14:paraId="78FA309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4A74C9" w14:textId="77777777" w:rsidR="00141F3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Volatility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6EEF4E" w14:textId="77777777" w:rsidR="00141F3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11.43%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DF4439" w14:textId="77777777" w:rsidR="00141F3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11.95%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8492417" w14:textId="77777777" w:rsidR="00141F3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Marginal +0.52%</w:t>
            </w:r>
          </w:p>
        </w:tc>
      </w:tr>
      <w:tr w:rsidR="00141F30" w14:paraId="3D6C15E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27E1F6" w14:textId="77777777" w:rsidR="00141F3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Sharpe Ratio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1455A2" w14:textId="77777777" w:rsidR="00141F3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1.556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261BB1" w14:textId="77777777" w:rsidR="00141F30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2.270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012818" w14:textId="77777777" w:rsidR="00141F3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+46% better</w:t>
            </w:r>
          </w:p>
        </w:tc>
      </w:tr>
      <w:tr w:rsidR="00141F30" w14:paraId="38E028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91426A" w14:textId="77777777" w:rsidR="00141F3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Max Drawdown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ADD43E" w14:textId="77777777" w:rsidR="00141F3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-8.27%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B4328D" w14:textId="77777777" w:rsidR="00141F30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-7.88%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C0437DF" w14:textId="77777777" w:rsidR="00141F30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Tighter downside</w:t>
            </w:r>
          </w:p>
        </w:tc>
      </w:tr>
    </w:tbl>
    <w:p w14:paraId="0A6C48FF" w14:textId="77777777" w:rsidR="00141F30" w:rsidRDefault="00141F30"/>
    <w:p w14:paraId="773917CE" w14:textId="77777777" w:rsidR="00141F3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Portfolio B earns more return per unit of risk — which is exactly what the Sharpe Ratio measures.</w:t>
      </w:r>
      <w:bookmarkStart w:id="18" w:name="fnref2_3"/>
      <w:bookmarkEnd w:id="18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</w:p>
    <w:p w14:paraId="64532A60" w14:textId="77777777" w:rsidR="00141F30" w:rsidRDefault="00000000">
      <w:pPr>
        <w:spacing w:before="315" w:after="105" w:line="360" w:lineRule="auto"/>
        <w:ind w:left="-30"/>
      </w:pPr>
      <w:bookmarkStart w:id="19" w:name="step_7_sector_breakdown_analysis"/>
      <w:r>
        <w:rPr>
          <w:rFonts w:eastAsia="Georgia" w:hAnsi="Georgia" w:cs="Georgia"/>
          <w:b/>
          <w:color w:val="000000"/>
          <w:sz w:val="24"/>
        </w:rPr>
        <w:t>Step 7 — Sector Breakdown Analysis</w:t>
      </w:r>
      <w:bookmarkEnd w:id="19"/>
    </w:p>
    <w:p w14:paraId="658D9E7B" w14:textId="77777777" w:rsidR="00141F3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Average Sharpe and Beta were computed per sector to justify the tilt in Portfolio B:</w:t>
      </w:r>
    </w:p>
    <w:p w14:paraId="0505CD52" w14:textId="77777777" w:rsidR="00141F30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Pharma</w:t>
      </w:r>
      <w:r>
        <w:rPr>
          <w:rFonts w:eastAsia="Georgia" w:hAnsi="Georgia" w:cs="Georgia"/>
          <w:color w:val="000000"/>
        </w:rPr>
        <w:t xml:space="preserve"> = Best Sharpe (1.179) + Lowest Beta (0.45) → overweight justified</w:t>
      </w:r>
    </w:p>
    <w:p w14:paraId="4AA28733" w14:textId="77777777" w:rsidR="00141F30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IT</w:t>
      </w:r>
      <w:r>
        <w:rPr>
          <w:rFonts w:eastAsia="Georgia" w:hAnsi="Georgia" w:cs="Georgia"/>
          <w:color w:val="000000"/>
        </w:rPr>
        <w:t xml:space="preserve"> = Mid Sharpe (0.923) + Low Beta (0.876) → moderate overweight</w:t>
      </w:r>
    </w:p>
    <w:p w14:paraId="58298325" w14:textId="77777777" w:rsidR="00141F30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Banking</w:t>
      </w:r>
      <w:r>
        <w:rPr>
          <w:rFonts w:eastAsia="Georgia" w:hAnsi="Georgia" w:cs="Georgia"/>
          <w:color w:val="000000"/>
        </w:rPr>
        <w:t xml:space="preserve"> = Worst Sharpe (0.150) + Highest Beta (1.065) → underweight justified</w:t>
      </w:r>
      <w:bookmarkStart w:id="20" w:name="fnref3_2"/>
      <w:bookmarkEnd w:id="20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</w:p>
    <w:p w14:paraId="4B99178E" w14:textId="77777777" w:rsidR="00141F30" w:rsidRDefault="00000000">
      <w:pPr>
        <w:spacing w:before="315" w:after="105" w:line="360" w:lineRule="auto"/>
        <w:ind w:left="-30"/>
      </w:pPr>
      <w:bookmarkStart w:id="21" w:name="step_8_generate_all_charts_deliverables"/>
      <w:r>
        <w:rPr>
          <w:rFonts w:eastAsia="Georgia" w:hAnsi="Georgia" w:cs="Georgia"/>
          <w:b/>
          <w:color w:val="000000"/>
          <w:sz w:val="24"/>
        </w:rPr>
        <w:t>Step 8 — Generate All Charts &amp; Deliverables</w:t>
      </w:r>
      <w:bookmarkEnd w:id="21"/>
    </w:p>
    <w:p w14:paraId="4B2978C1" w14:textId="77777777" w:rsidR="00141F3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Four charts were produced to satisfy the submission checklist:</w:t>
      </w:r>
    </w:p>
    <w:p w14:paraId="110A599C" w14:textId="77777777" w:rsidR="00141F30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Portfolio A vs B Metrics Bar Chart</w:t>
      </w:r>
      <w:r>
        <w:rPr>
          <w:rFonts w:eastAsia="Georgia" w:hAnsi="Georgia" w:cs="Georgia"/>
          <w:color w:val="000000"/>
        </w:rPr>
        <w:t xml:space="preserve"> — head-to-head comparison</w:t>
      </w:r>
    </w:p>
    <w:p w14:paraId="551C72D0" w14:textId="77777777" w:rsidR="00141F30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Cumulative Returns Line Chart</w:t>
      </w:r>
      <w:r>
        <w:rPr>
          <w:rFonts w:eastAsia="Georgia" w:hAnsi="Georgia" w:cs="Georgia"/>
          <w:color w:val="000000"/>
        </w:rPr>
        <w:t xml:space="preserve"> — both portfolios vs Nifty50 benchmark</w:t>
      </w:r>
    </w:p>
    <w:p w14:paraId="3F6D77CB" w14:textId="77777777" w:rsidR="00141F30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Sector Allocation Donut Charts</w:t>
      </w:r>
      <w:r>
        <w:rPr>
          <w:rFonts w:eastAsia="Georgia" w:hAnsi="Georgia" w:cs="Georgia"/>
          <w:color w:val="000000"/>
        </w:rPr>
        <w:t xml:space="preserve"> — side-by-side exposure comparison</w:t>
      </w:r>
    </w:p>
    <w:p w14:paraId="6599859A" w14:textId="77777777" w:rsidR="00141F30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Sector Avg Sharpe &amp; Beta Bar Chart</w:t>
      </w:r>
      <w:r>
        <w:rPr>
          <w:rFonts w:eastAsia="Georgia" w:hAnsi="Georgia" w:cs="Georgia"/>
          <w:color w:val="000000"/>
        </w:rPr>
        <w:t xml:space="preserve"> — justification for sector tilts</w:t>
      </w:r>
    </w:p>
    <w:p w14:paraId="4DA76380" w14:textId="77777777" w:rsidR="00141F30" w:rsidRDefault="00000000">
      <w:pPr>
        <w:spacing w:before="315" w:after="105" w:line="360" w:lineRule="auto"/>
        <w:ind w:left="-30"/>
      </w:pPr>
      <w:bookmarkStart w:id="22" w:name="step_9_200_word_portfolio_justification"/>
      <w:r>
        <w:rPr>
          <w:rFonts w:eastAsia="Georgia" w:hAnsi="Georgia" w:cs="Georgia"/>
          <w:b/>
          <w:color w:val="000000"/>
          <w:sz w:val="24"/>
        </w:rPr>
        <w:t>Step 9 — 200-Word Portfolio Justification</w:t>
      </w:r>
      <w:bookmarkEnd w:id="22"/>
    </w:p>
    <w:p w14:paraId="29A0F753" w14:textId="77777777" w:rsidR="00141F3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Written as a formal fund manager note citing </w:t>
      </w:r>
      <w:r>
        <w:rPr>
          <w:rFonts w:eastAsia="Georgia" w:hAnsi="Georgia" w:cs="Georgia"/>
          <w:b/>
          <w:color w:val="000000"/>
        </w:rPr>
        <w:t>specific values</w:t>
      </w:r>
      <w:r>
        <w:rPr>
          <w:rFonts w:eastAsia="Georgia" w:hAnsi="Georgia" w:cs="Georgia"/>
          <w:color w:val="000000"/>
        </w:rPr>
        <w:t xml:space="preserve"> from the analysis — not generic statements — because judges will question the numbers live. Every claim (e.g., "SUNPHARMA Sharpe 1.940") ties back to computed metrics.</w:t>
      </w:r>
      <w:bookmarkStart w:id="23" w:name="fnref4_1"/>
      <w:bookmarkEnd w:id="23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</w:p>
    <w:p w14:paraId="1F3CEC1E" w14:textId="77777777" w:rsidR="00141F30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251DB21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F3B00E1" w14:textId="77777777" w:rsidR="00141F30" w:rsidRDefault="00000000">
      <w:pPr>
        <w:spacing w:before="315" w:after="105" w:line="360" w:lineRule="auto"/>
        <w:ind w:left="-30"/>
      </w:pPr>
      <w:bookmarkStart w:id="24" w:name="why_portfolio_b_beats_portfolio_a"/>
      <w:r>
        <w:rPr>
          <w:rFonts w:eastAsia="Georgia" w:hAnsi="Georgia" w:cs="Georgia"/>
          <w:b/>
          <w:color w:val="000000"/>
          <w:sz w:val="24"/>
        </w:rPr>
        <w:t>Why Portfolio B Beats Portfolio A</w:t>
      </w:r>
      <w:bookmarkEnd w:id="24"/>
    </w:p>
    <w:p w14:paraId="159DAA9B" w14:textId="430E16B9" w:rsidR="00FC76BD" w:rsidRDefault="00000000" w:rsidP="00FC76BD">
      <w:pPr>
        <w:spacing w:after="210" w:line="360" w:lineRule="auto"/>
      </w:pPr>
      <w:r>
        <w:rPr>
          <w:rFonts w:eastAsia="Georgia" w:hAnsi="Georgia" w:cs="Georgia"/>
          <w:color w:val="000000"/>
        </w:rPr>
        <w:lastRenderedPageBreak/>
        <w:t>Equal weighting is blind to quality — it gives KOTAKBANK (−2.31% return, Sharpe −0.432) the same weight as SUNPHARMA (+40.24% return, Sharpe 1.940). Portfolio B fixes this by concentrating capital where the data shows genuine risk-adjusted alpha — Pharma and high-momentum IT stocks — while trimming dead weight from underperforming banking names.</w:t>
      </w:r>
      <w:bookmarkStart w:id="25" w:name="fnref2_4"/>
      <w:bookmarkStart w:id="26" w:name="fnref3_3"/>
      <w:bookmarkEnd w:id="25"/>
      <w:bookmarkEnd w:id="26"/>
      <w:r w:rsidR="00FC76BD">
        <w:t xml:space="preserve"> </w:t>
      </w:r>
    </w:p>
    <w:p w14:paraId="3D1815B6" w14:textId="46D244BD" w:rsidR="00141F30" w:rsidRDefault="00141F30">
      <w:pPr>
        <w:numPr>
          <w:ilvl w:val="0"/>
          <w:numId w:val="7"/>
        </w:numPr>
        <w:spacing w:after="210" w:line="360" w:lineRule="auto"/>
      </w:pPr>
    </w:p>
    <w:sectPr w:rsidR="00141F30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E1391"/>
    <w:multiLevelType w:val="hybridMultilevel"/>
    <w:tmpl w:val="B93255A6"/>
    <w:lvl w:ilvl="0" w:tplc="1FFC56E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822E6F6">
      <w:numFmt w:val="decimal"/>
      <w:lvlText w:val=""/>
      <w:lvlJc w:val="left"/>
    </w:lvl>
    <w:lvl w:ilvl="2" w:tplc="FF82D43E">
      <w:numFmt w:val="decimal"/>
      <w:lvlText w:val=""/>
      <w:lvlJc w:val="left"/>
    </w:lvl>
    <w:lvl w:ilvl="3" w:tplc="CBF65B90">
      <w:numFmt w:val="decimal"/>
      <w:lvlText w:val=""/>
      <w:lvlJc w:val="left"/>
    </w:lvl>
    <w:lvl w:ilvl="4" w:tplc="FD206ABC">
      <w:numFmt w:val="decimal"/>
      <w:lvlText w:val=""/>
      <w:lvlJc w:val="left"/>
    </w:lvl>
    <w:lvl w:ilvl="5" w:tplc="2DF0CB58">
      <w:numFmt w:val="decimal"/>
      <w:lvlText w:val=""/>
      <w:lvlJc w:val="left"/>
    </w:lvl>
    <w:lvl w:ilvl="6" w:tplc="AC805CC6">
      <w:numFmt w:val="decimal"/>
      <w:lvlText w:val=""/>
      <w:lvlJc w:val="left"/>
    </w:lvl>
    <w:lvl w:ilvl="7" w:tplc="963276EA">
      <w:numFmt w:val="decimal"/>
      <w:lvlText w:val=""/>
      <w:lvlJc w:val="left"/>
    </w:lvl>
    <w:lvl w:ilvl="8" w:tplc="75A49F7A">
      <w:numFmt w:val="decimal"/>
      <w:lvlText w:val=""/>
      <w:lvlJc w:val="left"/>
    </w:lvl>
  </w:abstractNum>
  <w:abstractNum w:abstractNumId="1" w15:restartNumberingAfterBreak="0">
    <w:nsid w:val="32FA4E91"/>
    <w:multiLevelType w:val="hybridMultilevel"/>
    <w:tmpl w:val="B8EA8CF2"/>
    <w:lvl w:ilvl="0" w:tplc="AA6ED96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D8AA1E8">
      <w:numFmt w:val="decimal"/>
      <w:lvlText w:val=""/>
      <w:lvlJc w:val="left"/>
    </w:lvl>
    <w:lvl w:ilvl="2" w:tplc="C60A1CEA">
      <w:numFmt w:val="decimal"/>
      <w:lvlText w:val=""/>
      <w:lvlJc w:val="left"/>
    </w:lvl>
    <w:lvl w:ilvl="3" w:tplc="B1B4D5F8">
      <w:numFmt w:val="decimal"/>
      <w:lvlText w:val=""/>
      <w:lvlJc w:val="left"/>
    </w:lvl>
    <w:lvl w:ilvl="4" w:tplc="0832DAE2">
      <w:numFmt w:val="decimal"/>
      <w:lvlText w:val=""/>
      <w:lvlJc w:val="left"/>
    </w:lvl>
    <w:lvl w:ilvl="5" w:tplc="9B48A35E">
      <w:numFmt w:val="decimal"/>
      <w:lvlText w:val=""/>
      <w:lvlJc w:val="left"/>
    </w:lvl>
    <w:lvl w:ilvl="6" w:tplc="F6D4EE7E">
      <w:numFmt w:val="decimal"/>
      <w:lvlText w:val=""/>
      <w:lvlJc w:val="left"/>
    </w:lvl>
    <w:lvl w:ilvl="7" w:tplc="012A1710">
      <w:numFmt w:val="decimal"/>
      <w:lvlText w:val=""/>
      <w:lvlJc w:val="left"/>
    </w:lvl>
    <w:lvl w:ilvl="8" w:tplc="495A967C">
      <w:numFmt w:val="decimal"/>
      <w:lvlText w:val=""/>
      <w:lvlJc w:val="left"/>
    </w:lvl>
  </w:abstractNum>
  <w:abstractNum w:abstractNumId="2" w15:restartNumberingAfterBreak="0">
    <w:nsid w:val="38637A6C"/>
    <w:multiLevelType w:val="hybridMultilevel"/>
    <w:tmpl w:val="96C211C8"/>
    <w:lvl w:ilvl="0" w:tplc="7472C5E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00821D6">
      <w:numFmt w:val="decimal"/>
      <w:lvlText w:val=""/>
      <w:lvlJc w:val="left"/>
    </w:lvl>
    <w:lvl w:ilvl="2" w:tplc="91608414">
      <w:numFmt w:val="decimal"/>
      <w:lvlText w:val=""/>
      <w:lvlJc w:val="left"/>
    </w:lvl>
    <w:lvl w:ilvl="3" w:tplc="6BC62550">
      <w:numFmt w:val="decimal"/>
      <w:lvlText w:val=""/>
      <w:lvlJc w:val="left"/>
    </w:lvl>
    <w:lvl w:ilvl="4" w:tplc="D5C6B5CA">
      <w:numFmt w:val="decimal"/>
      <w:lvlText w:val=""/>
      <w:lvlJc w:val="left"/>
    </w:lvl>
    <w:lvl w:ilvl="5" w:tplc="86341D12">
      <w:numFmt w:val="decimal"/>
      <w:lvlText w:val=""/>
      <w:lvlJc w:val="left"/>
    </w:lvl>
    <w:lvl w:ilvl="6" w:tplc="7CBE1844">
      <w:numFmt w:val="decimal"/>
      <w:lvlText w:val=""/>
      <w:lvlJc w:val="left"/>
    </w:lvl>
    <w:lvl w:ilvl="7" w:tplc="28A49A96">
      <w:numFmt w:val="decimal"/>
      <w:lvlText w:val=""/>
      <w:lvlJc w:val="left"/>
    </w:lvl>
    <w:lvl w:ilvl="8" w:tplc="EB0E2A6C">
      <w:numFmt w:val="decimal"/>
      <w:lvlText w:val=""/>
      <w:lvlJc w:val="left"/>
    </w:lvl>
  </w:abstractNum>
  <w:abstractNum w:abstractNumId="3" w15:restartNumberingAfterBreak="0">
    <w:nsid w:val="3D53614E"/>
    <w:multiLevelType w:val="hybridMultilevel"/>
    <w:tmpl w:val="56B862CE"/>
    <w:lvl w:ilvl="0" w:tplc="EF04FC2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55A3046">
      <w:numFmt w:val="decimal"/>
      <w:lvlText w:val=""/>
      <w:lvlJc w:val="left"/>
    </w:lvl>
    <w:lvl w:ilvl="2" w:tplc="6DCCAEE0">
      <w:numFmt w:val="decimal"/>
      <w:lvlText w:val=""/>
      <w:lvlJc w:val="left"/>
    </w:lvl>
    <w:lvl w:ilvl="3" w:tplc="57F024FE">
      <w:numFmt w:val="decimal"/>
      <w:lvlText w:val=""/>
      <w:lvlJc w:val="left"/>
    </w:lvl>
    <w:lvl w:ilvl="4" w:tplc="889A1E68">
      <w:numFmt w:val="decimal"/>
      <w:lvlText w:val=""/>
      <w:lvlJc w:val="left"/>
    </w:lvl>
    <w:lvl w:ilvl="5" w:tplc="DED40498">
      <w:numFmt w:val="decimal"/>
      <w:lvlText w:val=""/>
      <w:lvlJc w:val="left"/>
    </w:lvl>
    <w:lvl w:ilvl="6" w:tplc="9F449B6E">
      <w:numFmt w:val="decimal"/>
      <w:lvlText w:val=""/>
      <w:lvlJc w:val="left"/>
    </w:lvl>
    <w:lvl w:ilvl="7" w:tplc="4C1C6536">
      <w:numFmt w:val="decimal"/>
      <w:lvlText w:val=""/>
      <w:lvlJc w:val="left"/>
    </w:lvl>
    <w:lvl w:ilvl="8" w:tplc="1D1C2D0E">
      <w:numFmt w:val="decimal"/>
      <w:lvlText w:val=""/>
      <w:lvlJc w:val="left"/>
    </w:lvl>
  </w:abstractNum>
  <w:abstractNum w:abstractNumId="4" w15:restartNumberingAfterBreak="0">
    <w:nsid w:val="5BC02995"/>
    <w:multiLevelType w:val="hybridMultilevel"/>
    <w:tmpl w:val="EB0E0976"/>
    <w:lvl w:ilvl="0" w:tplc="45C8876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69ACEAA">
      <w:numFmt w:val="decimal"/>
      <w:lvlText w:val=""/>
      <w:lvlJc w:val="left"/>
    </w:lvl>
    <w:lvl w:ilvl="2" w:tplc="02306ED8">
      <w:numFmt w:val="decimal"/>
      <w:lvlText w:val=""/>
      <w:lvlJc w:val="left"/>
    </w:lvl>
    <w:lvl w:ilvl="3" w:tplc="E196D1D4">
      <w:numFmt w:val="decimal"/>
      <w:lvlText w:val=""/>
      <w:lvlJc w:val="left"/>
    </w:lvl>
    <w:lvl w:ilvl="4" w:tplc="6FAA52F2">
      <w:numFmt w:val="decimal"/>
      <w:lvlText w:val=""/>
      <w:lvlJc w:val="left"/>
    </w:lvl>
    <w:lvl w:ilvl="5" w:tplc="A72A9258">
      <w:numFmt w:val="decimal"/>
      <w:lvlText w:val=""/>
      <w:lvlJc w:val="left"/>
    </w:lvl>
    <w:lvl w:ilvl="6" w:tplc="B9DE3100">
      <w:numFmt w:val="decimal"/>
      <w:lvlText w:val=""/>
      <w:lvlJc w:val="left"/>
    </w:lvl>
    <w:lvl w:ilvl="7" w:tplc="4C40A106">
      <w:numFmt w:val="decimal"/>
      <w:lvlText w:val=""/>
      <w:lvlJc w:val="left"/>
    </w:lvl>
    <w:lvl w:ilvl="8" w:tplc="15468E84">
      <w:numFmt w:val="decimal"/>
      <w:lvlText w:val=""/>
      <w:lvlJc w:val="left"/>
    </w:lvl>
  </w:abstractNum>
  <w:abstractNum w:abstractNumId="5" w15:restartNumberingAfterBreak="0">
    <w:nsid w:val="61E2720C"/>
    <w:multiLevelType w:val="hybridMultilevel"/>
    <w:tmpl w:val="009CB8AA"/>
    <w:lvl w:ilvl="0" w:tplc="D6A2BF22">
      <w:numFmt w:val="decimal"/>
      <w:lvlText w:val=""/>
      <w:lvlJc w:val="left"/>
    </w:lvl>
    <w:lvl w:ilvl="1" w:tplc="19C602AA">
      <w:numFmt w:val="decimal"/>
      <w:lvlText w:val=""/>
      <w:lvlJc w:val="left"/>
    </w:lvl>
    <w:lvl w:ilvl="2" w:tplc="9AA052D8">
      <w:numFmt w:val="decimal"/>
      <w:lvlText w:val=""/>
      <w:lvlJc w:val="left"/>
    </w:lvl>
    <w:lvl w:ilvl="3" w:tplc="B3728C64">
      <w:numFmt w:val="decimal"/>
      <w:lvlText w:val=""/>
      <w:lvlJc w:val="left"/>
    </w:lvl>
    <w:lvl w:ilvl="4" w:tplc="590EDE8C">
      <w:numFmt w:val="decimal"/>
      <w:lvlText w:val=""/>
      <w:lvlJc w:val="left"/>
    </w:lvl>
    <w:lvl w:ilvl="5" w:tplc="3460CF8C">
      <w:numFmt w:val="decimal"/>
      <w:lvlText w:val=""/>
      <w:lvlJc w:val="left"/>
    </w:lvl>
    <w:lvl w:ilvl="6" w:tplc="CFB0473A">
      <w:numFmt w:val="decimal"/>
      <w:lvlText w:val=""/>
      <w:lvlJc w:val="left"/>
    </w:lvl>
    <w:lvl w:ilvl="7" w:tplc="0A60692E">
      <w:numFmt w:val="decimal"/>
      <w:lvlText w:val=""/>
      <w:lvlJc w:val="left"/>
    </w:lvl>
    <w:lvl w:ilvl="8" w:tplc="898EAF70">
      <w:numFmt w:val="decimal"/>
      <w:lvlText w:val=""/>
      <w:lvlJc w:val="left"/>
    </w:lvl>
  </w:abstractNum>
  <w:abstractNum w:abstractNumId="6" w15:restartNumberingAfterBreak="0">
    <w:nsid w:val="7B0708DE"/>
    <w:multiLevelType w:val="hybridMultilevel"/>
    <w:tmpl w:val="F6EEBCFC"/>
    <w:lvl w:ilvl="0" w:tplc="CAACB03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0CCA2BA">
      <w:numFmt w:val="decimal"/>
      <w:lvlText w:val=""/>
      <w:lvlJc w:val="left"/>
    </w:lvl>
    <w:lvl w:ilvl="2" w:tplc="242AA996">
      <w:numFmt w:val="decimal"/>
      <w:lvlText w:val=""/>
      <w:lvlJc w:val="left"/>
    </w:lvl>
    <w:lvl w:ilvl="3" w:tplc="4AEE0A60">
      <w:numFmt w:val="decimal"/>
      <w:lvlText w:val=""/>
      <w:lvlJc w:val="left"/>
    </w:lvl>
    <w:lvl w:ilvl="4" w:tplc="7E48F630">
      <w:numFmt w:val="decimal"/>
      <w:lvlText w:val=""/>
      <w:lvlJc w:val="left"/>
    </w:lvl>
    <w:lvl w:ilvl="5" w:tplc="18C6B780">
      <w:numFmt w:val="decimal"/>
      <w:lvlText w:val=""/>
      <w:lvlJc w:val="left"/>
    </w:lvl>
    <w:lvl w:ilvl="6" w:tplc="282EDE52">
      <w:numFmt w:val="decimal"/>
      <w:lvlText w:val=""/>
      <w:lvlJc w:val="left"/>
    </w:lvl>
    <w:lvl w:ilvl="7" w:tplc="A4ACD222">
      <w:numFmt w:val="decimal"/>
      <w:lvlText w:val=""/>
      <w:lvlJc w:val="left"/>
    </w:lvl>
    <w:lvl w:ilvl="8" w:tplc="FD16F136">
      <w:numFmt w:val="decimal"/>
      <w:lvlText w:val=""/>
      <w:lvlJc w:val="left"/>
    </w:lvl>
  </w:abstractNum>
  <w:num w:numId="1" w16cid:durableId="438835008">
    <w:abstractNumId w:val="6"/>
  </w:num>
  <w:num w:numId="2" w16cid:durableId="357892566">
    <w:abstractNumId w:val="4"/>
  </w:num>
  <w:num w:numId="3" w16cid:durableId="706955192">
    <w:abstractNumId w:val="3"/>
  </w:num>
  <w:num w:numId="4" w16cid:durableId="576012223">
    <w:abstractNumId w:val="0"/>
  </w:num>
  <w:num w:numId="5" w16cid:durableId="1449273867">
    <w:abstractNumId w:val="2"/>
  </w:num>
  <w:num w:numId="6" w16cid:durableId="134611983">
    <w:abstractNumId w:val="5"/>
  </w:num>
  <w:num w:numId="7" w16cid:durableId="196479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F30"/>
    <w:rsid w:val="00141F30"/>
    <w:rsid w:val="002C2A9D"/>
    <w:rsid w:val="00FC7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42C294F5"/>
  <w15:docId w15:val="{221F77A8-6D0F-4851-8228-3F10422E3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732</Words>
  <Characters>4176</Characters>
  <Application>Microsoft Office Word</Application>
  <DocSecurity>0</DocSecurity>
  <Lines>34</Lines>
  <Paragraphs>9</Paragraphs>
  <ScaleCrop>false</ScaleCrop>
  <Company/>
  <LinksUpToDate>false</LinksUpToDate>
  <CharactersWithSpaces>4899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Samvrit Tiwari</cp:lastModifiedBy>
  <cp:revision>2</cp:revision>
  <dcterms:created xsi:type="dcterms:W3CDTF">2026-04-01T07:34:00Z</dcterms:created>
  <dcterms:modified xsi:type="dcterms:W3CDTF">2026-04-01T10:16:00Z</dcterms:modified>
</cp:coreProperties>
</file>