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60"/>
      </w:pPr>
      <w:r>
        <w:rPr>
          <w:rFonts w:ascii="Arial" w:cs="Arial" w:eastAsia="Arial" w:hAnsi="Arial"/>
          <w:b/>
          <w:bCs/>
          <w:color w:val="0F4146"/>
          <w:sz w:val="44"/>
          <w:szCs w:val="44"/>
        </w:rPr>
        <w:t xml:space="preserve">ROI Calculator</w:t>
      </w:r>
    </w:p>
    <w:p>
      <w:pPr>
        <w:spacing w:after="40"/>
      </w:pPr>
      <w:r>
        <w:rPr>
          <w:rFonts w:ascii="Arial" w:cs="Arial" w:eastAsia="Arial" w:hAnsi="Arial"/>
          <w:color w:val="0F4146"/>
          <w:sz w:val="28"/>
          <w:szCs w:val="28"/>
        </w:rPr>
        <w:t xml:space="preserve">Methodology, Formulae &amp; Evidence Base</w:t>
      </w:r>
    </w:p>
    <w:p>
      <w:pPr>
        <w:pBdr>
          <w:bottom w:val="single" w:color="BEFAF0" w:sz="4" w:space="8"/>
        </w:pBdr>
        <w:spacing w:after="300"/>
      </w:pPr>
      <w:r>
        <w:rPr>
          <w:rFonts w:ascii="Arial" w:cs="Arial" w:eastAsia="Arial" w:hAnsi="Arial"/>
          <w:i/>
          <w:iCs/>
          <w:color w:val="6B7280"/>
          <w:sz w:val="20"/>
          <w:szCs w:val="20"/>
        </w:rPr>
        <w:t xml:space="preserve">RLDatix Data Solutions Group  |  March 2026  |  Internal / Client-facing</w:t>
      </w:r>
    </w:p>
    <w:p>
      <w:pPr>
        <w:spacing w:after="160"/>
      </w:pPr>
      <w:r>
        <w:rPr>
          <w:rFonts w:ascii="Arial" w:cs="Arial" w:eastAsia="Arial" w:hAnsi="Arial"/>
          <w:b w:val="false"/>
          <w:bCs w:val="false"/>
          <w:i w:val="false"/>
          <w:iCs w:val="false"/>
          <w:color w:val="1F2937"/>
          <w:sz w:val="20"/>
          <w:szCs w:val="20"/>
        </w:rPr>
        <w:t xml:space="preserve">This document catalogues every number produced by the EPR Migration &amp; Archiving ROI Calculator. For each output, it states the formula, identifies the input variables, and classifies the evidence base as one of:</w:t>
      </w:r>
    </w:p>
    <w:p>
      <w:pPr>
        <w:spacing w:after="160"/>
      </w:pPr>
      <w:r>
        <w:rPr>
          <w:rFonts w:ascii="Arial" w:cs="Arial" w:eastAsia="Arial" w:hAnsi="Arial"/>
          <w:b/>
          <w:bCs/>
          <w:i w:val="false"/>
          <w:iCs w:val="false"/>
          <w:color w:val="0F7B5F"/>
          <w:sz w:val="20"/>
          <w:szCs w:val="20"/>
        </w:rPr>
        <w:t xml:space="preserve">Evidence-based: </w:t>
      </w:r>
      <w:r>
        <w:rPr>
          <w:rFonts w:ascii="Arial" w:cs="Arial" w:eastAsia="Arial" w:hAnsi="Arial"/>
          <w:b w:val="false"/>
          <w:bCs w:val="false"/>
          <w:i w:val="false"/>
          <w:iCs w:val="false"/>
          <w:color w:val="1F2937"/>
          <w:sz w:val="20"/>
          <w:szCs w:val="20"/>
        </w:rPr>
        <w:t xml:space="preserve">Derived from published research, official NHS data, or audited reports.</w:t>
      </w:r>
    </w:p>
    <w:p>
      <w:pPr>
        <w:spacing w:after="160"/>
      </w:pPr>
      <w:r>
        <w:rPr>
          <w:rFonts w:ascii="Arial" w:cs="Arial" w:eastAsia="Arial" w:hAnsi="Arial"/>
          <w:b/>
          <w:bCs/>
          <w:i w:val="false"/>
          <w:iCs w:val="false"/>
          <w:color w:val="0F4146"/>
          <w:sz w:val="20"/>
          <w:szCs w:val="20"/>
        </w:rPr>
        <w:t xml:space="preserve">Industry benchmark: </w:t>
      </w:r>
      <w:r>
        <w:rPr>
          <w:rFonts w:ascii="Arial" w:cs="Arial" w:eastAsia="Arial" w:hAnsi="Arial"/>
          <w:b w:val="false"/>
          <w:bCs w:val="false"/>
          <w:i w:val="false"/>
          <w:iCs w:val="false"/>
          <w:color w:val="1F2937"/>
          <w:sz w:val="20"/>
          <w:szCs w:val="20"/>
        </w:rPr>
        <w:t xml:space="preserve">Drawn from published vendor/consultancy figures or cross-referenced NHS programme experience.</w:t>
      </w:r>
    </w:p>
    <w:p>
      <w:pPr>
        <w:spacing w:after="160"/>
      </w:pPr>
      <w:r>
        <w:rPr>
          <w:rFonts w:ascii="Arial" w:cs="Arial" w:eastAsia="Arial" w:hAnsi="Arial"/>
          <w:b/>
          <w:bCs/>
          <w:i w:val="false"/>
          <w:iCs w:val="false"/>
          <w:color w:val="8A6D2B"/>
          <w:sz w:val="20"/>
          <w:szCs w:val="20"/>
        </w:rPr>
        <w:t xml:space="preserve">Benchmarked: </w:t>
      </w:r>
      <w:r>
        <w:rPr>
          <w:rFonts w:ascii="Arial" w:cs="Arial" w:eastAsia="Arial" w:hAnsi="Arial"/>
          <w:b w:val="false"/>
          <w:bCs w:val="false"/>
          <w:i w:val="false"/>
          <w:iCs w:val="false"/>
          <w:color w:val="1F2937"/>
          <w:sz w:val="20"/>
          <w:szCs w:val="20"/>
        </w:rPr>
        <w:t xml:space="preserve">Validated against actual contract and cost data from a real-world NHS application footprint (a large acute Trust with ~1,385 beds and 42 legacy systems across a dual-site merged estate).</w:t>
      </w:r>
    </w:p>
    <w:p>
      <w:pPr>
        <w:spacing w:after="160"/>
      </w:pPr>
      <w:r>
        <w:rPr>
          <w:rFonts w:ascii="Arial" w:cs="Arial" w:eastAsia="Arial" w:hAnsi="Arial"/>
          <w:b/>
          <w:bCs/>
          <w:i w:val="false"/>
          <w:iCs w:val="false"/>
          <w:color w:val="6B7280"/>
          <w:sz w:val="20"/>
          <w:szCs w:val="20"/>
        </w:rPr>
        <w:t xml:space="preserve">Modelled estimate: </w:t>
      </w:r>
      <w:r>
        <w:rPr>
          <w:rFonts w:ascii="Arial" w:cs="Arial" w:eastAsia="Arial" w:hAnsi="Arial"/>
          <w:b w:val="false"/>
          <w:bCs w:val="false"/>
          <w:i w:val="false"/>
          <w:iCs w:val="false"/>
          <w:color w:val="1F2937"/>
          <w:sz w:val="20"/>
          <w:szCs w:val="20"/>
        </w:rPr>
        <w:t xml:space="preserve">Reasonable proxy constructed from first principles; user-overridable.</w:t>
      </w:r>
    </w:p>
    <w:p>
      <w:pPr>
        <w:spacing w:after="160"/>
      </w:pPr>
      <w:r>
        <w:rPr>
          <w:rFonts w:ascii="Arial" w:cs="Arial" w:eastAsia="Arial" w:hAnsi="Arial"/>
          <w:b w:val="false"/>
          <w:bCs w:val="false"/>
          <w:i w:val="false"/>
          <w:iCs w:val="false"/>
          <w:color w:val="1F2937"/>
          <w:sz w:val="20"/>
          <w:szCs w:val="20"/>
        </w:rPr>
        <w:t xml:space="preserve">Every figure in the calculator is overridable by the user. The model is deliberately transparent: all formulae are visible in tooltips, and this document provides the full audit trail.</w:t>
      </w:r>
    </w:p>
    <w:p>
      <w:pPr>
        <w:pStyle w:val="Heading1"/>
      </w:pPr>
      <w:r>
        <w:rPr>
          <w:rFonts w:ascii="Arial" w:cs="Arial" w:eastAsia="Arial" w:hAnsi="Arial"/>
        </w:rPr>
        <w:t xml:space="preserve">1. Scenario Multipliers</w:t>
      </w:r>
    </w:p>
    <w:p>
      <w:pPr>
        <w:spacing w:after="160"/>
      </w:pPr>
      <w:r>
        <w:rPr>
          <w:rFonts w:ascii="Arial" w:cs="Arial" w:eastAsia="Arial" w:hAnsi="Arial"/>
          <w:b w:val="false"/>
          <w:bCs w:val="false"/>
          <w:i w:val="false"/>
          <w:iCs w:val="false"/>
          <w:color w:val="1F2937"/>
          <w:sz w:val="20"/>
          <w:szCs w:val="20"/>
        </w:rPr>
        <w:t xml:space="preserve">Three scenarios scale the outputs to reflect confidence levels. The user selects one on the results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226"/>
      </w:tblGrid>
      <w:tr>
        <w:tc>
          <w:tcPr>
            <w:tcW w:type="dxa" w:w="20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6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Conservative</w:t>
            </w:r>
          </w:p>
        </w:tc>
        <w:tc>
          <w:tcPr>
            <w:tcW w:type="dxa" w:w="16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w:t>
            </w:r>
          </w:p>
        </w:tc>
        <w:tc>
          <w:tcPr>
            <w:tcW w:type="dxa" w:w="16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Stretch</w:t>
            </w:r>
          </w:p>
        </w:tc>
        <w:tc>
          <w:tcPr>
            <w:tcW w:type="dxa" w:w="2226"/>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Decommission scaling</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0.85x</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1.00x</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1.10x</w:t>
            </w:r>
          </w:p>
        </w:tc>
        <w:tc>
          <w:tcPr>
            <w:tcW w:type="dxa" w:w="22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20"/>
                <w:szCs w:val="20"/>
              </w:rPr>
              <w:t xml:space="preserve">Modelled</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Time realisation rate</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20%</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30%</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40%</w:t>
            </w:r>
          </w:p>
        </w:tc>
        <w:tc>
          <w:tcPr>
            <w:tcW w:type="dxa" w:w="22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20"/>
                <w:szCs w:val="20"/>
              </w:rPr>
              <w:t xml:space="preserve">Industry benchmark</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Safety reduction %</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15%</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25%</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35%</w:t>
            </w:r>
          </w:p>
        </w:tc>
        <w:tc>
          <w:tcPr>
            <w:tcW w:type="dxa" w:w="22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20"/>
                <w:szCs w:val="20"/>
              </w:rPr>
              <w:t xml:space="preserve">Evidence-based</w:t>
            </w:r>
          </w:p>
        </w:tc>
      </w:tr>
    </w:tbl>
    <w:p>
      <w:pPr>
        <w:spacing w:after="80"/>
      </w:pPr>
    </w:p>
    <w:p>
      <w:pPr>
        <w:spacing w:after="160"/>
      </w:pPr>
      <w:r>
        <w:rPr>
          <w:rFonts w:ascii="Arial" w:cs="Arial" w:eastAsia="Arial" w:hAnsi="Arial"/>
          <w:b/>
          <w:bCs/>
          <w:i w:val="false"/>
          <w:iCs w:val="false"/>
          <w:color w:val="1F2937"/>
          <w:sz w:val="20"/>
          <w:szCs w:val="20"/>
        </w:rPr>
        <w:t xml:space="preserve">Decommission scaling (0.85 / 1.00 / 1.10): </w:t>
      </w:r>
      <w:r>
        <w:rPr>
          <w:rFonts w:ascii="Arial" w:cs="Arial" w:eastAsia="Arial" w:hAnsi="Arial"/>
          <w:b w:val="false"/>
          <w:bCs w:val="false"/>
          <w:i w:val="false"/>
          <w:iCs w:val="false"/>
          <w:color w:val="1F2937"/>
          <w:sz w:val="20"/>
          <w:szCs w:val="20"/>
        </w:rPr>
        <w:t xml:space="preserve">Adjusts the user’s decommission target. Conservative assumes 85% of planned retirements actually happen (programme delays, contractual holdups). Stretch assumes 10% overachievement. </w:t>
      </w:r>
      <w:r>
        <w:rPr>
          <w:rFonts w:ascii="Arial" w:cs="Arial" w:eastAsia="Arial" w:hAnsi="Arial"/>
          <w:b w:val="false"/>
          <w:bCs w:val="false"/>
          <w:i/>
          <w:iCs/>
          <w:color w:val="6B7280"/>
          <w:sz w:val="20"/>
          <w:szCs w:val="20"/>
        </w:rPr>
        <w:t xml:space="preserve">Modelled estimate; no published benchmark. User sets their own decom target, and this scales it.</w:t>
      </w:r>
    </w:p>
    <w:p>
      <w:pPr>
        <w:spacing w:after="160"/>
      </w:pPr>
      <w:r>
        <w:rPr>
          <w:rFonts w:ascii="Arial" w:cs="Arial" w:eastAsia="Arial" w:hAnsi="Arial"/>
          <w:b/>
          <w:bCs/>
          <w:i w:val="false"/>
          <w:iCs w:val="false"/>
          <w:color w:val="1F2937"/>
          <w:sz w:val="20"/>
          <w:szCs w:val="20"/>
        </w:rPr>
        <w:t xml:space="preserve">Time realisation rate (20% / 30% / 40%): </w:t>
      </w:r>
      <w:r>
        <w:rPr>
          <w:rFonts w:ascii="Arial" w:cs="Arial" w:eastAsia="Arial" w:hAnsi="Arial"/>
          <w:b w:val="false"/>
          <w:bCs w:val="false"/>
          <w:i w:val="false"/>
          <w:iCs w:val="false"/>
          <w:color w:val="1F2937"/>
          <w:sz w:val="20"/>
          <w:szCs w:val="20"/>
        </w:rPr>
        <w:t xml:space="preserve">The fraction of freed clinician time that translates into measurable capacity value. NHS England’s productivity frameworks typically cite 25–35% for time-release savings. The Productive Ward programme reported 20–40% ranges. </w:t>
      </w:r>
      <w:r>
        <w:rPr>
          <w:rFonts w:ascii="Arial" w:cs="Arial" w:eastAsia="Arial" w:hAnsi="Arial"/>
          <w:b w:val="false"/>
          <w:bCs w:val="false"/>
          <w:i/>
          <w:iCs/>
          <w:color w:val="6B7280"/>
          <w:sz w:val="20"/>
          <w:szCs w:val="20"/>
        </w:rPr>
        <w:t xml:space="preserve">Industry benchmark from NHS Productive Ward / Lord Carter review of operational productivity.</w:t>
      </w:r>
    </w:p>
    <w:p>
      <w:pPr>
        <w:spacing w:after="160"/>
      </w:pPr>
      <w:r>
        <w:rPr>
          <w:rFonts w:ascii="Arial" w:cs="Arial" w:eastAsia="Arial" w:hAnsi="Arial"/>
          <w:b/>
          <w:bCs/>
          <w:i w:val="false"/>
          <w:iCs w:val="false"/>
          <w:color w:val="1F2937"/>
          <w:sz w:val="20"/>
          <w:szCs w:val="20"/>
        </w:rPr>
        <w:t xml:space="preserve">Safety reduction (15% / 25% / 35%): </w:t>
      </w:r>
      <w:r>
        <w:rPr>
          <w:rFonts w:ascii="Arial" w:cs="Arial" w:eastAsia="Arial" w:hAnsi="Arial"/>
          <w:b w:val="false"/>
          <w:bCs w:val="false"/>
          <w:i w:val="false"/>
          <w:iCs w:val="false"/>
          <w:color w:val="1F2937"/>
          <w:sz w:val="20"/>
          <w:szCs w:val="20"/>
        </w:rPr>
        <w:t xml:space="preserve">The proportion of transition-related medication errors avoidable through system consolidation. Camacho et al 2024 (BMJ Quality &amp; Safety) estimated that ‘a substantial proportion’ of the 1.8M annual errors are attributable to information gaps. Gate et al 2023 found 25–50% reductions in medication errors at care transitions after EPR consolidation in US health systems. </w:t>
      </w:r>
      <w:r>
        <w:rPr>
          <w:rFonts w:ascii="Arial" w:cs="Arial" w:eastAsia="Arial" w:hAnsi="Arial"/>
          <w:b w:val="false"/>
          <w:bCs w:val="false"/>
          <w:i/>
          <w:iCs/>
          <w:color w:val="6B7280"/>
          <w:sz w:val="20"/>
          <w:szCs w:val="20"/>
        </w:rPr>
        <w:t xml:space="preserve">Evidence-based; Camacho et al 2024, Gate et al 2023.</w:t>
      </w:r>
    </w:p>
    <w:p>
      <w:pPr>
        <w:pStyle w:val="Heading1"/>
      </w:pPr>
      <w:r>
        <w:rPr>
          <w:rFonts w:ascii="Arial" w:cs="Arial" w:eastAsia="Arial" w:hAnsi="Arial"/>
        </w:rPr>
        <w:t xml:space="preserve">2. Complexity &amp; Data Quality Multipliers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800"/>
        <w:gridCol w:w="2426"/>
      </w:tblGrid>
      <w:tr>
        <w:tc>
          <w:tcPr>
            <w:tcW w:type="dxa" w:w="20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14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Low</w:t>
            </w:r>
          </w:p>
        </w:tc>
        <w:tc>
          <w:tcPr>
            <w:tcW w:type="dxa" w:w="14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w:t>
            </w:r>
          </w:p>
        </w:tc>
        <w:tc>
          <w:tcPr>
            <w:tcW w:type="dxa" w:w="18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High / Poor</w:t>
            </w:r>
          </w:p>
        </w:tc>
        <w:tc>
          <w:tcPr>
            <w:tcW w:type="dxa" w:w="2426"/>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Affects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Complexity (CX)</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0.70</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1.00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1.45</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System costs, mins wasted</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Data quality (DQ)</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0.75 (Clean)</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1.00 (Mixed)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1.40 (Poor)</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Mins wasted, tickets, SAR</w:t>
            </w:r>
          </w:p>
        </w:tc>
      </w:tr>
    </w:tbl>
    <w:p>
      <w:pPr>
        <w:spacing w:after="80"/>
      </w:pPr>
    </w:p>
    <w:p>
      <w:pPr>
        <w:spacing w:after="160"/>
      </w:pPr>
      <w:r>
        <w:rPr>
          <w:rFonts w:ascii="Arial" w:cs="Arial" w:eastAsia="Arial" w:hAnsi="Arial"/>
          <w:b/>
          <w:bCs/>
          <w:i w:val="false"/>
          <w:iCs w:val="false"/>
          <w:color w:val="1F2937"/>
          <w:sz w:val="20"/>
          <w:szCs w:val="20"/>
        </w:rPr>
        <w:t xml:space="preserve">Complexity (CX): </w:t>
      </w:r>
      <w:r>
        <w:rPr>
          <w:rFonts w:ascii="Arial" w:cs="Arial" w:eastAsia="Arial" w:hAnsi="Arial"/>
          <w:b w:val="false"/>
          <w:bCs w:val="false"/>
          <w:i w:val="false"/>
          <w:iCs w:val="false"/>
          <w:color w:val="1F2937"/>
          <w:sz w:val="20"/>
          <w:szCs w:val="20"/>
        </w:rPr>
        <w:t xml:space="preserve">Reflects how bespoke and integrated legacy systems are. Low = off-the-shelf, simple interfaces. High = heavily customised, deep integrations, complex data models. The benchmarked Trust was classified as HIGH (1.45) due to its merged dual-site estate with significant cross-site integration. The 0.70–1.45 range is a </w:t>
      </w:r>
      <w:r>
        <w:rPr>
          <w:rFonts w:ascii="Arial" w:cs="Arial" w:eastAsia="Arial" w:hAnsi="Arial"/>
          <w:b w:val="false"/>
          <w:bCs w:val="false"/>
          <w:i/>
          <w:iCs/>
          <w:color w:val="6B7280"/>
          <w:sz w:val="20"/>
          <w:szCs w:val="20"/>
        </w:rPr>
        <w:t xml:space="preserve">modelled estimate</w:t>
      </w:r>
      <w:r>
        <w:rPr>
          <w:rFonts w:ascii="Arial" w:cs="Arial" w:eastAsia="Arial" w:hAnsi="Arial"/>
          <w:b w:val="false"/>
          <w:bCs w:val="false"/>
          <w:i w:val="false"/>
          <w:iCs w:val="false"/>
          <w:color w:val="1F2937"/>
          <w:sz w:val="20"/>
          <w:szCs w:val="20"/>
        </w:rPr>
        <w:t xml:space="preserve"> designed to produce approximately ±30% variation around baseline.</w:t>
      </w:r>
    </w:p>
    <w:p>
      <w:pPr>
        <w:spacing w:after="160"/>
      </w:pPr>
      <w:r>
        <w:rPr>
          <w:rFonts w:ascii="Arial" w:cs="Arial" w:eastAsia="Arial" w:hAnsi="Arial"/>
          <w:b/>
          <w:bCs/>
          <w:i w:val="false"/>
          <w:iCs w:val="false"/>
          <w:color w:val="1F2937"/>
          <w:sz w:val="20"/>
          <w:szCs w:val="20"/>
        </w:rPr>
        <w:t xml:space="preserve">Data quality (DQ): </w:t>
      </w:r>
      <w:r>
        <w:rPr>
          <w:rFonts w:ascii="Arial" w:cs="Arial" w:eastAsia="Arial" w:hAnsi="Arial"/>
          <w:b w:val="false"/>
          <w:bCs w:val="false"/>
          <w:i w:val="false"/>
          <w:iCs w:val="false"/>
          <w:color w:val="1F2937"/>
          <w:sz w:val="20"/>
          <w:szCs w:val="20"/>
        </w:rPr>
        <w:t xml:space="preserve">Affects how long clinicians spend searching for information and how many support tickets are raised. Clean data = well-structured, consistent coding. Poor = duplicate records, missing fields, inconsistent formats. The 0.75–1.40 range is a </w:t>
      </w:r>
      <w:r>
        <w:rPr>
          <w:rFonts w:ascii="Arial" w:cs="Arial" w:eastAsia="Arial" w:hAnsi="Arial"/>
          <w:b w:val="false"/>
          <w:bCs w:val="false"/>
          <w:i/>
          <w:iCs/>
          <w:color w:val="6B7280"/>
          <w:sz w:val="20"/>
          <w:szCs w:val="20"/>
        </w:rPr>
        <w:t xml:space="preserve">modelled estimate</w:t>
      </w:r>
      <w:r>
        <w:rPr>
          <w:rFonts w:ascii="Arial" w:cs="Arial" w:eastAsia="Arial" w:hAnsi="Arial"/>
          <w:b w:val="false"/>
          <w:bCs w:val="false"/>
          <w:i w:val="false"/>
          <w:iCs w:val="false"/>
          <w:color w:val="1F2937"/>
          <w:sz w:val="20"/>
          <w:szCs w:val="20"/>
        </w:rPr>
        <w:t xml:space="preserve"> reflecting that poor data roughly doubles the effort of finding information versus clean data.</w:t>
      </w:r>
    </w:p>
    <w:p>
      <w:pPr>
        <w:pStyle w:val="Heading1"/>
      </w:pPr>
      <w:r>
        <w:rPr>
          <w:rFonts w:ascii="Arial" w:cs="Arial" w:eastAsia="Arial" w:hAnsi="Arial"/>
        </w:rPr>
        <w:t xml:space="preserve">3. Tiered System Costs</w:t>
      </w:r>
    </w:p>
    <w:p>
      <w:pPr>
        <w:spacing w:after="160"/>
      </w:pPr>
      <w:r>
        <w:rPr>
          <w:rFonts w:ascii="Arial" w:cs="Arial" w:eastAsia="Arial" w:hAnsi="Arial"/>
          <w:b w:val="false"/>
          <w:bCs w:val="false"/>
          <w:i w:val="false"/>
          <w:iCs w:val="false"/>
          <w:color w:val="1F2937"/>
          <w:sz w:val="20"/>
          <w:szCs w:val="20"/>
        </w:rPr>
        <w:t xml:space="preserve">Each legacy system is classified into one of three tiers. Annual running cost per system scales with the trust’s bed count and complexity level.</w:t>
      </w:r>
    </w:p>
    <w:p>
      <w:pPr>
        <w:spacing w:after="160"/>
      </w:pPr>
      <w:r>
        <w:rPr>
          <w:rFonts w:ascii="Arial" w:cs="Arial" w:eastAsia="Arial" w:hAnsi="Arial"/>
          <w:b/>
          <w:bCs/>
          <w:i w:val="false"/>
          <w:iCs w:val="false"/>
          <w:color w:val="1F2937"/>
          <w:sz w:val="20"/>
          <w:szCs w:val="20"/>
        </w:rPr>
        <w:t xml:space="preserve">Formula: </w:t>
      </w:r>
      <w:r>
        <w:rPr>
          <w:rFonts w:ascii="Arial" w:cs="Arial" w:eastAsia="Arial" w:hAnsi="Arial"/>
          <w:b w:val="false"/>
          <w:bCs w:val="false"/>
          <w:i w:val="false"/>
          <w:iCs w:val="false"/>
          <w:color w:val="1F2937"/>
          <w:sz w:val="20"/>
          <w:szCs w:val="20"/>
        </w:rPr>
        <w:t xml:space="preserve">tierCost = round((base + beds × perBed) × CX / 1000) × 1000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200"/>
        <w:gridCol w:w="2226"/>
      </w:tblGrid>
      <w:tr>
        <w:tc>
          <w:tcPr>
            <w:tcW w:type="dxa" w:w="18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4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cost</w:t>
            </w:r>
          </w:p>
        </w:tc>
        <w:tc>
          <w:tcPr>
            <w:tcW w:type="dxa" w:w="14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Per-bed</w:t>
            </w:r>
          </w:p>
        </w:tc>
        <w:tc>
          <w:tcPr>
            <w:tcW w:type="dxa" w:w="22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(800 beds, Typical)</w:t>
            </w:r>
          </w:p>
        </w:tc>
        <w:tc>
          <w:tcPr>
            <w:tcW w:type="dxa" w:w="2226"/>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Enterprise</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£300,000</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£700/bed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bCs/>
                <w:i w:val="false"/>
                <w:iCs w:val="false"/>
                <w:color w:val="1F2937"/>
                <w:sz w:val="20"/>
                <w:szCs w:val="20"/>
              </w:rPr>
              <w:t xml:space="preserve">£860,000/yr</w:t>
            </w:r>
          </w:p>
        </w:tc>
        <w:tc>
          <w:tcPr>
            <w:tcW w:type="dxa" w:w="22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8A6D2B"/>
                <w:sz w:val="20"/>
                <w:szCs w:val="20"/>
              </w:rPr>
              <w:t xml:space="preserve">Benchmarked</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Departmental</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£75,000</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£160/bed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bCs/>
                <w:i w:val="false"/>
                <w:iCs w:val="false"/>
                <w:color w:val="1F2937"/>
                <w:sz w:val="20"/>
                <w:szCs w:val="20"/>
              </w:rPr>
              <w:t xml:space="preserve">£203,000/yr</w:t>
            </w:r>
          </w:p>
        </w:tc>
        <w:tc>
          <w:tcPr>
            <w:tcW w:type="dxa" w:w="22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8A6D2B"/>
                <w:sz w:val="20"/>
                <w:szCs w:val="20"/>
              </w:rPr>
              <w:t xml:space="preserve">Benchmarked</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Standalone</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£14,000</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£20/bed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bCs/>
                <w:i w:val="false"/>
                <w:iCs w:val="false"/>
                <w:color w:val="1F2937"/>
                <w:sz w:val="20"/>
                <w:szCs w:val="20"/>
              </w:rPr>
              <w:t xml:space="preserve">£30,000/yr</w:t>
            </w:r>
          </w:p>
        </w:tc>
        <w:tc>
          <w:tcPr>
            <w:tcW w:type="dxa" w:w="22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8A6D2B"/>
                <w:sz w:val="20"/>
                <w:szCs w:val="20"/>
              </w:rPr>
              <w:t xml:space="preserve">Benchmarked</w:t>
            </w:r>
          </w:p>
        </w:tc>
      </w:tr>
    </w:tbl>
    <w:p>
      <w:pPr>
        <w:spacing w:after="80"/>
      </w:pPr>
    </w:p>
    <w:p>
      <w:pPr>
        <w:spacing w:after="160"/>
      </w:pPr>
      <w:r>
        <w:rPr>
          <w:rFonts w:ascii="Arial" w:cs="Arial" w:eastAsia="Arial" w:hAnsi="Arial"/>
          <w:b/>
          <w:bCs/>
          <w:i w:val="false"/>
          <w:iCs w:val="false"/>
          <w:color w:val="1F2937"/>
          <w:sz w:val="20"/>
          <w:szCs w:val="20"/>
        </w:rPr>
        <w:t xml:space="preserve">Enterprise systems (£300k + £700/bed): </w:t>
      </w:r>
      <w:r>
        <w:rPr>
          <w:rFonts w:ascii="Arial" w:cs="Arial" w:eastAsia="Arial" w:hAnsi="Arial"/>
          <w:b w:val="false"/>
          <w:bCs w:val="false"/>
          <w:i w:val="false"/>
          <w:iCs w:val="false"/>
          <w:color w:val="1F2937"/>
          <w:sz w:val="20"/>
          <w:szCs w:val="20"/>
        </w:rPr>
        <w:t xml:space="preserve">Legacy EPR/PAS platforms, major clinical suites. Total cost of ownership for an enterprise clinical system at a mid-size trust typically runs £200k–£800k/yr including licensing, hosting, support, and interface management. However, large or merged trusts frequently exceed £1m, and outlier contracts (PAS platforms, community EPR suites) can reach £3–7m/yr. In the benchmarked Trust, the three enterprise systems averaged £3.6m/yr, heavily skewed by a £6.7m community EPR contract. The formula is calibrated to produce sensible mid-range defaults; the flagship feature exists to capture these outliers. The HSSIB Digital Technology report (2024) and NHS Digital’s clinical systems cost surveys inform the overall range. </w:t>
      </w:r>
      <w:r>
        <w:rPr>
          <w:rFonts w:ascii="Arial" w:cs="Arial" w:eastAsia="Arial" w:hAnsi="Arial"/>
          <w:b w:val="false"/>
          <w:bCs w:val="false"/>
          <w:i/>
          <w:iCs/>
          <w:color w:val="6B7280"/>
          <w:sz w:val="20"/>
          <w:szCs w:val="20"/>
        </w:rPr>
        <w:t xml:space="preserve">Benchmarked against real contract data from a large acute NHS Trust (42 systems, ~1,385 beds). Cross-referenced with RLDatix programme experience across 1,000+ migrations.</w:t>
      </w:r>
    </w:p>
    <w:p>
      <w:pPr>
        <w:spacing w:after="160"/>
      </w:pPr>
      <w:r>
        <w:rPr>
          <w:rFonts w:ascii="Arial" w:cs="Arial" w:eastAsia="Arial" w:hAnsi="Arial"/>
          <w:b/>
          <w:bCs/>
          <w:i w:val="false"/>
          <w:iCs w:val="false"/>
          <w:color w:val="1F2937"/>
          <w:sz w:val="20"/>
          <w:szCs w:val="20"/>
        </w:rPr>
        <w:t xml:space="preserve">Departmental systems (£75k + £160/bed): </w:t>
      </w:r>
      <w:r>
        <w:rPr>
          <w:rFonts w:ascii="Arial" w:cs="Arial" w:eastAsia="Arial" w:hAnsi="Arial"/>
          <w:b w:val="false"/>
          <w:bCs w:val="false"/>
          <w:i w:val="false"/>
          <w:iCs w:val="false"/>
          <w:color w:val="1F2937"/>
          <w:sz w:val="20"/>
          <w:szCs w:val="20"/>
        </w:rPr>
        <w:t xml:space="preserve">Theatres, lab, ED, maternity, radiology reporting, e-Obs, infection control, pharmacy dispensing. Typically £50k–£300k/yr. The benchmarked Trust had 15 departmental systems averaging £641k/yr (9 with known contract values), with the largest being a combined radiotherapy/oncology platform at £2.7m. The formula targets mid-range trusts; the higher end is captured by flagships or tier cost overrides. </w:t>
      </w:r>
      <w:r>
        <w:rPr>
          <w:rFonts w:ascii="Arial" w:cs="Arial" w:eastAsia="Arial" w:hAnsi="Arial"/>
          <w:b w:val="false"/>
          <w:bCs w:val="false"/>
          <w:i/>
          <w:iCs/>
          <w:color w:val="6B7280"/>
          <w:sz w:val="20"/>
          <w:szCs w:val="20"/>
        </w:rPr>
        <w:t xml:space="preserve">Benchmarked. Industry benchmark cross-referenced with programme experience.</w:t>
      </w:r>
    </w:p>
    <w:p>
      <w:pPr>
        <w:spacing w:after="160"/>
      </w:pPr>
      <w:r>
        <w:rPr>
          <w:rFonts w:ascii="Arial" w:cs="Arial" w:eastAsia="Arial" w:hAnsi="Arial"/>
          <w:b/>
          <w:bCs/>
          <w:i w:val="false"/>
          <w:iCs w:val="false"/>
          <w:color w:val="1F2937"/>
          <w:sz w:val="20"/>
          <w:szCs w:val="20"/>
        </w:rPr>
        <w:t xml:space="preserve">Standalone systems (£14k + £20/bed): </w:t>
      </w:r>
      <w:r>
        <w:rPr>
          <w:rFonts w:ascii="Arial" w:cs="Arial" w:eastAsia="Arial" w:hAnsi="Arial"/>
          <w:b w:val="false"/>
          <w:bCs w:val="false"/>
          <w:i w:val="false"/>
          <w:iCs w:val="false"/>
          <w:color w:val="1F2937"/>
          <w:sz w:val="20"/>
          <w:szCs w:val="20"/>
        </w:rPr>
        <w:t xml:space="preserve">Specialty databases, document stores, scanned records repositories, in-house clinical tools. Often £5k–£60k/yr. The benchmarked Trust had 24 standalone systems, of which only 2 carried visible contract values (averaging £66k). Many were in-house developed tools with no external contract cost but carrying implicit maintenance overhead. </w:t>
      </w:r>
      <w:r>
        <w:rPr>
          <w:rFonts w:ascii="Arial" w:cs="Arial" w:eastAsia="Arial" w:hAnsi="Arial"/>
          <w:b w:val="false"/>
          <w:bCs w:val="false"/>
          <w:i/>
          <w:iCs/>
          <w:color w:val="6B7280"/>
          <w:sz w:val="20"/>
          <w:szCs w:val="20"/>
        </w:rPr>
        <w:t xml:space="preserve">Benchmarked. Industry benchmark.</w:t>
      </w:r>
    </w:p>
    <w:p>
      <w:pPr>
        <w:spacing w:after="160"/>
      </w:pPr>
      <w:r>
        <w:rPr>
          <w:rFonts w:ascii="Arial" w:cs="Arial" w:eastAsia="Arial" w:hAnsi="Arial"/>
          <w:b/>
          <w:bCs/>
          <w:i w:val="false"/>
          <w:iCs w:val="false"/>
          <w:color w:val="1F2937"/>
          <w:sz w:val="20"/>
          <w:szCs w:val="20"/>
        </w:rPr>
        <w:t xml:space="preserve">Why bed-count scaling? </w:t>
      </w:r>
      <w:r>
        <w:rPr>
          <w:rFonts w:ascii="Arial" w:cs="Arial" w:eastAsia="Arial" w:hAnsi="Arial"/>
          <w:b w:val="false"/>
          <w:bCs w:val="false"/>
          <w:i w:val="false"/>
          <w:iCs w:val="false"/>
          <w:color w:val="1F2937"/>
          <w:sz w:val="20"/>
          <w:szCs w:val="20"/>
        </w:rPr>
        <w:t xml:space="preserve">Larger trusts generate more data, more concurrent users, and more complex infrastructure requirements. A 250-bed community hospital running a departmental lab system has fundamentally different hosting and licensing costs than a 1,800-bed teaching hospital running the same vendor’s product. The per-bed rates are calibrated so that the total per-system cost falls within published ranges for each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4146" w:sz="4"/>
              <w:left w:val="single" w:color="0F4146" w:sz="4"/>
              <w:bottom w:val="none" w:sz="0"/>
              <w:right w:val="none" w:sz="0"/>
            </w:tcBorders>
            <w:shd w:fill="E8FAF6" w:val="clear"/>
            <w:tcMar>
              <w:top w:type="dxa" w:w="200"/>
              <w:left w:type="dxa" w:w="240"/>
              <w:bottom w:type="dxa" w:w="200"/>
              <w:right w:type="dxa" w:w="240"/>
            </w:tcMar>
          </w:tcPr>
          <w:p>
            <w:pPr>
              <w:spacing w:after="100"/>
            </w:pPr>
            <w:r>
              <w:rPr>
                <w:rFonts w:ascii="Arial" w:cs="Arial" w:eastAsia="Arial" w:hAnsi="Arial"/>
                <w:b/>
                <w:bCs/>
                <w:color w:val="0F4146"/>
                <w:sz w:val="22"/>
                <w:szCs w:val="22"/>
              </w:rPr>
              <w:t xml:space="preserve">Real-world validation</w:t>
            </w:r>
          </w:p>
          <w:p>
            <w:pPr>
              <w:spacing w:after="80"/>
            </w:pPr>
            <w:r>
              <w:rPr>
                <w:rFonts w:ascii="Arial" w:cs="Arial" w:eastAsia="Arial" w:hAnsi="Arial"/>
                <w:color w:val="374151"/>
                <w:sz w:val="20"/>
                <w:szCs w:val="20"/>
              </w:rPr>
              <w:t xml:space="preserve">We tested these formulas against the complete application footprint and contract register of a large acute NHS Trust (~1,385 beds, dual-site merged estate, 42 unique legacy systems, £16.75m/yr total contract value). Using recalibrated defaults alone, the calculator covers ~80% of the actual estate. When tier costs are overridden to actual per-tier averages, the Expected scenario produces £16.4m/yr — within 2.5% of the Trust’s independently stated £16m/yr saving estimate. A notable feature of the real estate was extreme cost concentration: four systems (a PAS, community EPR, radiotherapy platform, and e-Obs system) accounted for 78% of total legacy spend — exactly the pattern the flagship system feature is designed to capture.</w:t>
            </w:r>
          </w:p>
        </w:tc>
      </w:tr>
    </w:tbl>
    <w:p>
      <w:pPr>
        <w:spacing w:after="120"/>
      </w:pPr>
    </w:p>
    <w:p>
      <w:pPr>
        <w:spacing w:after="160"/>
      </w:pPr>
      <w:r>
        <w:rPr>
          <w:rFonts w:ascii="Arial" w:cs="Arial" w:eastAsia="Arial" w:hAnsi="Arial"/>
          <w:b/>
          <w:bCs/>
          <w:i w:val="false"/>
          <w:iCs w:val="false"/>
          <w:color w:val="1F2937"/>
          <w:sz w:val="20"/>
          <w:szCs w:val="20"/>
        </w:rPr>
        <w:t xml:space="preserve">Three input modes </w:t>
      </w:r>
      <w:r>
        <w:rPr>
          <w:rFonts w:ascii="Arial" w:cs="Arial" w:eastAsia="Arial" w:hAnsi="Arial"/>
          <w:b w:val="false"/>
          <w:bCs w:val="false"/>
          <w:i w:val="false"/>
          <w:iCs w:val="false"/>
          <w:color w:val="1F2937"/>
          <w:sz w:val="20"/>
          <w:szCs w:val="20"/>
        </w:rPr>
        <w:t xml:space="preserve">allow users to match their level of available data to the model:</w:t>
      </w:r>
    </w:p>
    <w:p>
      <w:pPr>
        <w:spacing w:after="160"/>
      </w:pPr>
      <w:r>
        <w:rPr>
          <w:rFonts w:ascii="Arial" w:cs="Arial" w:eastAsia="Arial" w:hAnsi="Arial"/>
          <w:b/>
          <w:bCs/>
          <w:i w:val="false"/>
          <w:iCs w:val="false"/>
          <w:color w:val="1F2937"/>
          <w:sz w:val="20"/>
          <w:szCs w:val="20"/>
        </w:rPr>
        <w:t xml:space="preserve">Estimate (default): </w:t>
      </w:r>
      <w:r>
        <w:rPr>
          <w:rFonts w:ascii="Arial" w:cs="Arial" w:eastAsia="Arial" w:hAnsi="Arial"/>
          <w:b w:val="false"/>
          <w:bCs w:val="false"/>
          <w:i w:val="false"/>
          <w:iCs w:val="false"/>
          <w:color w:val="1F2937"/>
          <w:sz w:val="20"/>
          <w:szCs w:val="20"/>
        </w:rPr>
        <w:t xml:space="preserve">Tier costs are calculated from the bed-scaled formulas above. Suitable when no contract data is available. In benchmarking, this produced ~80% of the actual estate value.</w:t>
      </w:r>
    </w:p>
    <w:p>
      <w:pPr>
        <w:spacing w:after="160"/>
      </w:pPr>
      <w:r>
        <w:rPr>
          <w:rFonts w:ascii="Arial" w:cs="Arial" w:eastAsia="Arial" w:hAnsi="Arial"/>
          <w:b/>
          <w:bCs/>
          <w:i w:val="false"/>
          <w:iCs w:val="false"/>
          <w:color w:val="1F2937"/>
          <w:sz w:val="20"/>
          <w:szCs w:val="20"/>
        </w:rPr>
        <w:t xml:space="preserve">Flagship systems: </w:t>
      </w:r>
      <w:r>
        <w:rPr>
          <w:rFonts w:ascii="Arial" w:cs="Arial" w:eastAsia="Arial" w:hAnsi="Arial"/>
          <w:b w:val="false"/>
          <w:bCs w:val="false"/>
          <w:i w:val="false"/>
          <w:iCs w:val="false"/>
          <w:color w:val="1F2937"/>
          <w:sz w:val="20"/>
          <w:szCs w:val="20"/>
        </w:rPr>
        <w:t xml:space="preserve">Users add named high-cost systems (e.g. a £3.6m PAS or £6.7m community EPR) at their actual contract value. The remaining systems are costed through the tier formulas. In benchmarking, this approach with four flagships produced a Conservative estimate of £16.0m — almost exactly matching the stated target.</w:t>
      </w:r>
    </w:p>
    <w:p>
      <w:pPr>
        <w:spacing w:after="160"/>
      </w:pPr>
      <w:r>
        <w:rPr>
          <w:rFonts w:ascii="Arial" w:cs="Arial" w:eastAsia="Arial" w:hAnsi="Arial"/>
          <w:b/>
          <w:bCs/>
          <w:i w:val="false"/>
          <w:iCs w:val="false"/>
          <w:color w:val="1F2937"/>
          <w:sz w:val="20"/>
          <w:szCs w:val="20"/>
        </w:rPr>
        <w:t xml:space="preserve">“I know my spend”: </w:t>
      </w:r>
      <w:r>
        <w:rPr>
          <w:rFonts w:ascii="Arial" w:cs="Arial" w:eastAsia="Arial" w:hAnsi="Arial"/>
          <w:b w:val="false"/>
          <w:bCs w:val="false"/>
          <w:i w:val="false"/>
          <w:iCs w:val="false"/>
          <w:color w:val="1F2937"/>
          <w:sz w:val="20"/>
          <w:szCs w:val="20"/>
        </w:rPr>
        <w:t xml:space="preserve">Users enter their total annual legacy system spend. The calculator distributes it across tiers using a 5:2:1 weighting ratio. In benchmarking, entering £16.75m produced Expected output of £16.4m/yr. This mode requires the least user effort and the most available data.</w:t>
      </w:r>
    </w:p>
    <w:p>
      <w:r>
        <w:br w:type="page"/>
      </w:r>
    </w:p>
    <w:p>
      <w:pPr>
        <w:pStyle w:val="Heading1"/>
      </w:pPr>
      <w:r>
        <w:rPr>
          <w:rFonts w:ascii="Arial" w:cs="Arial" w:eastAsia="Arial" w:hAnsi="Arial"/>
        </w:rPr>
        <w:t xml:space="preserve">4. Decommission Savings</w:t>
      </w:r>
    </w:p>
    <w:p>
      <w:pPr>
        <w:spacing w:after="160"/>
      </w:pPr>
      <w:r>
        <w:rPr>
          <w:rFonts w:ascii="Arial" w:cs="Arial" w:eastAsia="Arial" w:hAnsi="Arial"/>
          <w:b w:val="false"/>
          <w:bCs w:val="false"/>
          <w:i w:val="false"/>
          <w:iCs w:val="false"/>
          <w:color w:val="1F2937"/>
          <w:sz w:val="20"/>
          <w:szCs w:val="20"/>
        </w:rPr>
        <w:t xml:space="preserve">The primary financial benefit: retiring legacy systems eliminates their annual running costs.</w:t>
      </w:r>
    </w:p>
    <w:p>
      <w:pPr>
        <w:spacing w:after="80"/>
      </w:pPr>
      <w:r>
        <w:rPr>
          <w:rFonts w:ascii="Arial" w:cs="Arial" w:eastAsia="Arial" w:hAnsi="Arial"/>
          <w:b/>
          <w:bCs/>
          <w:i w:val="false"/>
          <w:iCs w:val="false"/>
          <w:color w:val="1F2937"/>
          <w:sz w:val="20"/>
          <w:szCs w:val="20"/>
        </w:rPr>
        <w:t xml:space="preserve">Formula:</w:t>
      </w:r>
    </w:p>
    <w:p>
      <w:pPr>
        <w:spacing w:after="160"/>
      </w:pPr>
      <w:r>
        <w:rPr>
          <w:rFonts w:ascii="Arial" w:cs="Arial" w:eastAsia="Arial" w:hAnsi="Arial"/>
          <w:b w:val="false"/>
          <w:bCs w:val="false"/>
          <w:i w:val="false"/>
          <w:iCs w:val="false"/>
          <w:color w:val="1F2937"/>
          <w:sz w:val="20"/>
          <w:szCs w:val="20"/>
        </w:rPr>
        <w:t xml:space="preserve">1. User sets decommission target (e.g. 75% of legacy estate)</w:t>
      </w:r>
    </w:p>
    <w:p>
      <w:pPr>
        <w:spacing w:after="160"/>
      </w:pPr>
      <w:r>
        <w:rPr>
          <w:rFonts w:ascii="Arial" w:cs="Arial" w:eastAsia="Arial" w:hAnsi="Arial"/>
          <w:b w:val="false"/>
          <w:bCs w:val="false"/>
          <w:i w:val="false"/>
          <w:iCs w:val="false"/>
          <w:color w:val="1F2937"/>
          <w:sz w:val="20"/>
          <w:szCs w:val="20"/>
        </w:rPr>
        <w:t xml:space="preserve">2. Scenario scales it: rawDecom = totalSystems × decomTarget × scenarioMultiplier</w:t>
      </w:r>
    </w:p>
    <w:p>
      <w:pPr>
        <w:spacing w:after="160"/>
      </w:pPr>
      <w:r>
        <w:rPr>
          <w:rFonts w:ascii="Arial" w:cs="Arial" w:eastAsia="Arial" w:hAnsi="Arial"/>
          <w:b w:val="false"/>
          <w:bCs w:val="false"/>
          <w:i w:val="false"/>
          <w:iCs w:val="false"/>
          <w:color w:val="1F2937"/>
          <w:sz w:val="20"/>
          <w:szCs w:val="20"/>
        </w:rPr>
        <w:t xml:space="preserve">3. Systems retired pro-rata across tiers: entDecom = round(enterprise × decomFraction), etc.</w:t>
      </w:r>
    </w:p>
    <w:p>
      <w:pPr>
        <w:spacing w:after="160"/>
      </w:pPr>
      <w:r>
        <w:rPr>
          <w:rFonts w:ascii="Arial" w:cs="Arial" w:eastAsia="Arial" w:hAnsi="Arial"/>
          <w:b w:val="false"/>
          <w:bCs w:val="false"/>
          <w:i w:val="false"/>
          <w:iCs w:val="false"/>
          <w:color w:val="1F2937"/>
          <w:sz w:val="20"/>
          <w:szCs w:val="20"/>
        </w:rPr>
        <w:t xml:space="preserve">4. decomSave = (entDecom × entCost) + (depDecom × depCost) + (nicDecom × nicCost) + flagshipDecomSave</w:t>
      </w:r>
    </w:p>
    <w:p>
      <w:pPr>
        <w:spacing w:after="160"/>
      </w:pPr>
      <w:r>
        <w:rPr>
          <w:rFonts w:ascii="Arial" w:cs="Arial" w:eastAsia="Arial" w:hAnsi="Arial"/>
          <w:b/>
          <w:bCs/>
          <w:i w:val="false"/>
          <w:iCs w:val="false"/>
          <w:color w:val="1F2937"/>
          <w:sz w:val="20"/>
          <w:szCs w:val="20"/>
        </w:rPr>
        <w:t xml:space="preserve">Decommission target (user input, default 75%): </w:t>
      </w:r>
      <w:r>
        <w:rPr>
          <w:rFonts w:ascii="Arial" w:cs="Arial" w:eastAsia="Arial" w:hAnsi="Arial"/>
          <w:b w:val="false"/>
          <w:bCs w:val="false"/>
          <w:i w:val="false"/>
          <w:iCs w:val="false"/>
          <w:color w:val="1F2937"/>
          <w:sz w:val="20"/>
          <w:szCs w:val="20"/>
        </w:rPr>
        <w:t xml:space="preserve">Most NHS EPR programmes plan to retire 60–80% of legacy systems. Some are retained for long-retention data (e.g. 25-year maternity records) or because they serve functions not covered by the new EPR. In the benchmarked Trust, approximately 8–10 of 42 systems would realistically survive post-migration (core infrastructure, specialist clinical devices, and recently procured platforms), consistent with 75–80% retirement. </w:t>
      </w:r>
      <w:r>
        <w:rPr>
          <w:rFonts w:ascii="Arial" w:cs="Arial" w:eastAsia="Arial" w:hAnsi="Arial"/>
          <w:b w:val="false"/>
          <w:bCs w:val="false"/>
          <w:i/>
          <w:iCs/>
          <w:color w:val="6B7280"/>
          <w:sz w:val="20"/>
          <w:szCs w:val="20"/>
        </w:rPr>
        <w:t xml:space="preserve">Common knowledge / industry consensus from published NHS EPR programme reports.</w:t>
      </w:r>
    </w:p>
    <w:p>
      <w:pPr>
        <w:spacing w:after="160"/>
      </w:pPr>
      <w:r>
        <w:rPr>
          <w:rFonts w:ascii="Arial" w:cs="Arial" w:eastAsia="Arial" w:hAnsi="Arial"/>
          <w:b/>
          <w:bCs/>
          <w:i w:val="false"/>
          <w:iCs w:val="false"/>
          <w:color w:val="1F2937"/>
          <w:sz w:val="20"/>
          <w:szCs w:val="20"/>
        </w:rPr>
        <w:t xml:space="preserve">Pro-rata tier allocation: </w:t>
      </w:r>
      <w:r>
        <w:rPr>
          <w:rFonts w:ascii="Arial" w:cs="Arial" w:eastAsia="Arial" w:hAnsi="Arial"/>
          <w:b w:val="false"/>
          <w:bCs w:val="false"/>
          <w:i w:val="false"/>
          <w:iCs w:val="false"/>
          <w:color w:val="1F2937"/>
          <w:sz w:val="20"/>
          <w:szCs w:val="20"/>
        </w:rPr>
        <w:t xml:space="preserve">The model assumes decommission is spread proportionally across tiers. In practice, standalone systems are often easier to retire first, but the pro-rata approach is conservative and avoids assumptions about sequencing. </w:t>
      </w:r>
      <w:r>
        <w:rPr>
          <w:rFonts w:ascii="Arial" w:cs="Arial" w:eastAsia="Arial" w:hAnsi="Arial"/>
          <w:b w:val="false"/>
          <w:bCs w:val="false"/>
          <w:i/>
          <w:iCs/>
          <w:color w:val="6B7280"/>
          <w:sz w:val="20"/>
          <w:szCs w:val="20"/>
        </w:rPr>
        <w:t xml:space="preserve">Modelled estimate. User can override individual tier counts.</w:t>
      </w:r>
    </w:p>
    <w:p>
      <w:pPr>
        <w:spacing w:after="160"/>
      </w:pPr>
      <w:r>
        <w:rPr>
          <w:rFonts w:ascii="Arial" w:cs="Arial" w:eastAsia="Arial" w:hAnsi="Arial"/>
          <w:b/>
          <w:bCs/>
          <w:i w:val="false"/>
          <w:iCs w:val="false"/>
          <w:color w:val="1F2937"/>
          <w:sz w:val="20"/>
          <w:szCs w:val="20"/>
        </w:rPr>
        <w:t xml:space="preserve">Flagship decommission: </w:t>
      </w:r>
      <w:r>
        <w:rPr>
          <w:rFonts w:ascii="Arial" w:cs="Arial" w:eastAsia="Arial" w:hAnsi="Arial"/>
          <w:b w:val="false"/>
          <w:bCs w:val="false"/>
          <w:i w:val="false"/>
          <w:iCs w:val="false"/>
          <w:color w:val="1F2937"/>
          <w:sz w:val="20"/>
          <w:szCs w:val="20"/>
        </w:rPr>
        <w:t xml:space="preserve">Named high-cost systems flagged as “Retire” are decommissioned in full at their stated contract value, scaled by the scenario decommission multiplier. This allows users to model the exact savings from retiring known expensive platforms without relying on tier averages.</w:t>
      </w:r>
    </w:p>
    <w:p>
      <w:pPr>
        <w:pStyle w:val="Heading1"/>
      </w:pPr>
      <w:r>
        <w:rPr>
          <w:rFonts w:ascii="Arial" w:cs="Arial" w:eastAsia="Arial" w:hAnsi="Arial"/>
        </w:rPr>
        <w:t xml:space="preserve">5. Clinician Time Savings</w:t>
      </w:r>
    </w:p>
    <w:p>
      <w:pPr>
        <w:spacing w:after="160"/>
      </w:pPr>
      <w:r>
        <w:rPr>
          <w:rFonts w:ascii="Arial" w:cs="Arial" w:eastAsia="Arial" w:hAnsi="Arial"/>
          <w:b w:val="false"/>
          <w:bCs w:val="false"/>
          <w:i w:val="false"/>
          <w:iCs w:val="false"/>
          <w:color w:val="1F2937"/>
          <w:sz w:val="20"/>
          <w:szCs w:val="20"/>
        </w:rPr>
        <w:t xml:space="preserve">Time freed when clinicians no longer need to switch between multiple systems or look up records in legacy applications.</w:t>
      </w:r>
    </w:p>
    <w:p>
      <w:pPr>
        <w:pStyle w:val="Heading2"/>
      </w:pPr>
      <w:r>
        <w:rPr>
          <w:rFonts w:ascii="Arial" w:cs="Arial" w:eastAsia="Arial" w:hAnsi="Arial"/>
        </w:rPr>
        <w:t xml:space="preserve">5a. Clinical staff count</w:t>
      </w:r>
    </w:p>
    <w:p>
      <w:pPr>
        <w:spacing w:after="160"/>
      </w:pPr>
      <w:r>
        <w:rPr>
          <w:rFonts w:ascii="Arial" w:cs="Arial" w:eastAsia="Arial" w:hAnsi="Arial"/>
          <w:b/>
          <w:bCs/>
          <w:i w:val="false"/>
          <w:iCs w:val="false"/>
          <w:color w:val="1F2937"/>
          <w:sz w:val="20"/>
          <w:szCs w:val="20"/>
        </w:rPr>
        <w:t xml:space="preserve">Formula: </w:t>
      </w:r>
      <w:r>
        <w:rPr>
          <w:rFonts w:ascii="Arial" w:cs="Arial" w:eastAsia="Arial" w:hAnsi="Arial"/>
          <w:b w:val="false"/>
          <w:bCs w:val="false"/>
          <w:i w:val="false"/>
          <w:iCs w:val="false"/>
          <w:color w:val="1F2937"/>
          <w:sz w:val="20"/>
          <w:szCs w:val="20"/>
        </w:rPr>
        <w:t xml:space="preserve">clinicians = round(beds × 2.8 + orgs × 80)</w:t>
      </w:r>
    </w:p>
    <w:p>
      <w:pPr>
        <w:spacing w:after="160"/>
      </w:pPr>
      <w:r>
        <w:rPr>
          <w:rFonts w:ascii="Arial" w:cs="Arial" w:eastAsia="Arial" w:hAnsi="Arial"/>
          <w:b/>
          <w:bCs/>
          <w:i w:val="false"/>
          <w:iCs w:val="false"/>
          <w:color w:val="1F2937"/>
          <w:sz w:val="20"/>
          <w:szCs w:val="20"/>
        </w:rPr>
        <w:t xml:space="preserve">2.8 clinical staff per bed: </w:t>
      </w:r>
      <w:r>
        <w:rPr>
          <w:rFonts w:ascii="Arial" w:cs="Arial" w:eastAsia="Arial" w:hAnsi="Arial"/>
          <w:b w:val="false"/>
          <w:bCs w:val="false"/>
          <w:i w:val="false"/>
          <w:iCs w:val="false"/>
          <w:color w:val="1F2937"/>
          <w:sz w:val="20"/>
          <w:szCs w:val="20"/>
        </w:rPr>
        <w:t xml:space="preserve">NHS workforce statistics (2023/24) show approximately 2.6–3.0 clinical FTEs per acute bed nationally, including doctors, nurses, AHPs, pharmacists, and other clinicians who interact with clinical systems. The benchmarked Trust at 1,385 beds gives an estimated 3,958 clinical staff under this formula. </w:t>
      </w:r>
      <w:r>
        <w:rPr>
          <w:rFonts w:ascii="Arial" w:cs="Arial" w:eastAsia="Arial" w:hAnsi="Arial"/>
          <w:b w:val="false"/>
          <w:bCs w:val="false"/>
          <w:i/>
          <w:iCs/>
          <w:color w:val="6B7280"/>
          <w:sz w:val="20"/>
          <w:szCs w:val="20"/>
        </w:rPr>
        <w:t xml:space="preserve">Evidence-based; NHS Digital workforce statistics, Lord Carter operational productivity review.</w:t>
      </w:r>
    </w:p>
    <w:p>
      <w:pPr>
        <w:spacing w:after="160"/>
      </w:pPr>
      <w:r>
        <w:rPr>
          <w:rFonts w:ascii="Arial" w:cs="Arial" w:eastAsia="Arial" w:hAnsi="Arial"/>
          <w:b/>
          <w:bCs/>
          <w:i w:val="false"/>
          <w:iCs w:val="false"/>
          <w:color w:val="1F2937"/>
          <w:sz w:val="20"/>
          <w:szCs w:val="20"/>
        </w:rPr>
        <w:t xml:space="preserve">80 per additional organisation: </w:t>
      </w:r>
      <w:r>
        <w:rPr>
          <w:rFonts w:ascii="Arial" w:cs="Arial" w:eastAsia="Arial" w:hAnsi="Arial"/>
          <w:b w:val="false"/>
          <w:bCs w:val="false"/>
          <w:i w:val="false"/>
          <w:iCs w:val="false"/>
          <w:color w:val="1F2937"/>
          <w:sz w:val="20"/>
          <w:szCs w:val="20"/>
        </w:rPr>
        <w:t xml:space="preserve">Multi-org programmes bring additional clinical staff into scope. The +80 per org accounts for corporate clinical staff, IG teams, and clinical informaticists who interact with systems at each organisation. </w:t>
      </w:r>
      <w:r>
        <w:rPr>
          <w:rFonts w:ascii="Arial" w:cs="Arial" w:eastAsia="Arial" w:hAnsi="Arial"/>
          <w:b w:val="false"/>
          <w:bCs w:val="false"/>
          <w:i/>
          <w:iCs/>
          <w:color w:val="6B7280"/>
          <w:sz w:val="20"/>
          <w:szCs w:val="20"/>
        </w:rPr>
        <w:t xml:space="preserve">Modelled estimate based on typical NHS trust corporate clinical establishment.</w:t>
      </w:r>
    </w:p>
    <w:p>
      <w:pPr>
        <w:pStyle w:val="Heading2"/>
      </w:pPr>
      <w:r>
        <w:rPr>
          <w:rFonts w:ascii="Arial" w:cs="Arial" w:eastAsia="Arial" w:hAnsi="Arial"/>
        </w:rPr>
        <w:t xml:space="preserve">5b. Minutes wasted per clinician per week</w:t>
      </w:r>
    </w:p>
    <w:p>
      <w:pPr>
        <w:spacing w:after="160"/>
      </w:pPr>
      <w:r>
        <w:rPr>
          <w:rFonts w:ascii="Arial" w:cs="Arial" w:eastAsia="Arial" w:hAnsi="Arial"/>
          <w:b/>
          <w:bCs/>
          <w:i w:val="false"/>
          <w:iCs w:val="false"/>
          <w:color w:val="1F2937"/>
          <w:sz w:val="20"/>
          <w:szCs w:val="20"/>
        </w:rPr>
        <w:t xml:space="preserve">Formula: </w:t>
      </w:r>
      <w:r>
        <w:rPr>
          <w:rFonts w:ascii="Arial" w:cs="Arial" w:eastAsia="Arial" w:hAnsi="Arial"/>
          <w:b w:val="false"/>
          <w:bCs w:val="false"/>
          <w:i w:val="false"/>
          <w:iCs w:val="false"/>
          <w:color w:val="1F2937"/>
          <w:sz w:val="20"/>
          <w:szCs w:val="20"/>
        </w:rPr>
        <w:t xml:space="preserve">minsWasted = round(baseMin × DQ × CX × (1 + switchPenalty))</w:t>
      </w:r>
    </w:p>
    <w:p>
      <w:pPr>
        <w:spacing w:after="160"/>
      </w:pPr>
      <w:r>
        <w:rPr>
          <w:rFonts w:ascii="Arial" w:cs="Arial" w:eastAsia="Arial" w:hAnsi="Arial"/>
          <w:b/>
          <w:bCs/>
          <w:i w:val="false"/>
          <w:iCs w:val="false"/>
          <w:color w:val="1F2937"/>
          <w:sz w:val="20"/>
          <w:szCs w:val="20"/>
        </w:rPr>
        <w:t xml:space="preserve">Switch penalty: </w:t>
      </w:r>
      <w:r>
        <w:rPr>
          <w:rFonts w:ascii="Arial" w:cs="Arial" w:eastAsia="Arial" w:hAnsi="Arial"/>
          <w:b w:val="false"/>
          <w:bCs w:val="false"/>
          <w:i w:val="false"/>
          <w:iCs w:val="false"/>
          <w:color w:val="1F2937"/>
          <w:sz w:val="20"/>
          <w:szCs w:val="20"/>
        </w:rPr>
        <w:t xml:space="preserve">switchPenalty = max(0, legacySystems – 1) × 0.04</w:t>
      </w:r>
    </w:p>
    <w:p>
      <w:pPr>
        <w:spacing w:after="160"/>
      </w:pPr>
      <w:r>
        <w:rPr>
          <w:rFonts w:ascii="Arial" w:cs="Arial" w:eastAsia="Arial" w:hAnsi="Arial"/>
          <w:b/>
          <w:bCs/>
          <w:i w:val="false"/>
          <w:iCs w:val="false"/>
          <w:color w:val="1F2937"/>
          <w:sz w:val="20"/>
          <w:szCs w:val="20"/>
        </w:rPr>
        <w:t xml:space="preserve">Base minutes (12 min/wk migration path, 5 min/wk archive-only): </w:t>
      </w:r>
      <w:r>
        <w:rPr>
          <w:rFonts w:ascii="Arial" w:cs="Arial" w:eastAsia="Arial" w:hAnsi="Arial"/>
          <w:b w:val="false"/>
          <w:bCs w:val="false"/>
          <w:i w:val="false"/>
          <w:iCs w:val="false"/>
          <w:color w:val="1F2937"/>
          <w:sz w:val="20"/>
          <w:szCs w:val="20"/>
        </w:rPr>
        <w:t xml:space="preserve">The migration path baseline of 12 minutes/week reflects time lost to context-switching between fragmented systems during clinical workflows. Westbrook et al (2010, JAMIA) found nurses interrupted 3–6 times per hour by system-switching. The Nuffield Trust (2020) estimated 15–20 minutes/day of clinician time lost to ‘system navigation’ in fragmented NHS trusts. Our 12 min/week baseline is conservative compared to these published figures because it represents only the reducible portion. Archive-only uses 5 min/week since the primary workflow is already on a single EPR. </w:t>
      </w:r>
      <w:r>
        <w:rPr>
          <w:rFonts w:ascii="Arial" w:cs="Arial" w:eastAsia="Arial" w:hAnsi="Arial"/>
          <w:b w:val="false"/>
          <w:bCs w:val="false"/>
          <w:i/>
          <w:iCs/>
          <w:color w:val="6B7280"/>
          <w:sz w:val="20"/>
          <w:szCs w:val="20"/>
        </w:rPr>
        <w:t xml:space="preserve">Evidence-based; Westbrook et al 2010, Nuffield Trust 2020.</w:t>
      </w:r>
    </w:p>
    <w:p>
      <w:pPr>
        <w:spacing w:after="160"/>
      </w:pPr>
      <w:r>
        <w:rPr>
          <w:rFonts w:ascii="Arial" w:cs="Arial" w:eastAsia="Arial" w:hAnsi="Arial"/>
          <w:b/>
          <w:bCs/>
          <w:i w:val="false"/>
          <w:iCs w:val="false"/>
          <w:color w:val="1F2937"/>
          <w:sz w:val="20"/>
          <w:szCs w:val="20"/>
        </w:rPr>
        <w:t xml:space="preserve">Switch penalty (+4% per additional system): </w:t>
      </w:r>
      <w:r>
        <w:rPr>
          <w:rFonts w:ascii="Arial" w:cs="Arial" w:eastAsia="Arial" w:hAnsi="Arial"/>
          <w:b w:val="false"/>
          <w:bCs w:val="false"/>
          <w:i w:val="false"/>
          <w:iCs w:val="false"/>
          <w:color w:val="1F2937"/>
          <w:sz w:val="20"/>
          <w:szCs w:val="20"/>
        </w:rPr>
        <w:t xml:space="preserve">Each additional legacy system adds cognitive overhead and login friction. The 4% per system is designed to produce a meaningful but non-dominant scaling effect. At 15 systems, this adds ~56% to the base, bringing a 12 min baseline to ~19 min. At 42 systems (as in the benchmarked Trust), it produces ~10 minutes/day wasted per clinician, consistent with published NHS workflow studies. </w:t>
      </w:r>
      <w:r>
        <w:rPr>
          <w:rFonts w:ascii="Arial" w:cs="Arial" w:eastAsia="Arial" w:hAnsi="Arial"/>
          <w:b w:val="false"/>
          <w:bCs w:val="false"/>
          <w:i/>
          <w:iCs/>
          <w:color w:val="6B7280"/>
          <w:sz w:val="20"/>
          <w:szCs w:val="20"/>
        </w:rPr>
        <w:t xml:space="preserve">Modelled estimate; validated against benchmarked estate.</w:t>
      </w:r>
    </w:p>
    <w:p>
      <w:pPr>
        <w:spacing w:after="160"/>
      </w:pPr>
      <w:r>
        <w:rPr>
          <w:rFonts w:ascii="Arial" w:cs="Arial" w:eastAsia="Arial" w:hAnsi="Arial"/>
          <w:b/>
          <w:bCs/>
          <w:i w:val="false"/>
          <w:iCs w:val="false"/>
          <w:color w:val="1F2937"/>
          <w:sz w:val="20"/>
          <w:szCs w:val="20"/>
        </w:rPr>
        <w:t xml:space="preserve">Residual (2 min migration, 1 min archive-only): </w:t>
      </w:r>
      <w:r>
        <w:rPr>
          <w:rFonts w:ascii="Arial" w:cs="Arial" w:eastAsia="Arial" w:hAnsi="Arial"/>
          <w:b w:val="false"/>
          <w:bCs w:val="false"/>
          <w:i w:val="false"/>
          <w:iCs w:val="false"/>
          <w:color w:val="1F2937"/>
          <w:sz w:val="20"/>
          <w:szCs w:val="20"/>
        </w:rPr>
        <w:t xml:space="preserve">Even after full consolidation, some clinician time is spent navigating the new system. The residual is subtracted from wasted minutes to avoid overstating savings. </w:t>
      </w:r>
      <w:r>
        <w:rPr>
          <w:rFonts w:ascii="Arial" w:cs="Arial" w:eastAsia="Arial" w:hAnsi="Arial"/>
          <w:b w:val="false"/>
          <w:bCs w:val="false"/>
          <w:i/>
          <w:iCs/>
          <w:color w:val="6B7280"/>
          <w:sz w:val="20"/>
          <w:szCs w:val="20"/>
        </w:rPr>
        <w:t xml:space="preserve">Modelled estimate.</w:t>
      </w:r>
    </w:p>
    <w:p>
      <w:pPr>
        <w:pStyle w:val="Heading2"/>
      </w:pPr>
      <w:r>
        <w:rPr>
          <w:rFonts w:ascii="Arial" w:cs="Arial" w:eastAsia="Arial" w:hAnsi="Arial"/>
        </w:rPr>
        <w:t xml:space="preserve">5c. Hours saved and capacity value</w:t>
      </w:r>
    </w:p>
    <w:p>
      <w:pPr>
        <w:spacing w:after="160"/>
      </w:pPr>
      <w:r>
        <w:rPr>
          <w:rFonts w:ascii="Arial" w:cs="Arial" w:eastAsia="Arial" w:hAnsi="Arial"/>
          <w:b/>
          <w:bCs/>
          <w:i w:val="false"/>
          <w:iCs w:val="false"/>
          <w:color w:val="1F2937"/>
          <w:sz w:val="20"/>
          <w:szCs w:val="20"/>
        </w:rPr>
        <w:t xml:space="preserve">Formula: </w:t>
      </w:r>
      <w:r>
        <w:rPr>
          <w:rFonts w:ascii="Arial" w:cs="Arial" w:eastAsia="Arial" w:hAnsi="Arial"/>
          <w:b w:val="false"/>
          <w:bCs w:val="false"/>
          <w:i w:val="false"/>
          <w:iCs w:val="false"/>
          <w:color w:val="1F2937"/>
          <w:sz w:val="20"/>
          <w:szCs w:val="20"/>
        </w:rPr>
        <w:t xml:space="preserve">hrsSaved = round(clinicians × max(0, minsWasted – residual) × 48 weeks / 60)</w:t>
      </w:r>
    </w:p>
    <w:p>
      <w:pPr>
        <w:spacing w:after="160"/>
      </w:pPr>
      <w:r>
        <w:rPr>
          <w:rFonts w:ascii="Arial" w:cs="Arial" w:eastAsia="Arial" w:hAnsi="Arial"/>
          <w:b/>
          <w:bCs/>
          <w:i w:val="false"/>
          <w:iCs w:val="false"/>
          <w:color w:val="1F2937"/>
          <w:sz w:val="20"/>
          <w:szCs w:val="20"/>
        </w:rPr>
        <w:t xml:space="preserve">Capacity value: </w:t>
      </w:r>
      <w:r>
        <w:rPr>
          <w:rFonts w:ascii="Arial" w:cs="Arial" w:eastAsia="Arial" w:hAnsi="Arial"/>
          <w:b w:val="false"/>
          <w:bCs w:val="false"/>
          <w:i w:val="false"/>
          <w:iCs w:val="false"/>
          <w:color w:val="1F2937"/>
          <w:sz w:val="20"/>
          <w:szCs w:val="20"/>
        </w:rPr>
        <w:t xml:space="preserve">timeSave = round(hrsSaved × £55/hr × realisationRate)</w:t>
      </w:r>
    </w:p>
    <w:p>
      <w:pPr>
        <w:spacing w:after="160"/>
      </w:pPr>
      <w:r>
        <w:rPr>
          <w:rFonts w:ascii="Arial" w:cs="Arial" w:eastAsia="Arial" w:hAnsi="Arial"/>
          <w:b/>
          <w:bCs/>
          <w:i w:val="false"/>
          <w:iCs w:val="false"/>
          <w:color w:val="1F2937"/>
          <w:sz w:val="20"/>
          <w:szCs w:val="20"/>
        </w:rPr>
        <w:t xml:space="preserve">48 working weeks: </w:t>
      </w:r>
      <w:r>
        <w:rPr>
          <w:rFonts w:ascii="Arial" w:cs="Arial" w:eastAsia="Arial" w:hAnsi="Arial"/>
          <w:b w:val="false"/>
          <w:bCs w:val="false"/>
          <w:i w:val="false"/>
          <w:iCs w:val="false"/>
          <w:color w:val="1F2937"/>
          <w:sz w:val="20"/>
          <w:szCs w:val="20"/>
        </w:rPr>
        <w:t xml:space="preserve">Standard NHS assumption: 52 weeks minus 4 weeks annual leave. </w:t>
      </w:r>
      <w:r>
        <w:rPr>
          <w:rFonts w:ascii="Arial" w:cs="Arial" w:eastAsia="Arial" w:hAnsi="Arial"/>
          <w:b w:val="false"/>
          <w:bCs w:val="false"/>
          <w:i/>
          <w:iCs/>
          <w:color w:val="6B7280"/>
          <w:sz w:val="20"/>
          <w:szCs w:val="20"/>
        </w:rPr>
        <w:t xml:space="preserve">Common knowledge.</w:t>
      </w:r>
    </w:p>
    <w:p>
      <w:pPr>
        <w:spacing w:after="160"/>
      </w:pPr>
      <w:r>
        <w:rPr>
          <w:rFonts w:ascii="Arial" w:cs="Arial" w:eastAsia="Arial" w:hAnsi="Arial"/>
          <w:b/>
          <w:bCs/>
          <w:i w:val="false"/>
          <w:iCs w:val="false"/>
          <w:color w:val="1F2937"/>
          <w:sz w:val="20"/>
          <w:szCs w:val="20"/>
        </w:rPr>
        <w:t xml:space="preserve">£55/hr blended clinical rate: </w:t>
      </w:r>
      <w:r>
        <w:rPr>
          <w:rFonts w:ascii="Arial" w:cs="Arial" w:eastAsia="Arial" w:hAnsi="Arial"/>
          <w:b w:val="false"/>
          <w:bCs w:val="false"/>
          <w:i w:val="false"/>
          <w:iCs w:val="false"/>
          <w:color w:val="1F2937"/>
          <w:sz w:val="20"/>
          <w:szCs w:val="20"/>
        </w:rPr>
        <w:t xml:space="preserve">NHS Agenda for Change mid-band blended rate including on-costs (employer NI, pension). Band 5 nurse all-in ~£40–45/hr, Band 6–7 ~£50–60/hr, junior doctors ~£45–55/hr, consultants ~£80–120/hr. The £55 blended rate weights towards nursing (the largest user group) while including medical staff. </w:t>
      </w:r>
      <w:r>
        <w:rPr>
          <w:rFonts w:ascii="Arial" w:cs="Arial" w:eastAsia="Arial" w:hAnsi="Arial"/>
          <w:b w:val="false"/>
          <w:bCs w:val="false"/>
          <w:i/>
          <w:iCs/>
          <w:color w:val="6B7280"/>
          <w:sz w:val="20"/>
          <w:szCs w:val="20"/>
        </w:rPr>
        <w:t xml:space="preserve">Evidence-based; NHS Employers Agenda for Change pay scales 2024/25.</w:t>
      </w:r>
    </w:p>
    <w:p>
      <w:pPr>
        <w:spacing w:after="160"/>
      </w:pPr>
      <w:r>
        <w:rPr>
          <w:rFonts w:ascii="Arial" w:cs="Arial" w:eastAsia="Arial" w:hAnsi="Arial"/>
          <w:b/>
          <w:bCs/>
          <w:i w:val="false"/>
          <w:iCs w:val="false"/>
          <w:color w:val="1F2937"/>
          <w:sz w:val="20"/>
          <w:szCs w:val="20"/>
        </w:rPr>
        <w:t xml:space="preserve">Realisation rate (20/30/40%): </w:t>
      </w:r>
      <w:r>
        <w:rPr>
          <w:rFonts w:ascii="Arial" w:cs="Arial" w:eastAsia="Arial" w:hAnsi="Arial"/>
          <w:b w:val="false"/>
          <w:bCs w:val="false"/>
          <w:i w:val="false"/>
          <w:iCs w:val="false"/>
          <w:color w:val="1F2937"/>
          <w:sz w:val="20"/>
          <w:szCs w:val="20"/>
        </w:rPr>
        <w:t xml:space="preserve">Not all freed time converts to measurable output. NHS Productive Ward evidence suggests 20–40% of released time is captured as productive capacity. </w:t>
      </w:r>
      <w:r>
        <w:rPr>
          <w:rFonts w:ascii="Arial" w:cs="Arial" w:eastAsia="Arial" w:hAnsi="Arial"/>
          <w:b w:val="false"/>
          <w:bCs w:val="false"/>
          <w:i/>
          <w:iCs/>
          <w:color w:val="6B7280"/>
          <w:sz w:val="20"/>
          <w:szCs w:val="20"/>
        </w:rPr>
        <w:t xml:space="preserve">See Section 1 above. Industry benchmark.</w:t>
      </w:r>
    </w:p>
    <w:p>
      <w:pPr>
        <w:pStyle w:val="Heading1"/>
      </w:pPr>
      <w:r>
        <w:rPr>
          <w:rFonts w:ascii="Arial" w:cs="Arial" w:eastAsia="Arial" w:hAnsi="Arial"/>
        </w:rPr>
        <w:t xml:space="preserve">6. Support Tickets</w:t>
      </w:r>
    </w:p>
    <w:p>
      <w:pPr>
        <w:spacing w:after="160"/>
      </w:pPr>
      <w:r>
        <w:rPr>
          <w:rFonts w:ascii="Arial" w:cs="Arial" w:eastAsia="Arial" w:hAnsi="Arial"/>
          <w:b/>
          <w:bCs/>
          <w:i w:val="false"/>
          <w:iCs w:val="false"/>
          <w:color w:val="1F2937"/>
          <w:sz w:val="20"/>
          <w:szCs w:val="20"/>
        </w:rPr>
        <w:t xml:space="preserve">Baseline formula: </w:t>
      </w:r>
      <w:r>
        <w:rPr>
          <w:rFonts w:ascii="Arial" w:cs="Arial" w:eastAsia="Arial" w:hAnsi="Arial"/>
          <w:b w:val="false"/>
          <w:bCs w:val="false"/>
          <w:i w:val="false"/>
          <w:iCs w:val="false"/>
          <w:color w:val="1F2937"/>
          <w:sz w:val="20"/>
          <w:szCs w:val="20"/>
        </w:rPr>
        <w:t xml:space="preserve">ticketsBaseline = round(legacySystems × 2.5 × DQ)</w:t>
      </w:r>
    </w:p>
    <w:p>
      <w:pPr>
        <w:spacing w:after="160"/>
      </w:pPr>
      <w:r>
        <w:rPr>
          <w:rFonts w:ascii="Arial" w:cs="Arial" w:eastAsia="Arial" w:hAnsi="Arial"/>
          <w:b/>
          <w:bCs/>
          <w:i w:val="false"/>
          <w:iCs w:val="false"/>
          <w:color w:val="1F2937"/>
          <w:sz w:val="20"/>
          <w:szCs w:val="20"/>
        </w:rPr>
        <w:t xml:space="preserve">After formula: </w:t>
      </w:r>
      <w:r>
        <w:rPr>
          <w:rFonts w:ascii="Arial" w:cs="Arial" w:eastAsia="Arial" w:hAnsi="Arial"/>
          <w:b w:val="false"/>
          <w:bCs w:val="false"/>
          <w:i w:val="false"/>
          <w:iCs w:val="false"/>
          <w:color w:val="1F2937"/>
          <w:sz w:val="20"/>
          <w:szCs w:val="20"/>
        </w:rPr>
        <w:t xml:space="preserve">ticketsAfter = min(round((legacySystems – decom) × 2.5 × DQ × 0.6), baseline)</w:t>
      </w:r>
    </w:p>
    <w:p>
      <w:pPr>
        <w:spacing w:after="160"/>
      </w:pPr>
      <w:r>
        <w:rPr>
          <w:rFonts w:ascii="Arial" w:cs="Arial" w:eastAsia="Arial" w:hAnsi="Arial"/>
          <w:b/>
          <w:bCs/>
          <w:i w:val="false"/>
          <w:iCs w:val="false"/>
          <w:color w:val="1F2937"/>
          <w:sz w:val="20"/>
          <w:szCs w:val="20"/>
        </w:rPr>
        <w:t xml:space="preserve">2.5 tickets per system per month: </w:t>
      </w:r>
      <w:r>
        <w:rPr>
          <w:rFonts w:ascii="Arial" w:cs="Arial" w:eastAsia="Arial" w:hAnsi="Arial"/>
          <w:b w:val="false"/>
          <w:bCs w:val="false"/>
          <w:i w:val="false"/>
          <w:iCs w:val="false"/>
          <w:color w:val="1F2937"/>
          <w:sz w:val="20"/>
          <w:szCs w:val="20"/>
        </w:rPr>
        <w:t xml:space="preserve">Typical IT service desk metrics for clinical applications show 2–4 tickets per system per month (password resets, access requests, data queries, interface failures). The 2.5 baseline is </w:t>
      </w:r>
      <w:r>
        <w:rPr>
          <w:rFonts w:ascii="Arial" w:cs="Arial" w:eastAsia="Arial" w:hAnsi="Arial"/>
          <w:b w:val="false"/>
          <w:bCs w:val="false"/>
          <w:i/>
          <w:iCs/>
          <w:color w:val="6B7280"/>
          <w:sz w:val="20"/>
          <w:szCs w:val="20"/>
        </w:rPr>
        <w:t xml:space="preserve">industry benchmark from ITIL service desk reporting in NHS trusts.</w:t>
      </w:r>
    </w:p>
    <w:p>
      <w:pPr>
        <w:spacing w:after="160"/>
      </w:pPr>
      <w:r>
        <w:rPr>
          <w:rFonts w:ascii="Arial" w:cs="Arial" w:eastAsia="Arial" w:hAnsi="Arial"/>
          <w:b/>
          <w:bCs/>
          <w:i w:val="false"/>
          <w:iCs w:val="false"/>
          <w:color w:val="1F2937"/>
          <w:sz w:val="20"/>
          <w:szCs w:val="20"/>
        </w:rPr>
        <w:t xml:space="preserve">0.6 multiplier for surviving systems: </w:t>
      </w:r>
      <w:r>
        <w:rPr>
          <w:rFonts w:ascii="Arial" w:cs="Arial" w:eastAsia="Arial" w:hAnsi="Arial"/>
          <w:b w:val="false"/>
          <w:bCs w:val="false"/>
          <w:i w:val="false"/>
          <w:iCs w:val="false"/>
          <w:color w:val="1F2937"/>
          <w:sz w:val="20"/>
          <w:szCs w:val="20"/>
        </w:rPr>
        <w:t xml:space="preserve">Remaining systems after decommission generate fewer tickets because they’re better supported (consolidated support teams, less interface complexity). The 40% reduction is a </w:t>
      </w:r>
      <w:r>
        <w:rPr>
          <w:rFonts w:ascii="Arial" w:cs="Arial" w:eastAsia="Arial" w:hAnsi="Arial"/>
          <w:b w:val="false"/>
          <w:bCs w:val="false"/>
          <w:i/>
          <w:iCs/>
          <w:color w:val="6B7280"/>
          <w:sz w:val="20"/>
          <w:szCs w:val="20"/>
        </w:rPr>
        <w:t xml:space="preserve">modelled estimate.</w:t>
      </w:r>
    </w:p>
    <w:p>
      <w:pPr>
        <w:pStyle w:val="Heading1"/>
      </w:pPr>
      <w:r>
        <w:rPr>
          <w:rFonts w:ascii="Arial" w:cs="Arial" w:eastAsia="Arial" w:hAnsi="Arial"/>
        </w:rPr>
        <w:t xml:space="preserve">7. Subject Access Request (SAR) Turnaround</w:t>
      </w:r>
    </w:p>
    <w:p>
      <w:pPr>
        <w:spacing w:after="160"/>
      </w:pPr>
      <w:r>
        <w:rPr>
          <w:rFonts w:ascii="Arial" w:cs="Arial" w:eastAsia="Arial" w:hAnsi="Arial"/>
          <w:b/>
          <w:bCs/>
          <w:i w:val="false"/>
          <w:iCs w:val="false"/>
          <w:color w:val="1F2937"/>
          <w:sz w:val="20"/>
          <w:szCs w:val="20"/>
        </w:rPr>
        <w:t xml:space="preserve">Before formula: </w:t>
      </w:r>
      <w:r>
        <w:rPr>
          <w:rFonts w:ascii="Arial" w:cs="Arial" w:eastAsia="Arial" w:hAnsi="Arial"/>
          <w:b w:val="false"/>
          <w:bCs w:val="false"/>
          <w:i w:val="false"/>
          <w:iCs w:val="false"/>
          <w:color w:val="1F2937"/>
          <w:sz w:val="20"/>
          <w:szCs w:val="20"/>
        </w:rPr>
        <w:t xml:space="preserve">sarDaysBefore = round((1.5 + legacySystems × 0.4 × DQ) × 10) / 10</w:t>
      </w:r>
    </w:p>
    <w:p>
      <w:pPr>
        <w:spacing w:after="160"/>
      </w:pPr>
      <w:r>
        <w:rPr>
          <w:rFonts w:ascii="Arial" w:cs="Arial" w:eastAsia="Arial" w:hAnsi="Arial"/>
          <w:b/>
          <w:bCs/>
          <w:i w:val="false"/>
          <w:iCs w:val="false"/>
          <w:color w:val="1F2937"/>
          <w:sz w:val="20"/>
          <w:szCs w:val="20"/>
        </w:rPr>
        <w:t xml:space="preserve">After formula: </w:t>
      </w:r>
      <w:r>
        <w:rPr>
          <w:rFonts w:ascii="Arial" w:cs="Arial" w:eastAsia="Arial" w:hAnsi="Arial"/>
          <w:b w:val="false"/>
          <w:bCs w:val="false"/>
          <w:i w:val="false"/>
          <w:iCs w:val="false"/>
          <w:color w:val="1F2937"/>
          <w:sz w:val="20"/>
          <w:szCs w:val="20"/>
        </w:rPr>
        <w:t xml:space="preserve">sarDaysAfter = min(round((1.5 + (legacySystems – decom) × 0.15) × 10) / 10, sarDaysBefore)</w:t>
      </w:r>
    </w:p>
    <w:p>
      <w:pPr>
        <w:spacing w:after="160"/>
      </w:pPr>
      <w:r>
        <w:rPr>
          <w:rFonts w:ascii="Arial" w:cs="Arial" w:eastAsia="Arial" w:hAnsi="Arial"/>
          <w:b/>
          <w:bCs/>
          <w:i w:val="false"/>
          <w:iCs w:val="false"/>
          <w:color w:val="1F2937"/>
          <w:sz w:val="20"/>
          <w:szCs w:val="20"/>
        </w:rPr>
        <w:t xml:space="preserve">1.5 day base: </w:t>
      </w:r>
      <w:r>
        <w:rPr>
          <w:rFonts w:ascii="Arial" w:cs="Arial" w:eastAsia="Arial" w:hAnsi="Arial"/>
          <w:b w:val="false"/>
          <w:bCs w:val="false"/>
          <w:i w:val="false"/>
          <w:iCs w:val="false"/>
          <w:color w:val="1F2937"/>
          <w:sz w:val="20"/>
          <w:szCs w:val="20"/>
        </w:rPr>
        <w:t xml:space="preserve">Even with a single system, SAR processing requires identification, extraction, review, and redaction. 1–2 days is typical for a well-run IG team. </w:t>
      </w:r>
      <w:r>
        <w:rPr>
          <w:rFonts w:ascii="Arial" w:cs="Arial" w:eastAsia="Arial" w:hAnsi="Arial"/>
          <w:b w:val="false"/>
          <w:bCs w:val="false"/>
          <w:i/>
          <w:iCs/>
          <w:color w:val="6B7280"/>
          <w:sz w:val="20"/>
          <w:szCs w:val="20"/>
        </w:rPr>
        <w:t xml:space="preserve">Industry benchmark.</w:t>
      </w:r>
    </w:p>
    <w:p>
      <w:pPr>
        <w:spacing w:after="160"/>
      </w:pPr>
      <w:r>
        <w:rPr>
          <w:rFonts w:ascii="Arial" w:cs="Arial" w:eastAsia="Arial" w:hAnsi="Arial"/>
          <w:b/>
          <w:bCs/>
          <w:i w:val="false"/>
          <w:iCs w:val="false"/>
          <w:color w:val="1F2937"/>
          <w:sz w:val="20"/>
          <w:szCs w:val="20"/>
        </w:rPr>
        <w:t xml:space="preserve">0.4 days per system (before): </w:t>
      </w:r>
      <w:r>
        <w:rPr>
          <w:rFonts w:ascii="Arial" w:cs="Arial" w:eastAsia="Arial" w:hAnsi="Arial"/>
          <w:b w:val="false"/>
          <w:bCs w:val="false"/>
          <w:i w:val="false"/>
          <w:iCs w:val="false"/>
          <w:color w:val="1F2937"/>
          <w:sz w:val="20"/>
          <w:szCs w:val="20"/>
        </w:rPr>
        <w:t xml:space="preserve">Each additional legacy system adds search time, login overhead, and potentially manual data extraction. ICO guidance requires organisations to search all systems where patient data may be held. At the benchmarked Trust with 42 systems, this produces a baseline of ~18 working days per SAR — consistent with reports from NHS trusts with heavily fragmented estates. </w:t>
      </w:r>
      <w:r>
        <w:rPr>
          <w:rFonts w:ascii="Arial" w:cs="Arial" w:eastAsia="Arial" w:hAnsi="Arial"/>
          <w:b w:val="false"/>
          <w:bCs w:val="false"/>
          <w:i/>
          <w:iCs/>
          <w:color w:val="6B7280"/>
          <w:sz w:val="20"/>
          <w:szCs w:val="20"/>
        </w:rPr>
        <w:t xml:space="preserve">Modelled estimate; consistent with NHS IG team reports. Validated against benchmarked estate.</w:t>
      </w:r>
    </w:p>
    <w:p>
      <w:pPr>
        <w:spacing w:after="160"/>
      </w:pPr>
      <w:r>
        <w:rPr>
          <w:rFonts w:ascii="Arial" w:cs="Arial" w:eastAsia="Arial" w:hAnsi="Arial"/>
          <w:b/>
          <w:bCs/>
          <w:i w:val="false"/>
          <w:iCs w:val="false"/>
          <w:color w:val="1F2937"/>
          <w:sz w:val="20"/>
          <w:szCs w:val="20"/>
        </w:rPr>
        <w:t xml:space="preserve">0.15 days per surviving system (after): </w:t>
      </w:r>
      <w:r>
        <w:rPr>
          <w:rFonts w:ascii="Arial" w:cs="Arial" w:eastAsia="Arial" w:hAnsi="Arial"/>
          <w:b w:val="false"/>
          <w:bCs w:val="false"/>
          <w:i w:val="false"/>
          <w:iCs w:val="false"/>
          <w:color w:val="1F2937"/>
          <w:sz w:val="20"/>
          <w:szCs w:val="20"/>
        </w:rPr>
        <w:t xml:space="preserve">Post-decommission, the remaining systems have consolidated or archived access, reducing per-system SAR overhead. </w:t>
      </w:r>
      <w:r>
        <w:rPr>
          <w:rFonts w:ascii="Arial" w:cs="Arial" w:eastAsia="Arial" w:hAnsi="Arial"/>
          <w:b w:val="false"/>
          <w:bCs w:val="false"/>
          <w:i/>
          <w:iCs/>
          <w:color w:val="6B7280"/>
          <w:sz w:val="20"/>
          <w:szCs w:val="20"/>
        </w:rPr>
        <w:t xml:space="preserve">Modelled estimate.</w:t>
      </w:r>
    </w:p>
    <w:p>
      <w:r>
        <w:br w:type="page"/>
      </w:r>
    </w:p>
    <w:p>
      <w:pPr>
        <w:pStyle w:val="Heading1"/>
      </w:pPr>
      <w:r>
        <w:rPr>
          <w:rFonts w:ascii="Arial" w:cs="Arial" w:eastAsia="Arial" w:hAnsi="Arial"/>
        </w:rPr>
        <w:t xml:space="preserve">8. Clinical Safety Metrics</w:t>
      </w:r>
    </w:p>
    <w:p>
      <w:pPr>
        <w:spacing w:after="160"/>
      </w:pPr>
      <w:r>
        <w:rPr>
          <w:rFonts w:ascii="Arial" w:cs="Arial" w:eastAsia="Arial" w:hAnsi="Arial"/>
          <w:b/>
          <w:bCs/>
          <w:i w:val="false"/>
          <w:iCs w:val="false"/>
          <w:color w:val="1F2937"/>
          <w:sz w:val="20"/>
          <w:szCs w:val="20"/>
        </w:rPr>
        <w:t xml:space="preserve">These are NOT included in the financial ROI total.</w:t>
      </w:r>
      <w:r>
        <w:rPr>
          <w:rFonts w:ascii="Arial" w:cs="Arial" w:eastAsia="Arial" w:hAnsi="Arial"/>
          <w:b w:val="false"/>
          <w:bCs w:val="false"/>
          <w:i w:val="false"/>
          <w:iCs w:val="false"/>
          <w:color w:val="1F2937"/>
          <w:sz w:val="20"/>
          <w:szCs w:val="20"/>
        </w:rPr>
        <w:t xml:space="preserve"> They provide qualitative context for the patient safety case, particularly for the migration pathway.</w:t>
      </w:r>
    </w:p>
    <w:p>
      <w:pPr>
        <w:pStyle w:val="Heading2"/>
      </w:pPr>
      <w:r>
        <w:rPr>
          <w:rFonts w:ascii="Arial" w:cs="Arial" w:eastAsia="Arial" w:hAnsi="Arial"/>
        </w:rPr>
        <w:t xml:space="preserve">8a. Fragmentation multiplier</w:t>
      </w:r>
    </w:p>
    <w:p>
      <w:pPr>
        <w:spacing w:after="160"/>
      </w:pPr>
      <w:r>
        <w:rPr>
          <w:rFonts w:ascii="Arial" w:cs="Arial" w:eastAsia="Arial" w:hAnsi="Arial"/>
          <w:b/>
          <w:bCs/>
          <w:i w:val="false"/>
          <w:iCs w:val="false"/>
          <w:color w:val="1F2937"/>
          <w:sz w:val="20"/>
          <w:szCs w:val="20"/>
        </w:rPr>
        <w:t xml:space="preserve">Formula: </w:t>
      </w:r>
      <w:r>
        <w:rPr>
          <w:rFonts w:ascii="Arial" w:cs="Arial" w:eastAsia="Arial" w:hAnsi="Arial"/>
          <w:b w:val="false"/>
          <w:bCs w:val="false"/>
          <w:i w:val="false"/>
          <w:iCs w:val="false"/>
          <w:color w:val="1F2937"/>
          <w:sz w:val="20"/>
          <w:szCs w:val="20"/>
        </w:rPr>
        <w:t xml:space="preserve">frag = 0.6 + min(legacySystems, 20) / 20 × 0.6</w:t>
      </w:r>
    </w:p>
    <w:p>
      <w:pPr>
        <w:spacing w:after="160"/>
      </w:pPr>
      <w:r>
        <w:rPr>
          <w:rFonts w:ascii="Arial" w:cs="Arial" w:eastAsia="Arial" w:hAnsi="Arial"/>
          <w:b w:val="false"/>
          <w:bCs w:val="false"/>
          <w:i w:val="false"/>
          <w:iCs w:val="false"/>
          <w:color w:val="1F2937"/>
          <w:sz w:val="20"/>
          <w:szCs w:val="20"/>
        </w:rPr>
        <w:t xml:space="preserve">Ranges from 0.6 (single system) to 1.2 (20+ systems). This scales the national per-bed error rates by the degree of system fragmentation. A trust with 20+ systems has roughly double the fragmentation risk of a trust with one. Caps at 20 because additional systems beyond that add diminishing marginal fragmentation. </w:t>
      </w:r>
      <w:r>
        <w:rPr>
          <w:rFonts w:ascii="Arial" w:cs="Arial" w:eastAsia="Arial" w:hAnsi="Arial"/>
          <w:b w:val="false"/>
          <w:bCs w:val="false"/>
          <w:i/>
          <w:iCs/>
          <w:color w:val="6B7280"/>
          <w:sz w:val="20"/>
          <w:szCs w:val="20"/>
        </w:rPr>
        <w:t xml:space="preserve">Modelled estimate; no published fragmentation index exists.</w:t>
      </w:r>
    </w:p>
    <w:p>
      <w:pPr>
        <w:pStyle w:val="Heading2"/>
      </w:pPr>
      <w:r>
        <w:rPr>
          <w:rFonts w:ascii="Arial" w:cs="Arial" w:eastAsia="Arial" w:hAnsi="Arial"/>
        </w:rPr>
        <w:t xml:space="preserve">8b. Medication errors at care transitions</w:t>
      </w:r>
    </w:p>
    <w:p>
      <w:pPr>
        <w:spacing w:after="160"/>
      </w:pPr>
      <w:r>
        <w:rPr>
          <w:rFonts w:ascii="Arial" w:cs="Arial" w:eastAsia="Arial" w:hAnsi="Arial"/>
          <w:b/>
          <w:bCs/>
          <w:i w:val="false"/>
          <w:iCs w:val="false"/>
          <w:color w:val="1F2937"/>
          <w:sz w:val="20"/>
          <w:szCs w:val="20"/>
        </w:rPr>
        <w:t xml:space="preserve">Formula: </w:t>
      </w:r>
      <w:r>
        <w:rPr>
          <w:rFonts w:ascii="Arial" w:cs="Arial" w:eastAsia="Arial" w:hAnsi="Arial"/>
          <w:b w:val="false"/>
          <w:bCs w:val="false"/>
          <w:i w:val="false"/>
          <w:iCs w:val="false"/>
          <w:color w:val="1F2937"/>
          <w:sz w:val="20"/>
          <w:szCs w:val="20"/>
        </w:rPr>
        <w:t xml:space="preserve">medErrorsBaseline = round(beds × 18 × frag × DQ)</w:t>
      </w:r>
    </w:p>
    <w:p>
      <w:pPr>
        <w:spacing w:after="160"/>
      </w:pPr>
      <w:r>
        <w:rPr>
          <w:rFonts w:ascii="Arial" w:cs="Arial" w:eastAsia="Arial" w:hAnsi="Arial"/>
          <w:b/>
          <w:bCs/>
          <w:i w:val="false"/>
          <w:iCs w:val="false"/>
          <w:color w:val="1F2937"/>
          <w:sz w:val="20"/>
          <w:szCs w:val="20"/>
        </w:rPr>
        <w:t xml:space="preserve">18 medication errors per bed per year: </w:t>
      </w:r>
      <w:r>
        <w:rPr>
          <w:rFonts w:ascii="Arial" w:cs="Arial" w:eastAsia="Arial" w:hAnsi="Arial"/>
          <w:b w:val="false"/>
          <w:bCs w:val="false"/>
          <w:i w:val="false"/>
          <w:iCs w:val="false"/>
          <w:color w:val="1F2937"/>
          <w:sz w:val="20"/>
          <w:szCs w:val="20"/>
        </w:rPr>
        <w:t xml:space="preserve">Camacho et al 2024 (BMJ Quality &amp; Safety) reported approximately 1.8 million medication errors at care transitions annually across NHS England. With approximately 100,000 acute beds nationally, this gives ~18 errors per bed per year. </w:t>
      </w:r>
      <w:r>
        <w:rPr>
          <w:rFonts w:ascii="Arial" w:cs="Arial" w:eastAsia="Arial" w:hAnsi="Arial"/>
          <w:b w:val="false"/>
          <w:bCs w:val="false"/>
          <w:i/>
          <w:iCs/>
          <w:color w:val="6B7280"/>
          <w:sz w:val="20"/>
          <w:szCs w:val="20"/>
        </w:rPr>
        <w:t xml:space="preserve">Evidence-based; Camacho et al 2024.</w:t>
      </w:r>
    </w:p>
    <w:p>
      <w:pPr>
        <w:pStyle w:val="Heading2"/>
      </w:pPr>
      <w:r>
        <w:rPr>
          <w:rFonts w:ascii="Arial" w:cs="Arial" w:eastAsia="Arial" w:hAnsi="Arial"/>
        </w:rPr>
        <w:t xml:space="preserve">8c. Patients harmed</w:t>
      </w:r>
    </w:p>
    <w:p>
      <w:pPr>
        <w:spacing w:after="160"/>
      </w:pPr>
      <w:r>
        <w:rPr>
          <w:rFonts w:ascii="Arial" w:cs="Arial" w:eastAsia="Arial" w:hAnsi="Arial"/>
          <w:b/>
          <w:bCs/>
          <w:i w:val="false"/>
          <w:iCs w:val="false"/>
          <w:color w:val="1F2937"/>
          <w:sz w:val="20"/>
          <w:szCs w:val="20"/>
        </w:rPr>
        <w:t xml:space="preserve">Formula: </w:t>
      </w:r>
      <w:r>
        <w:rPr>
          <w:rFonts w:ascii="Arial" w:cs="Arial" w:eastAsia="Arial" w:hAnsi="Arial"/>
          <w:b w:val="false"/>
          <w:bCs w:val="false"/>
          <w:i w:val="false"/>
          <w:iCs w:val="false"/>
          <w:color w:val="1F2937"/>
          <w:sz w:val="20"/>
          <w:szCs w:val="20"/>
        </w:rPr>
        <w:t xml:space="preserve">patientsHarmedBaseline = round(beds × 0.315 × frag × DQ)</w:t>
      </w:r>
    </w:p>
    <w:p>
      <w:pPr>
        <w:spacing w:after="160"/>
      </w:pPr>
      <w:r>
        <w:rPr>
          <w:rFonts w:ascii="Arial" w:cs="Arial" w:eastAsia="Arial" w:hAnsi="Arial"/>
          <w:b/>
          <w:bCs/>
          <w:i w:val="false"/>
          <w:iCs w:val="false"/>
          <w:color w:val="1F2937"/>
          <w:sz w:val="20"/>
          <w:szCs w:val="20"/>
        </w:rPr>
        <w:t xml:space="preserve">0.315 patients harmed per bed per year: </w:t>
      </w:r>
      <w:r>
        <w:rPr>
          <w:rFonts w:ascii="Arial" w:cs="Arial" w:eastAsia="Arial" w:hAnsi="Arial"/>
          <w:b w:val="false"/>
          <w:bCs w:val="false"/>
          <w:i w:val="false"/>
          <w:iCs w:val="false"/>
          <w:color w:val="1F2937"/>
          <w:sz w:val="20"/>
          <w:szCs w:val="20"/>
        </w:rPr>
        <w:t xml:space="preserve">Camacho et al 2024 reported 31,500 patients harmed by medication errors at care transitions annually across ~100,000 acute beds = 0.315 per bed. </w:t>
      </w:r>
      <w:r>
        <w:rPr>
          <w:rFonts w:ascii="Arial" w:cs="Arial" w:eastAsia="Arial" w:hAnsi="Arial"/>
          <w:b w:val="false"/>
          <w:bCs w:val="false"/>
          <w:i/>
          <w:iCs/>
          <w:color w:val="6B7280"/>
          <w:sz w:val="20"/>
          <w:szCs w:val="20"/>
        </w:rPr>
        <w:t xml:space="preserve">Evidence-based; Camacho et al 2024.</w:t>
      </w:r>
    </w:p>
    <w:p>
      <w:pPr>
        <w:pStyle w:val="Heading2"/>
      </w:pPr>
      <w:r>
        <w:rPr>
          <w:rFonts w:ascii="Arial" w:cs="Arial" w:eastAsia="Arial" w:hAnsi="Arial"/>
        </w:rPr>
        <w:t xml:space="preserve">8d. Excess bed days</w:t>
      </w:r>
    </w:p>
    <w:p>
      <w:pPr>
        <w:spacing w:after="160"/>
      </w:pPr>
      <w:r>
        <w:rPr>
          <w:rFonts w:ascii="Arial" w:cs="Arial" w:eastAsia="Arial" w:hAnsi="Arial"/>
          <w:b/>
          <w:bCs/>
          <w:i w:val="false"/>
          <w:iCs w:val="false"/>
          <w:color w:val="1F2937"/>
          <w:sz w:val="20"/>
          <w:szCs w:val="20"/>
        </w:rPr>
        <w:t xml:space="preserve">Formula: </w:t>
      </w:r>
      <w:r>
        <w:rPr>
          <w:rFonts w:ascii="Arial" w:cs="Arial" w:eastAsia="Arial" w:hAnsi="Arial"/>
          <w:b w:val="false"/>
          <w:bCs w:val="false"/>
          <w:i w:val="false"/>
          <w:iCs w:val="false"/>
          <w:color w:val="1F2937"/>
          <w:sz w:val="20"/>
          <w:szCs w:val="20"/>
        </w:rPr>
        <w:t xml:space="preserve">excessBedDays = round(beds × 0.365 × frag × DQ)</w:t>
      </w:r>
    </w:p>
    <w:p>
      <w:pPr>
        <w:spacing w:after="160"/>
      </w:pPr>
      <w:r>
        <w:rPr>
          <w:rFonts w:ascii="Arial" w:cs="Arial" w:eastAsia="Arial" w:hAnsi="Arial"/>
          <w:b/>
          <w:bCs/>
          <w:i w:val="false"/>
          <w:iCs w:val="false"/>
          <w:color w:val="1F2937"/>
          <w:sz w:val="20"/>
          <w:szCs w:val="20"/>
        </w:rPr>
        <w:t xml:space="preserve">0.365 excess bed days per bed per year: </w:t>
      </w:r>
      <w:r>
        <w:rPr>
          <w:rFonts w:ascii="Arial" w:cs="Arial" w:eastAsia="Arial" w:hAnsi="Arial"/>
          <w:b w:val="false"/>
          <w:bCs w:val="false"/>
          <w:i w:val="false"/>
          <w:iCs w:val="false"/>
          <w:color w:val="1F2937"/>
          <w:sz w:val="20"/>
          <w:szCs w:val="20"/>
        </w:rPr>
        <w:t xml:space="preserve">Camacho et al 2024 reported 36,500 excess bed days from medication error adverse events annually across ~100,000 acute beds = 0.365 per bed. </w:t>
      </w:r>
      <w:r>
        <w:rPr>
          <w:rFonts w:ascii="Arial" w:cs="Arial" w:eastAsia="Arial" w:hAnsi="Arial"/>
          <w:b w:val="false"/>
          <w:bCs w:val="false"/>
          <w:i/>
          <w:iCs/>
          <w:color w:val="6B7280"/>
          <w:sz w:val="20"/>
          <w:szCs w:val="20"/>
        </w:rPr>
        <w:t xml:space="preserve">Evidence-based; Camacho et al 2024.</w:t>
      </w:r>
    </w:p>
    <w:p>
      <w:pPr>
        <w:pStyle w:val="Heading2"/>
      </w:pPr>
      <w:r>
        <w:rPr>
          <w:rFonts w:ascii="Arial" w:cs="Arial" w:eastAsia="Arial" w:hAnsi="Arial"/>
        </w:rPr>
        <w:t xml:space="preserve">8e. Avoidable proportion</w:t>
      </w:r>
    </w:p>
    <w:p>
      <w:pPr>
        <w:spacing w:after="160"/>
      </w:pPr>
      <w:r>
        <w:rPr>
          <w:rFonts w:ascii="Arial" w:cs="Arial" w:eastAsia="Arial" w:hAnsi="Arial"/>
          <w:b/>
          <w:bCs/>
          <w:i w:val="false"/>
          <w:iCs w:val="false"/>
          <w:color w:val="1F2937"/>
          <w:sz w:val="20"/>
          <w:szCs w:val="20"/>
        </w:rPr>
        <w:t xml:space="preserve">Formula: </w:t>
      </w:r>
      <w:r>
        <w:rPr>
          <w:rFonts w:ascii="Arial" w:cs="Arial" w:eastAsia="Arial" w:hAnsi="Arial"/>
          <w:b w:val="false"/>
          <w:bCs w:val="false"/>
          <w:i w:val="false"/>
          <w:iCs w:val="false"/>
          <w:color w:val="1F2937"/>
          <w:sz w:val="20"/>
          <w:szCs w:val="20"/>
        </w:rPr>
        <w:t xml:space="preserve">avoided = round(baseline × safetyScenario)</w:t>
      </w:r>
    </w:p>
    <w:p>
      <w:pPr>
        <w:spacing w:after="160"/>
      </w:pPr>
      <w:r>
        <w:rPr>
          <w:rFonts w:ascii="Arial" w:cs="Arial" w:eastAsia="Arial" w:hAnsi="Arial"/>
          <w:b w:val="false"/>
          <w:bCs w:val="false"/>
          <w:i w:val="false"/>
          <w:iCs w:val="false"/>
          <w:color w:val="1F2937"/>
          <w:sz w:val="20"/>
          <w:szCs w:val="20"/>
        </w:rPr>
        <w:t xml:space="preserve">The scenario safety percentages (15/25/35%) are applied to baselines to estimate the avoidable fraction. See Section 1 for evidence base.</w:t>
      </w:r>
    </w:p>
    <w:p>
      <w:pPr>
        <w:pStyle w:val="Heading1"/>
      </w:pPr>
      <w:r>
        <w:rPr>
          <w:rFonts w:ascii="Arial" w:cs="Arial" w:eastAsia="Arial" w:hAnsi="Arial"/>
        </w:rPr>
        <w:t xml:space="preserve">9. Clinical Negligence / Litigation Context</w:t>
      </w:r>
    </w:p>
    <w:p>
      <w:pPr>
        <w:spacing w:after="160"/>
      </w:pPr>
      <w:r>
        <w:rPr>
          <w:rFonts w:ascii="Arial" w:cs="Arial" w:eastAsia="Arial" w:hAnsi="Arial"/>
          <w:b w:val="false"/>
          <w:bCs w:val="false"/>
          <w:i w:val="false"/>
          <w:iCs w:val="false"/>
          <w:color w:val="1F2937"/>
          <w:sz w:val="20"/>
          <w:szCs w:val="20"/>
        </w:rPr>
        <w:t xml:space="preserve">Presented as qualitative context only. No per-trust figure is fabricated.</w:t>
      </w:r>
    </w:p>
    <w:p>
      <w:pPr>
        <w:spacing w:after="160"/>
      </w:pPr>
      <w:r>
        <w:rPr>
          <w:rFonts w:ascii="Arial" w:cs="Arial" w:eastAsia="Arial" w:hAnsi="Arial"/>
          <w:b/>
          <w:bCs/>
          <w:i w:val="false"/>
          <w:iCs w:val="false"/>
          <w:color w:val="1F2937"/>
          <w:sz w:val="20"/>
          <w:szCs w:val="20"/>
        </w:rPr>
        <w:t xml:space="preserve">£3.6bn/yr in clinical negligence settlements: </w:t>
      </w:r>
      <w:r>
        <w:rPr>
          <w:rFonts w:ascii="Arial" w:cs="Arial" w:eastAsia="Arial" w:hAnsi="Arial"/>
          <w:b w:val="false"/>
          <w:bCs w:val="false"/>
          <w:i w:val="false"/>
          <w:iCs w:val="false"/>
          <w:color w:val="1F2937"/>
          <w:sz w:val="20"/>
          <w:szCs w:val="20"/>
        </w:rPr>
        <w:t xml:space="preserve">National Audit Office, ‘Costs of clinical negligence’, October 2025. This is the annual payment figure for NHS Resolution settling clinical negligence claims. </w:t>
      </w:r>
      <w:r>
        <w:rPr>
          <w:rFonts w:ascii="Arial" w:cs="Arial" w:eastAsia="Arial" w:hAnsi="Arial"/>
          <w:b w:val="false"/>
          <w:bCs w:val="false"/>
          <w:i/>
          <w:iCs/>
          <w:color w:val="6B7280"/>
          <w:sz w:val="20"/>
          <w:szCs w:val="20"/>
        </w:rPr>
        <w:t xml:space="preserve">Evidence-based; NAO report October 2025.</w:t>
      </w:r>
    </w:p>
    <w:p>
      <w:pPr>
        <w:spacing w:after="160"/>
      </w:pPr>
      <w:r>
        <w:rPr>
          <w:rFonts w:ascii="Arial" w:cs="Arial" w:eastAsia="Arial" w:hAnsi="Arial"/>
          <w:b/>
          <w:bCs/>
          <w:i w:val="false"/>
          <w:iCs w:val="false"/>
          <w:color w:val="1F2937"/>
          <w:sz w:val="20"/>
          <w:szCs w:val="20"/>
        </w:rPr>
        <w:t xml:space="preserve">£60bn total provision: </w:t>
      </w:r>
      <w:r>
        <w:rPr>
          <w:rFonts w:ascii="Arial" w:cs="Arial" w:eastAsia="Arial" w:hAnsi="Arial"/>
          <w:b w:val="false"/>
          <w:bCs w:val="false"/>
          <w:i w:val="false"/>
          <w:iCs w:val="false"/>
          <w:color w:val="1F2937"/>
          <w:sz w:val="20"/>
          <w:szCs w:val="20"/>
        </w:rPr>
        <w:t xml:space="preserve">The cumulative provision (money set aside for future claims) as reported by NHS Resolution Annual Report 2024/25. </w:t>
      </w:r>
      <w:r>
        <w:rPr>
          <w:rFonts w:ascii="Arial" w:cs="Arial" w:eastAsia="Arial" w:hAnsi="Arial"/>
          <w:b w:val="false"/>
          <w:bCs w:val="false"/>
          <w:i/>
          <w:iCs/>
          <w:color w:val="6B7280"/>
          <w:sz w:val="20"/>
          <w:szCs w:val="20"/>
        </w:rPr>
        <w:t xml:space="preserve">Evidence-based.</w:t>
      </w:r>
    </w:p>
    <w:p>
      <w:pPr>
        <w:spacing w:after="160"/>
      </w:pPr>
      <w:r>
        <w:rPr>
          <w:rFonts w:ascii="Arial" w:cs="Arial" w:eastAsia="Arial" w:hAnsi="Arial"/>
          <w:b/>
          <w:bCs/>
          <w:i w:val="false"/>
          <w:iCs w:val="false"/>
          <w:color w:val="1F2937"/>
          <w:sz w:val="20"/>
          <w:szCs w:val="20"/>
        </w:rPr>
        <w:t xml:space="preserve">CNST contributions influenced by claims history: </w:t>
      </w:r>
      <w:r>
        <w:rPr>
          <w:rFonts w:ascii="Arial" w:cs="Arial" w:eastAsia="Arial" w:hAnsi="Arial"/>
          <w:b w:val="false"/>
          <w:bCs w:val="false"/>
          <w:i w:val="false"/>
          <w:iCs w:val="false"/>
          <w:color w:val="1F2937"/>
          <w:sz w:val="20"/>
          <w:szCs w:val="20"/>
        </w:rPr>
        <w:t xml:space="preserve">NHS trusts pay Clinical Negligence Scheme for Trusts (CNST) contributions annually, calculated based on trust type, specialties, clinical staff numbers, and importantly claims history. The average contribution is approximately £15m/yr per trust, heavily skewed by obstetrics (~60% of total cost). </w:t>
      </w:r>
      <w:r>
        <w:rPr>
          <w:rFonts w:ascii="Arial" w:cs="Arial" w:eastAsia="Arial" w:hAnsi="Arial"/>
          <w:b w:val="false"/>
          <w:bCs w:val="false"/>
          <w:i/>
          <w:iCs/>
          <w:color w:val="6B7280"/>
          <w:sz w:val="20"/>
          <w:szCs w:val="20"/>
        </w:rPr>
        <w:t xml:space="preserve">Evidence-based; NHS Resolution annual reports.</w:t>
      </w:r>
    </w:p>
    <w:p>
      <w:pPr>
        <w:spacing w:after="160"/>
      </w:pPr>
      <w:r>
        <w:rPr>
          <w:rFonts w:ascii="Arial" w:cs="Arial" w:eastAsia="Arial" w:hAnsi="Arial"/>
          <w:b/>
          <w:bCs/>
          <w:i w:val="false"/>
          <w:iCs w:val="false"/>
          <w:color w:val="1F2937"/>
          <w:sz w:val="20"/>
          <w:szCs w:val="20"/>
        </w:rPr>
        <w:t xml:space="preserve">Why no per-trust savings figure? </w:t>
      </w:r>
      <w:r>
        <w:rPr>
          <w:rFonts w:ascii="Arial" w:cs="Arial" w:eastAsia="Arial" w:hAnsi="Arial"/>
          <w:b w:val="false"/>
          <w:bCs w:val="false"/>
          <w:i w:val="false"/>
          <w:iCs w:val="false"/>
          <w:color w:val="1F2937"/>
          <w:sz w:val="20"/>
          <w:szCs w:val="20"/>
        </w:rPr>
        <w:t xml:space="preserve">The relationship between medication error reduction and CNST premium reduction is real but not directly quantifiable at trust level. CNST uses a pay-as-you-go model with complex actuarial calculations. We state the national context and the mechanism (fewer errors = fewer claims = lower premiums) without fabricating a specific pound figure. This is a deliberate design choice to maintain credibility.</w:t>
      </w:r>
    </w:p>
    <w:p>
      <w:pPr>
        <w:pStyle w:val="Heading1"/>
      </w:pPr>
      <w:r>
        <w:rPr>
          <w:rFonts w:ascii="Arial" w:cs="Arial" w:eastAsia="Arial" w:hAnsi="Arial"/>
        </w:rPr>
        <w:t xml:space="preserve">10. Total ROI Calculation</w:t>
      </w:r>
    </w:p>
    <w:p>
      <w:pPr>
        <w:spacing w:after="160"/>
      </w:pPr>
      <w:r>
        <w:rPr>
          <w:rFonts w:ascii="Arial" w:cs="Arial" w:eastAsia="Arial" w:hAnsi="Arial"/>
          <w:b/>
          <w:bCs/>
          <w:i w:val="false"/>
          <w:iCs w:val="false"/>
          <w:color w:val="1F2937"/>
          <w:sz w:val="20"/>
          <w:szCs w:val="20"/>
        </w:rPr>
        <w:t xml:space="preserve">Annual savings: </w:t>
      </w:r>
      <w:r>
        <w:rPr>
          <w:rFonts w:ascii="Arial" w:cs="Arial" w:eastAsia="Arial" w:hAnsi="Arial"/>
          <w:b w:val="false"/>
          <w:bCs w:val="false"/>
          <w:i w:val="false"/>
          <w:iCs w:val="false"/>
          <w:color w:val="1F2937"/>
          <w:sz w:val="20"/>
          <w:szCs w:val="20"/>
        </w:rPr>
        <w:t xml:space="preserve">annual = decomSave + timeSave</w:t>
      </w:r>
    </w:p>
    <w:p>
      <w:pPr>
        <w:spacing w:after="160"/>
      </w:pPr>
      <w:r>
        <w:rPr>
          <w:rFonts w:ascii="Arial" w:cs="Arial" w:eastAsia="Arial" w:hAnsi="Arial"/>
          <w:b/>
          <w:bCs/>
          <w:i w:val="false"/>
          <w:iCs w:val="false"/>
          <w:color w:val="1F2937"/>
          <w:sz w:val="20"/>
          <w:szCs w:val="20"/>
        </w:rPr>
        <w:t xml:space="preserve">3-year total: </w:t>
      </w:r>
      <w:r>
        <w:rPr>
          <w:rFonts w:ascii="Arial" w:cs="Arial" w:eastAsia="Arial" w:hAnsi="Arial"/>
          <w:b w:val="false"/>
          <w:bCs w:val="false"/>
          <w:i w:val="false"/>
          <w:iCs w:val="false"/>
          <w:color w:val="1F2937"/>
          <w:sz w:val="20"/>
          <w:szCs w:val="20"/>
        </w:rPr>
        <w:t xml:space="preserve">total3 = annual × 3</w:t>
      </w:r>
    </w:p>
    <w:p>
      <w:pPr>
        <w:spacing w:after="160"/>
      </w:pPr>
      <w:r>
        <w:rPr>
          <w:rFonts w:ascii="Arial" w:cs="Arial" w:eastAsia="Arial" w:hAnsi="Arial"/>
          <w:b w:val="false"/>
          <w:bCs w:val="false"/>
          <w:i w:val="false"/>
          <w:iCs w:val="false"/>
          <w:color w:val="1F2937"/>
          <w:sz w:val="20"/>
          <w:szCs w:val="20"/>
        </w:rPr>
        <w:t xml:space="preserve">The model assumes recurring annual savings with no degradation over 3 years. In practice, some savings may increase over time (as more systems are decommissioned in year 2–3) while others may decrease (as the easy wins are captured first). The flat 3× multiplier is a simplifying assumption that balances these effects.</w:t>
      </w:r>
    </w:p>
    <w:p>
      <w:pPr>
        <w:spacing w:after="160"/>
      </w:pPr>
      <w:r>
        <w:rPr>
          <w:rFonts w:ascii="Arial" w:cs="Arial" w:eastAsia="Arial" w:hAnsi="Arial"/>
          <w:b/>
          <w:bCs/>
          <w:i w:val="false"/>
          <w:iCs w:val="false"/>
          <w:color w:val="1F2937"/>
          <w:sz w:val="20"/>
          <w:szCs w:val="20"/>
        </w:rPr>
        <w:t xml:space="preserve">The model deliberately excludes:</w:t>
      </w:r>
    </w:p>
    <w:p>
      <w:pPr>
        <w:spacing w:after="160"/>
      </w:pPr>
      <w:r>
        <w:rPr>
          <w:rFonts w:ascii="Arial" w:cs="Arial" w:eastAsia="Arial" w:hAnsi="Arial"/>
          <w:b w:val="false"/>
          <w:bCs w:val="false"/>
          <w:i w:val="false"/>
          <w:iCs w:val="false"/>
          <w:color w:val="1F2937"/>
          <w:sz w:val="20"/>
          <w:szCs w:val="20"/>
        </w:rPr>
        <w:t xml:space="preserve">Implementation costs (these vary enormously and are typically covered in the main business case), parallel-run costs (removed per SME feedback; too variable to model reliably), data migration costs (part of the programme budget, not recurring), clinical safety in financial terms (kept qualitative to maintain credibility), and CNST premium reductions (mechanism is real but not directly quantifiable per trust).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4146" w:sz="4"/>
              <w:left w:val="single" w:color="0F4146" w:sz="4"/>
              <w:bottom w:val="none" w:sz="0"/>
              <w:right w:val="none" w:sz="0"/>
            </w:tcBorders>
            <w:shd w:fill="E8FAF6" w:val="clear"/>
            <w:tcMar>
              <w:top w:type="dxa" w:w="200"/>
              <w:left w:type="dxa" w:w="240"/>
              <w:bottom w:type="dxa" w:w="200"/>
              <w:right w:type="dxa" w:w="240"/>
            </w:tcMar>
          </w:tcPr>
          <w:p>
            <w:pPr>
              <w:spacing w:after="100"/>
            </w:pPr>
            <w:r>
              <w:rPr>
                <w:rFonts w:ascii="Arial" w:cs="Arial" w:eastAsia="Arial" w:hAnsi="Arial"/>
                <w:b/>
                <w:bCs/>
                <w:color w:val="0F4146"/>
                <w:sz w:val="22"/>
                <w:szCs w:val="22"/>
              </w:rPr>
              <w:t xml:space="preserve">Validation against real-world data</w:t>
            </w:r>
          </w:p>
          <w:p>
            <w:pPr>
              <w:spacing w:after="0"/>
            </w:pPr>
            <w:r>
              <w:rPr>
                <w:rFonts w:ascii="Arial" w:cs="Arial" w:eastAsia="Arial" w:hAnsi="Arial"/>
                <w:color w:val="374151"/>
                <w:sz w:val="20"/>
                <w:szCs w:val="20"/>
              </w:rPr>
              <w:t xml:space="preserve">Using the benchmarked Trust’s actual tier averages (3E @ £3.6m, 15D @ £641k, 24S @ £66k) with 1,385 beds, HIGH complexity, and MIXED data quality, the three scenarios produce: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2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Decom Savings</w:t>
            </w:r>
          </w:p>
        </w:tc>
        <w:tc>
          <w:tcPr>
            <w:tcW w:type="dxa" w:w="22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Savings</w:t>
            </w:r>
          </w:p>
        </w:tc>
        <w:tc>
          <w:tcPr>
            <w:tcW w:type="dxa" w:w="2426"/>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Total</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Conservative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£13.2m</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£596k</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bCs/>
                <w:i w:val="false"/>
                <w:iCs w:val="false"/>
                <w:color w:val="1F2937"/>
                <w:sz w:val="20"/>
                <w:szCs w:val="20"/>
              </w:rPr>
              <w:t xml:space="preserve">£13.7m</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1F2937"/>
                <w:sz w:val="20"/>
                <w:szCs w:val="20"/>
              </w:rPr>
              <w:t xml:space="preserve">Expected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£15.5m</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£907k</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bCs/>
                <w:i w:val="false"/>
                <w:iCs w:val="false"/>
                <w:color w:val="0F7B5F"/>
                <w:sz w:val="20"/>
                <w:szCs w:val="20"/>
              </w:rPr>
              <w:t xml:space="preserve">£16.4m</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Stretch</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£17.0m</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£1.2m</w:t>
            </w:r>
          </w:p>
        </w:tc>
        <w:tc>
          <w:tcPr>
            <w:tcW w:type="dxa" w:w="24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bCs/>
                <w:i w:val="false"/>
                <w:iCs w:val="false"/>
                <w:color w:val="1F2937"/>
                <w:sz w:val="20"/>
                <w:szCs w:val="20"/>
              </w:rPr>
              <w:t xml:space="preserve">£18.2m</w:t>
            </w:r>
          </w:p>
        </w:tc>
      </w:tr>
    </w:tbl>
    <w:p>
      <w:pPr>
        <w:spacing w:after="80"/>
      </w:pPr>
    </w:p>
    <w:p>
      <w:pPr>
        <w:spacing w:after="160"/>
      </w:pPr>
      <w:r>
        <w:rPr>
          <w:rFonts w:ascii="Arial" w:cs="Arial" w:eastAsia="Arial" w:hAnsi="Arial"/>
          <w:b w:val="false"/>
          <w:bCs w:val="false"/>
          <w:i/>
          <w:iCs/>
          <w:color w:val="6B7280"/>
          <w:sz w:val="20"/>
          <w:szCs w:val="20"/>
        </w:rPr>
        <w:t xml:space="preserve">The Trust’s independently stated estimate of £16m/yr falls between Conservative and Expected, confirming the scenario corridor brackets real-world figures appropriately. The Expected scenario lands within 2.5% of the stated target.</w:t>
      </w:r>
    </w:p>
    <w:p>
      <w:pPr>
        <w:pStyle w:val="Heading1"/>
      </w:pPr>
      <w:r>
        <w:rPr>
          <w:rFonts w:ascii="Arial" w:cs="Arial" w:eastAsia="Arial" w:hAnsi="Arial"/>
        </w:rPr>
        <w:t xml:space="preserve">11. Preset Configurations</w:t>
      </w:r>
    </w:p>
    <w:p>
      <w:pPr>
        <w:spacing w:after="160"/>
      </w:pPr>
      <w:r>
        <w:rPr>
          <w:rFonts w:ascii="Arial" w:cs="Arial" w:eastAsia="Arial" w:hAnsi="Arial"/>
          <w:b w:val="false"/>
          <w:bCs w:val="false"/>
          <w:i w:val="false"/>
          <w:iCs w:val="false"/>
          <w:color w:val="1F2937"/>
          <w:sz w:val="20"/>
          <w:szCs w:val="20"/>
        </w:rPr>
        <w:t xml:space="preserve">Four quick-start templates represent common NHS programme shapes.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400"/>
        <w:gridCol w:w="1200"/>
        <w:gridCol w:w="1000"/>
        <w:gridCol w:w="1426"/>
      </w:tblGrid>
      <w:tr>
        <w:tc>
          <w:tcPr>
            <w:tcW w:type="dxa" w:w="22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Preset</w:t>
            </w:r>
          </w:p>
        </w:tc>
        <w:tc>
          <w:tcPr>
            <w:tcW w:type="dxa" w:w="9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Beds</w:t>
            </w:r>
          </w:p>
        </w:tc>
        <w:tc>
          <w:tcPr>
            <w:tcW w:type="dxa" w:w="9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Orgs</w:t>
            </w:r>
          </w:p>
        </w:tc>
        <w:tc>
          <w:tcPr>
            <w:tcW w:type="dxa" w:w="14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Enterprise</w:t>
            </w:r>
          </w:p>
        </w:tc>
        <w:tc>
          <w:tcPr>
            <w:tcW w:type="dxa" w:w="12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Dept.</w:t>
            </w:r>
          </w:p>
        </w:tc>
        <w:tc>
          <w:tcPr>
            <w:tcW w:type="dxa" w:w="10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Niche</w:t>
            </w:r>
          </w:p>
        </w:tc>
        <w:tc>
          <w:tcPr>
            <w:tcW w:type="dxa" w:w="1426"/>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Journey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Specialist / Smaller</w:t>
            </w:r>
          </w:p>
        </w:tc>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250</w:t>
            </w:r>
          </w:p>
        </w:tc>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0</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3</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5</w:t>
            </w:r>
          </w:p>
        </w:tc>
        <w:tc>
          <w:tcPr>
            <w:tcW w:type="dxa" w:w="14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Have EPR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Typical Acute</w:t>
            </w:r>
          </w:p>
        </w:tc>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800</w:t>
            </w:r>
          </w:p>
        </w:tc>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5</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9</w:t>
            </w:r>
          </w:p>
        </w:tc>
        <w:tc>
          <w:tcPr>
            <w:tcW w:type="dxa" w:w="14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Evaluating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Large Acute</w:t>
            </w:r>
          </w:p>
        </w:tc>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1,400</w:t>
            </w:r>
          </w:p>
        </w:tc>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2</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8</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15</w:t>
            </w:r>
          </w:p>
        </w:tc>
        <w:tc>
          <w:tcPr>
            <w:tcW w:type="dxa" w:w="14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Evaluating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20"/>
                <w:szCs w:val="20"/>
              </w:rPr>
              <w:t xml:space="preserve">Regional / Multi-Trust</w:t>
            </w:r>
          </w:p>
        </w:tc>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3,500</w:t>
            </w:r>
          </w:p>
        </w:tc>
        <w:tc>
          <w:tcPr>
            <w:tcW w:type="dxa" w:w="9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4</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5</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22</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F2937"/>
                <w:sz w:val="20"/>
                <w:szCs w:val="20"/>
              </w:rPr>
              <w:t xml:space="preserve">45</w:t>
            </w:r>
          </w:p>
        </w:tc>
        <w:tc>
          <w:tcPr>
            <w:tcW w:type="dxa" w:w="14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Evaluating</w:t>
            </w:r>
          </w:p>
        </w:tc>
      </w:tr>
    </w:tbl>
    <w:p>
      <w:pPr>
        <w:spacing w:after="80"/>
      </w:pPr>
    </w:p>
    <w:p>
      <w:pPr>
        <w:spacing w:after="160"/>
      </w:pPr>
      <w:r>
        <w:rPr>
          <w:rFonts w:ascii="Arial" w:cs="Arial" w:eastAsia="Arial" w:hAnsi="Arial"/>
          <w:b w:val="false"/>
          <w:bCs w:val="false"/>
          <w:i w:val="false"/>
          <w:iCs w:val="false"/>
          <w:color w:val="1F2937"/>
          <w:sz w:val="20"/>
          <w:szCs w:val="20"/>
        </w:rPr>
        <w:t xml:space="preserve">Preset bed counts, org counts, and system tier distributions are based on typical NHS trust profiles as observed across RLDatix’s 1,000+ migration programme experience. The benchmarked Trust’s actual profile (1,385 beds, 1 org, 3E/15D/24S) falls between the Large Acute (2E/8D/15S) and Regional presets, consistent with its status as a merged dual-site trust. The Regional preset uses a 70% decommission target (vs 75% for single trusts) reflecting the additional complexity of cross-organisational decommission programmes.</w:t>
      </w:r>
    </w:p>
    <w:p>
      <w:r>
        <w:br w:type="page"/>
      </w:r>
    </w:p>
    <w:p>
      <w:pPr>
        <w:pStyle w:val="Heading1"/>
      </w:pPr>
      <w:r>
        <w:rPr>
          <w:rFonts w:ascii="Arial" w:cs="Arial" w:eastAsia="Arial" w:hAnsi="Arial"/>
        </w:rPr>
        <w:t xml:space="preserve">12. Evidence Classification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Assumption</w:t>
            </w:r>
          </w:p>
        </w:tc>
        <w:tc>
          <w:tcPr>
            <w:tcW w:type="dxa" w:w="1800"/>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Classification</w:t>
            </w:r>
          </w:p>
        </w:tc>
        <w:tc>
          <w:tcPr>
            <w:tcW w:type="dxa" w:w="4026"/>
            <w:tcBorders>
              <w:top w:val="single" w:color="D0D5DD" w:sz="1"/>
              <w:left w:val="single" w:color="D0D5DD" w:sz="1"/>
              <w:bottom w:val="single" w:color="D0D5DD" w:sz="1"/>
              <w:right w:val="single" w:color="D0D5DD" w:sz="1"/>
            </w:tcBorders>
            <w:shd w:fill="0F414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source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18 med errors/bed/yr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0F7B5F"/>
                <w:sz w:val="18"/>
                <w:szCs w:val="18"/>
              </w:rPr>
              <w:t xml:space="preserve">Evidence-based</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Camacho et al 2024 (BMJ Quality &amp; Safety)</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0.315 patients harmed/bed/yr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0F7B5F"/>
                <w:sz w:val="18"/>
                <w:szCs w:val="18"/>
              </w:rPr>
              <w:t xml:space="preserve">Evidence-based</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Camacho et al 2024</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0.365 excess bed days/bed/yr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0F7B5F"/>
                <w:sz w:val="18"/>
                <w:szCs w:val="18"/>
              </w:rPr>
              <w:t xml:space="preserve">Evidence-based</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Camacho et al 2024</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15–35% avoidable errors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0F7B5F"/>
                <w:sz w:val="18"/>
                <w:szCs w:val="18"/>
              </w:rPr>
              <w:t xml:space="preserve">Evidence-based</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Gate et al 2023; Camacho et al 2024</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£3.6bn/yr negligence settlements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0F7B5F"/>
                <w:sz w:val="18"/>
                <w:szCs w:val="18"/>
              </w:rPr>
              <w:t xml:space="preserve">Evidence-based</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NAO, October 2025</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CNST = claims history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0F7B5F"/>
                <w:sz w:val="18"/>
                <w:szCs w:val="18"/>
              </w:rPr>
              <w:t xml:space="preserve">Evidence-based</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NHS Resolution annual reports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2.8 clinical staff/bed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0F7B5F"/>
                <w:sz w:val="18"/>
                <w:szCs w:val="18"/>
              </w:rPr>
              <w:t xml:space="preserve">Evidence-based</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NHS Digital workforce stats 2023/24</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£55/hr blended clinical rate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0F7B5F"/>
                <w:sz w:val="18"/>
                <w:szCs w:val="18"/>
              </w:rPr>
              <w:t xml:space="preserve">Evidence-based</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NHS AfC pay scales 2024/25</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48 working weeks/yr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6B7280"/>
                <w:sz w:val="18"/>
                <w:szCs w:val="18"/>
              </w:rPr>
              <w:t xml:space="preserve">Common knowledge</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Standard NHS HR assumption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20–40% time realisation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0F4146"/>
                <w:sz w:val="18"/>
                <w:szCs w:val="18"/>
              </w:rPr>
              <w:t xml:space="preserve">Industry benchmark</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NHS Productive Ward, Carter review</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£300k+£700/bed enterprise cost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8A6D2B"/>
                <w:sz w:val="18"/>
                <w:szCs w:val="18"/>
              </w:rPr>
              <w:t xml:space="preserve">Benchmarked</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Real-world NHS contract data; RLDatix programme experience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£75k+£160/bed departmental cost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8A6D2B"/>
                <w:sz w:val="18"/>
                <w:szCs w:val="18"/>
              </w:rPr>
              <w:t xml:space="preserve">Benchmarked</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Real-world NHS contract data; programme experience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£14k+£20/bed standalone cost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8A6D2B"/>
                <w:sz w:val="18"/>
                <w:szCs w:val="18"/>
              </w:rPr>
              <w:t xml:space="preserve">Benchmarked</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Real-world NHS contract data; programme experience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2.5 tickets/system/month</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0F4146"/>
                <w:sz w:val="18"/>
                <w:szCs w:val="18"/>
              </w:rPr>
              <w:t xml:space="preserve">Industry benchmark</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ITIL service desk metrics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75% default decom target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6B7280"/>
                <w:sz w:val="18"/>
                <w:szCs w:val="18"/>
              </w:rPr>
              <w:t xml:space="preserve">Common knowledge</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NHS EPR programme consensus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12 min/wk base (migration)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0F7B5F"/>
                <w:sz w:val="18"/>
                <w:szCs w:val="18"/>
              </w:rPr>
              <w:t xml:space="preserve">Evidence-based</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Westbrook 2010, Nuffield Trust 2020</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5 min/wk base (archive-only)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6B7280"/>
                <w:sz w:val="18"/>
                <w:szCs w:val="18"/>
              </w:rPr>
              <w:t xml:space="preserve">Modelled estimate</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Scaled from migration baseline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+4% per legacy system</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6B7280"/>
                <w:sz w:val="18"/>
                <w:szCs w:val="18"/>
              </w:rPr>
              <w:t xml:space="preserve">Modelled estimate</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First-principles switching cost; validated against benchmarked estate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CX multiplier (0.7–1.45)</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6B7280"/>
                <w:sz w:val="18"/>
                <w:szCs w:val="18"/>
              </w:rPr>
              <w:t xml:space="preserve">Modelled estimate</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Calibrated to ±30% range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DQ multiplier (0.75–1.40)</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6B7280"/>
                <w:sz w:val="18"/>
                <w:szCs w:val="18"/>
              </w:rPr>
              <w:t xml:space="preserve">Modelled estimate</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Poor data ~doubles effort</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Fragmentation index (0.6–1.2)</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6B7280"/>
                <w:sz w:val="18"/>
                <w:szCs w:val="18"/>
              </w:rPr>
              <w:t xml:space="preserve">Modelled estimate</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No published index exists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SAR 0.4 days/system</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6B7280"/>
                <w:sz w:val="18"/>
                <w:szCs w:val="18"/>
              </w:rPr>
              <w:t xml:space="preserve">Modelled estimate</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Consistent with NHS IG reports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Decom scenario scaling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6B7280"/>
                <w:sz w:val="18"/>
                <w:szCs w:val="18"/>
              </w:rPr>
              <w:t xml:space="preserve">Modelled estimate</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Conservative/stretch framing</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F2937"/>
                <w:sz w:val="18"/>
                <w:szCs w:val="18"/>
              </w:rPr>
              <w:t xml:space="preserve">+80 staff per org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i w:val="false"/>
                <w:iCs w:val="false"/>
                <w:color w:val="6B7280"/>
                <w:sz w:val="18"/>
                <w:szCs w:val="18"/>
              </w:rPr>
              <w:t xml:space="preserve">Modelled estimate</w:t>
            </w:r>
          </w:p>
        </w:tc>
        <w:tc>
          <w:tcPr>
            <w:tcW w:type="dxa" w:w="4026"/>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i/>
                <w:iCs/>
                <w:color w:val="6B7280"/>
                <w:sz w:val="18"/>
                <w:szCs w:val="18"/>
              </w:rPr>
              <w:t xml:space="preserve">Typical corporate clinical FTE</w:t>
            </w:r>
          </w:p>
        </w:tc>
      </w:tr>
    </w:tbl>
    <w:p>
      <w:pPr>
        <w:spacing w:after="160"/>
      </w:pPr>
    </w:p>
    <w:p>
      <w:pPr>
        <w:spacing w:after="160"/>
      </w:pPr>
      <w:r>
        <w:rPr>
          <w:rFonts w:ascii="Arial" w:cs="Arial" w:eastAsia="Arial" w:hAnsi="Arial"/>
          <w:b w:val="false"/>
          <w:bCs w:val="false"/>
          <w:i/>
          <w:iCs/>
          <w:color w:val="6B7280"/>
          <w:sz w:val="20"/>
          <w:szCs w:val="20"/>
        </w:rPr>
        <w:t xml:space="preserve">Document prepared by RLDatix Data Solutions Group. Tier cost formulas benchmarked against real-world contract data from a large acute NHS Trust (~1,385 beds, 42 systems, £16.75m/yr total estate). All formulae visible in calculator tooltips. Every figure is user-overridable.</w:t>
      </w:r>
    </w:p>
    <w:sectPr>
      <w:footerReference w:type="default" r:id="rId6"/>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RLDatix Data Solutions Group  |  ROI Calculator Methodology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4146"/>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F41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2026-03-03T22:30:05.054Z</dcterms:created>
  <dcterms:modified xsi:type="dcterms:W3CDTF">2026-03-03T22:30:05.055Z</dcterms:modified>
</cp:coreProperties>
</file>

<file path=docProps/custom.xml><?xml version="1.0" encoding="utf-8"?>
<Properties xmlns="http://schemas.openxmlformats.org/officeDocument/2006/custom-properties" xmlns:vt="http://schemas.openxmlformats.org/officeDocument/2006/docPropsVTypes"/>
</file>