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5AE" w:rsidRPr="001B5698" w:rsidRDefault="000115AE"/>
    <w:p w:rsidR="000115AE" w:rsidRDefault="000115AE"/>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3543"/>
        <w:gridCol w:w="1276"/>
        <w:gridCol w:w="3119"/>
      </w:tblGrid>
      <w:tr w:rsidR="00034D9B" w:rsidTr="00EC46F0">
        <w:trPr>
          <w:cnfStyle w:val="100000000000" w:firstRow="1" w:lastRow="0" w:firstColumn="0" w:lastColumn="0" w:oddVBand="0" w:evenVBand="0" w:oddHBand="0" w:evenHBand="0" w:firstRowFirstColumn="0" w:firstRowLastColumn="0" w:lastRowFirstColumn="0" w:lastRowLastColumn="0"/>
        </w:trPr>
        <w:tc>
          <w:tcPr>
            <w:tcW w:w="1526" w:type="dxa"/>
            <w:shd w:val="clear" w:color="auto" w:fill="auto"/>
          </w:tcPr>
          <w:p w:rsidR="00034D9B" w:rsidRDefault="002C6619" w:rsidP="008A30E2">
            <w:r>
              <w:fldChar w:fldCharType="begin"/>
            </w:r>
            <w:r w:rsidR="008A30E2" w:rsidRPr="00FD5F39">
              <w:instrText xml:space="preserve"> IF "</w:instrText>
            </w:r>
            <w:fldSimple w:instr=" DOCPROPERTY  CustLanguage  \* MERGEFORMAT ">
              <w:r w:rsidR="00A33A5A">
                <w:instrText>N</w:instrText>
              </w:r>
            </w:fldSimple>
            <w:r w:rsidR="008A30E2" w:rsidRPr="00FD5F39">
              <w:instrText>" = "N" "Datum</w:instrText>
            </w:r>
            <w:r w:rsidR="008A30E2" w:rsidRPr="00FD5F39">
              <w:tab/>
              <w:instrText>:</w:instrText>
            </w:r>
            <w:r w:rsidR="008A30E2" w:rsidRPr="00FD5F39">
              <w:tab/>
              <w:instrText>" "Date</w:instrText>
            </w:r>
            <w:r w:rsidR="008A30E2" w:rsidRPr="00FD5F39">
              <w:tab/>
              <w:instrText>:</w:instrText>
            </w:r>
            <w:r w:rsidR="008A30E2" w:rsidRPr="00FD5F39">
              <w:tab/>
              <w:instrText xml:space="preserve">" \* MERGEFORMAT </w:instrText>
            </w:r>
            <w:r>
              <w:fldChar w:fldCharType="separate"/>
            </w:r>
            <w:r w:rsidR="00DC67A3" w:rsidRPr="00FD5F39">
              <w:rPr>
                <w:noProof/>
              </w:rPr>
              <w:t>Datum</w:t>
            </w:r>
            <w:r w:rsidR="00DC67A3" w:rsidRPr="00FD5F39">
              <w:rPr>
                <w:noProof/>
              </w:rPr>
              <w:tab/>
              <w:t>:</w:t>
            </w:r>
            <w:r w:rsidR="00DC67A3" w:rsidRPr="00FD5F39">
              <w:rPr>
                <w:noProof/>
              </w:rPr>
              <w:tab/>
            </w:r>
            <w:r>
              <w:fldChar w:fldCharType="end"/>
            </w:r>
          </w:p>
        </w:tc>
        <w:sdt>
          <w:sdtPr>
            <w:alias w:val="Date"/>
            <w:tag w:val="Date"/>
            <w:id w:val="23108095"/>
            <w:lock w:val="sdtLocked"/>
            <w:placeholder>
              <w:docPart w:val="C6A34AD0571A4BA9B1C9E6F774B2F146"/>
            </w:placeholder>
            <w:dataBinding w:prefixMappings="xmlns:ns0='http://schemas.microsoft.com/office/2006/metadata/properties' xmlns:ns1='http://www.w3.org/2001/XMLSchema-instance' xmlns:ns2='ea5c75e3-67a9-4818-b5e8-14122810ebad' " w:xpath="/ns0:properties[1]/documentManagement[1]/ns2:ProjectDate[1]" w:storeItemID="{F6C813C7-1477-428C-BC23-29D28920E67D}"/>
            <w:date w:fullDate="2014-05-21T00:00:00Z">
              <w:dateFormat w:val="d/MM/yyyy"/>
              <w:lid w:val="nl-BE"/>
              <w:storeMappedDataAs w:val="dateTime"/>
              <w:calendar w:val="gregorian"/>
            </w:date>
          </w:sdtPr>
          <w:sdtEndPr/>
          <w:sdtContent>
            <w:tc>
              <w:tcPr>
                <w:tcW w:w="3543" w:type="dxa"/>
                <w:shd w:val="clear" w:color="auto" w:fill="auto"/>
              </w:tcPr>
              <w:p w:rsidR="00034D9B" w:rsidRDefault="00A33A5A" w:rsidP="00A33A5A">
                <w:r>
                  <w:t>21/05/2014</w:t>
                </w:r>
              </w:p>
            </w:tc>
          </w:sdtContent>
        </w:sdt>
        <w:tc>
          <w:tcPr>
            <w:tcW w:w="1276" w:type="dxa"/>
            <w:shd w:val="clear" w:color="auto" w:fill="auto"/>
          </w:tcPr>
          <w:p w:rsidR="00034D9B" w:rsidRDefault="000115AE" w:rsidP="00DA736B">
            <w:r w:rsidRPr="00027F23">
              <w:t>Ref</w:t>
            </w:r>
            <w:r>
              <w:t>.</w:t>
            </w:r>
          </w:p>
        </w:tc>
        <w:sdt>
          <w:sdtPr>
            <w:alias w:val="Document Number"/>
            <w:tag w:val="Document Number"/>
            <w:id w:val="11979191"/>
            <w:lock w:val="sdtLocked"/>
            <w:placeholder>
              <w:docPart w:val="ED29EF722D034762A99A94DDDE6FDDD3"/>
            </w:placeholder>
            <w:showingPlcHdr/>
            <w:dataBinding w:prefixMappings="xmlns:ns0='http://schemas.microsoft.com/office/2006/metadata/properties' xmlns:ns1='http://www.w3.org/2001/XMLSchema-instance' xmlns:ns2='ea5c75e3-67a9-4818-b5e8-14122810ebad' " w:xpath="/ns0:properties[1]/documentManagement[1]/ns2:ProjectDocumentNumber[1]" w:storeItemID="{F6C813C7-1477-428C-BC23-29D28920E67D}"/>
            <w:text/>
          </w:sdtPr>
          <w:sdtEndPr/>
          <w:sdtContent>
            <w:tc>
              <w:tcPr>
                <w:tcW w:w="3119" w:type="dxa"/>
                <w:shd w:val="clear" w:color="auto" w:fill="auto"/>
              </w:tcPr>
              <w:p w:rsidR="00034D9B" w:rsidRDefault="007F3FC2" w:rsidP="008839CB">
                <w:pPr>
                  <w:ind w:left="33" w:hanging="33"/>
                </w:pPr>
                <w:r w:rsidRPr="00F17B39">
                  <w:rPr>
                    <w:rStyle w:val="PlaceholderText"/>
                    <w:rFonts w:eastAsiaTheme="minorHAnsi"/>
                  </w:rPr>
                  <w:t>[Document Number]</w:t>
                </w:r>
              </w:p>
            </w:tc>
          </w:sdtContent>
        </w:sdt>
      </w:tr>
      <w:tr w:rsidR="00034D9B" w:rsidTr="00EC46F0">
        <w:tc>
          <w:tcPr>
            <w:tcW w:w="1526" w:type="dxa"/>
            <w:shd w:val="clear" w:color="auto" w:fill="auto"/>
          </w:tcPr>
          <w:p w:rsidR="00034D9B" w:rsidRPr="00AB737D" w:rsidRDefault="002C6619" w:rsidP="008A30E2">
            <w:r>
              <w:rPr>
                <w:lang w:val="en-US"/>
              </w:rPr>
              <w:fldChar w:fldCharType="begin"/>
            </w:r>
            <w:r w:rsidR="008A30E2" w:rsidRPr="002C0611">
              <w:rPr>
                <w:lang w:val="en-US"/>
              </w:rPr>
              <w:instrText xml:space="preserve"> IF "</w:instrText>
            </w:r>
            <w:fldSimple w:instr=" DOCPROPERTY  CustLanguage  \* MERGEFORMAT ">
              <w:r w:rsidR="00A33A5A" w:rsidRPr="00A33A5A">
                <w:rPr>
                  <w:lang w:val="en-US"/>
                </w:rPr>
                <w:instrText>N</w:instrText>
              </w:r>
            </w:fldSimple>
            <w:r w:rsidR="008A30E2" w:rsidRPr="002C0611">
              <w:rPr>
                <w:lang w:val="en-US"/>
              </w:rPr>
              <w:instrText>" = "N" "Van</w:instrText>
            </w:r>
            <w:r w:rsidR="008A30E2" w:rsidRPr="002C0611">
              <w:rPr>
                <w:lang w:val="en-US"/>
              </w:rPr>
              <w:tab/>
              <w:instrText>:</w:instrText>
            </w:r>
            <w:r w:rsidR="008A30E2" w:rsidRPr="002C0611">
              <w:rPr>
                <w:lang w:val="en-US"/>
              </w:rPr>
              <w:tab/>
              <w:instrText>" "From</w:instrText>
            </w:r>
            <w:r w:rsidR="008A30E2" w:rsidRPr="002C0611">
              <w:rPr>
                <w:lang w:val="en-US"/>
              </w:rPr>
              <w:tab/>
              <w:instrText>:</w:instrText>
            </w:r>
            <w:r w:rsidR="008A30E2" w:rsidRPr="002C0611">
              <w:rPr>
                <w:lang w:val="en-US"/>
              </w:rPr>
              <w:tab/>
              <w:instrText xml:space="preserve">" \* MERGEFORMAT </w:instrText>
            </w:r>
            <w:r>
              <w:rPr>
                <w:lang w:val="en-US"/>
              </w:rPr>
              <w:fldChar w:fldCharType="separate"/>
            </w:r>
            <w:r w:rsidR="00DC67A3" w:rsidRPr="002C0611">
              <w:rPr>
                <w:noProof/>
                <w:lang w:val="en-US"/>
              </w:rPr>
              <w:t>Van</w:t>
            </w:r>
            <w:r w:rsidR="00DC67A3" w:rsidRPr="00DC67A3">
              <w:rPr>
                <w:noProof/>
              </w:rPr>
              <w:tab/>
              <w:t>:</w:t>
            </w:r>
            <w:r w:rsidR="00DC67A3" w:rsidRPr="00DC67A3">
              <w:rPr>
                <w:noProof/>
              </w:rPr>
              <w:tab/>
            </w:r>
            <w:r>
              <w:fldChar w:fldCharType="end"/>
            </w:r>
          </w:p>
        </w:tc>
        <w:sdt>
          <w:sdtPr>
            <w:alias w:val="Author"/>
            <w:tag w:val="Author"/>
            <w:id w:val="101199765"/>
            <w:lock w:val="sdtLocked"/>
            <w:placeholder>
              <w:docPart w:val="F8511F1A768D4C8E8E3253E4EE4D073A"/>
            </w:placeholder>
            <w:dataBinding w:prefixMappings="xmlns:ns0='http://schemas.openxmlformats.org/package/2006/metadata/core-properties' xmlns:ns1='http://purl.org/dc/elements/1.1/'" w:xpath="/ns0:coreProperties[1]/ns1:creator[1]" w:storeItemID="{6C3C8BC8-F283-45AE-878A-BAB7291924A1}"/>
            <w:text/>
          </w:sdtPr>
          <w:sdtEndPr/>
          <w:sdtContent>
            <w:tc>
              <w:tcPr>
                <w:tcW w:w="3543" w:type="dxa"/>
                <w:shd w:val="clear" w:color="auto" w:fill="auto"/>
              </w:tcPr>
              <w:p w:rsidR="00034D9B" w:rsidRDefault="00A33A5A" w:rsidP="00157FA9">
                <w:r>
                  <w:t>Laenen Ben</w:t>
                </w:r>
              </w:p>
            </w:tc>
          </w:sdtContent>
        </w:sdt>
        <w:tc>
          <w:tcPr>
            <w:tcW w:w="1276" w:type="dxa"/>
            <w:shd w:val="clear" w:color="auto" w:fill="auto"/>
          </w:tcPr>
          <w:p w:rsidR="00034D9B" w:rsidRDefault="002C6619" w:rsidP="002C0611">
            <w:r>
              <w:fldChar w:fldCharType="begin"/>
            </w:r>
            <w:r w:rsidR="002C0611" w:rsidRPr="00FD5F39">
              <w:instrText xml:space="preserve"> IF "</w:instrText>
            </w:r>
            <w:fldSimple w:instr=" DOCPROPERTY  CustLanguage  \* MERGEFORMAT ">
              <w:r w:rsidR="00A33A5A">
                <w:instrText>N</w:instrText>
              </w:r>
            </w:fldSimple>
            <w:r w:rsidR="002C0611" w:rsidRPr="00FD5F39">
              <w:instrText>" = "N" "</w:instrText>
            </w:r>
            <w:r w:rsidR="002C0611">
              <w:instrText xml:space="preserve">Bijlage(n): </w:instrText>
            </w:r>
            <w:r w:rsidR="002C0611" w:rsidRPr="00FD5F39">
              <w:instrText>" "</w:instrText>
            </w:r>
            <w:r w:rsidR="002C0611">
              <w:instrText>Annexe(s):</w:instrText>
            </w:r>
            <w:r w:rsidR="002C0611" w:rsidRPr="00FD5F39">
              <w:tab/>
              <w:instrText xml:space="preserve">" \* MERGEFORMAT </w:instrText>
            </w:r>
            <w:r>
              <w:fldChar w:fldCharType="separate"/>
            </w:r>
            <w:r w:rsidR="00DC67A3">
              <w:rPr>
                <w:noProof/>
              </w:rPr>
              <w:t xml:space="preserve">Bijlage(n): </w:t>
            </w:r>
            <w:r>
              <w:fldChar w:fldCharType="end"/>
            </w:r>
          </w:p>
        </w:tc>
        <w:tc>
          <w:tcPr>
            <w:tcW w:w="3119" w:type="dxa"/>
            <w:shd w:val="clear" w:color="auto" w:fill="auto"/>
          </w:tcPr>
          <w:p w:rsidR="00034D9B" w:rsidRDefault="001246DB" w:rsidP="00A1486B">
            <w:sdt>
              <w:sdtPr>
                <w:id w:val="101199839"/>
                <w:lock w:val="sdtLocked"/>
                <w:placeholder>
                  <w:docPart w:val="B5536EDA59C749B6915961E76E84D972"/>
                </w:placeholder>
                <w:showingPlcHdr/>
              </w:sdtPr>
              <w:sdtEndPr/>
              <w:sdtContent>
                <w:r w:rsidR="00034D9B" w:rsidRPr="008A30E2">
                  <w:rPr>
                    <w:rStyle w:val="PlaceholderText"/>
                    <w:rFonts w:eastAsiaTheme="minorHAnsi"/>
                  </w:rPr>
                  <w:t>Bijlagen invoeren.</w:t>
                </w:r>
              </w:sdtContent>
            </w:sdt>
          </w:p>
        </w:tc>
      </w:tr>
      <w:tr w:rsidR="00034D9B" w:rsidTr="00EC46F0">
        <w:tc>
          <w:tcPr>
            <w:tcW w:w="1526" w:type="dxa"/>
            <w:shd w:val="clear" w:color="auto" w:fill="auto"/>
          </w:tcPr>
          <w:p w:rsidR="00034D9B" w:rsidRDefault="002C6619" w:rsidP="002C0611">
            <w:r>
              <w:fldChar w:fldCharType="begin"/>
            </w:r>
            <w:r w:rsidR="008A30E2" w:rsidRPr="00FD5F39">
              <w:instrText xml:space="preserve"> IF "</w:instrText>
            </w:r>
            <w:fldSimple w:instr=" DOCPROPERTY  CustLanguage  \* MERGEFORMAT ">
              <w:r w:rsidR="00A33A5A">
                <w:instrText>N</w:instrText>
              </w:r>
            </w:fldSimple>
            <w:r w:rsidR="008A30E2" w:rsidRPr="00FD5F39">
              <w:instrText>" = "N" "</w:instrText>
            </w:r>
            <w:r w:rsidR="008A30E2">
              <w:instrText>Aan</w:instrText>
            </w:r>
            <w:r w:rsidR="008A30E2" w:rsidRPr="00FD5F39">
              <w:tab/>
              <w:instrText>:</w:instrText>
            </w:r>
            <w:r w:rsidR="008A30E2" w:rsidRPr="00FD5F39">
              <w:tab/>
              <w:instrText>" "</w:instrText>
            </w:r>
            <w:r w:rsidR="008A30E2">
              <w:instrText>To</w:instrText>
            </w:r>
            <w:r w:rsidR="002C0611" w:rsidRPr="00FD5F39">
              <w:tab/>
            </w:r>
            <w:r w:rsidR="008A30E2" w:rsidRPr="00FD5F39">
              <w:instrText>:</w:instrText>
            </w:r>
            <w:r w:rsidR="008A30E2" w:rsidRPr="00FD5F39">
              <w:tab/>
              <w:instrText xml:space="preserve">" \* MERGEFORMAT </w:instrText>
            </w:r>
            <w:r>
              <w:fldChar w:fldCharType="separate"/>
            </w:r>
            <w:r w:rsidR="00DC67A3">
              <w:rPr>
                <w:noProof/>
              </w:rPr>
              <w:t>Aan</w:t>
            </w:r>
            <w:r w:rsidR="00DC67A3" w:rsidRPr="00FD5F39">
              <w:rPr>
                <w:noProof/>
              </w:rPr>
              <w:tab/>
              <w:t>:</w:t>
            </w:r>
            <w:r w:rsidR="00DC67A3" w:rsidRPr="00FD5F39">
              <w:rPr>
                <w:noProof/>
              </w:rPr>
              <w:tab/>
            </w:r>
            <w:r>
              <w:fldChar w:fldCharType="end"/>
            </w:r>
          </w:p>
        </w:tc>
        <w:tc>
          <w:tcPr>
            <w:tcW w:w="7938" w:type="dxa"/>
            <w:gridSpan w:val="3"/>
            <w:shd w:val="clear" w:color="auto" w:fill="auto"/>
          </w:tcPr>
          <w:p w:rsidR="00034D9B" w:rsidRDefault="001246DB" w:rsidP="00151150">
            <w:sdt>
              <w:sdtPr>
                <w:id w:val="101199772"/>
                <w:lock w:val="sdtLocked"/>
                <w:placeholder>
                  <w:docPart w:val="F6C3890ACAC041CD9888D29BF065B9EB"/>
                </w:placeholder>
                <w:text w:multiLine="1"/>
              </w:sdtPr>
              <w:sdtEndPr/>
              <w:sdtContent>
                <w:r w:rsidR="00151150">
                  <w:t>Stijn Vranckx</w:t>
                </w:r>
              </w:sdtContent>
            </w:sdt>
          </w:p>
        </w:tc>
      </w:tr>
      <w:tr w:rsidR="00034D9B" w:rsidTr="00EC46F0">
        <w:tc>
          <w:tcPr>
            <w:tcW w:w="1526" w:type="dxa"/>
            <w:shd w:val="clear" w:color="auto" w:fill="auto"/>
          </w:tcPr>
          <w:p w:rsidR="00034D9B" w:rsidRPr="002C0611" w:rsidRDefault="002C6619" w:rsidP="002C0611">
            <w:r>
              <w:fldChar w:fldCharType="begin"/>
            </w:r>
            <w:r w:rsidR="008A30E2" w:rsidRPr="00FD5F39">
              <w:instrText xml:space="preserve"> IF "</w:instrText>
            </w:r>
            <w:fldSimple w:instr=" DOCPROPERTY  CustLanguage  \* MERGEFORMAT ">
              <w:r w:rsidR="00A33A5A">
                <w:instrText>N</w:instrText>
              </w:r>
            </w:fldSimple>
            <w:r w:rsidR="008A30E2" w:rsidRPr="00FD5F39">
              <w:instrText>" = "N" "</w:instrText>
            </w:r>
            <w:r w:rsidR="008A30E2">
              <w:instrText xml:space="preserve">Kopie </w:instrText>
            </w:r>
            <w:r w:rsidR="008A30E2" w:rsidRPr="00FD5F39">
              <w:instrText>:</w:instrText>
            </w:r>
            <w:r w:rsidR="008A30E2" w:rsidRPr="00FD5F39">
              <w:tab/>
              <w:instrText>" "</w:instrText>
            </w:r>
            <w:r w:rsidR="008A30E2">
              <w:instrText>Copy (CC) :</w:instrText>
            </w:r>
            <w:r w:rsidR="008A30E2" w:rsidRPr="00FD5F39">
              <w:tab/>
              <w:instrText xml:space="preserve">" \* MERGEFORMAT </w:instrText>
            </w:r>
            <w:r>
              <w:fldChar w:fldCharType="separate"/>
            </w:r>
            <w:r w:rsidR="00DC67A3">
              <w:rPr>
                <w:noProof/>
              </w:rPr>
              <w:t xml:space="preserve">Kopie </w:t>
            </w:r>
            <w:r w:rsidR="00DC67A3" w:rsidRPr="00FD5F39">
              <w:rPr>
                <w:noProof/>
              </w:rPr>
              <w:t>:</w:t>
            </w:r>
            <w:r w:rsidR="00DC67A3" w:rsidRPr="00FD5F39">
              <w:rPr>
                <w:noProof/>
              </w:rPr>
              <w:tab/>
            </w:r>
            <w:r>
              <w:fldChar w:fldCharType="end"/>
            </w:r>
          </w:p>
        </w:tc>
        <w:tc>
          <w:tcPr>
            <w:tcW w:w="7938" w:type="dxa"/>
            <w:gridSpan w:val="3"/>
            <w:shd w:val="clear" w:color="auto" w:fill="auto"/>
          </w:tcPr>
          <w:p w:rsidR="00034D9B" w:rsidRDefault="001246DB" w:rsidP="00157FA9">
            <w:sdt>
              <w:sdtPr>
                <w:id w:val="101199778"/>
                <w:lock w:val="sdtLocked"/>
                <w:placeholder>
                  <w:docPart w:val="F608F97DB6F7454DAB27350F73D65841"/>
                </w:placeholder>
                <w:showingPlcHdr/>
                <w:text w:multiLine="1"/>
              </w:sdtPr>
              <w:sdtEndPr/>
              <w:sdtContent>
                <w:r w:rsidR="00034D9B" w:rsidRPr="00B9198A">
                  <w:rPr>
                    <w:rStyle w:val="PlaceholderText"/>
                  </w:rPr>
                  <w:t>Namen van geadresseerden]</w:t>
                </w:r>
              </w:sdtContent>
            </w:sdt>
          </w:p>
        </w:tc>
      </w:tr>
      <w:tr w:rsidR="0089315F" w:rsidTr="00EC46F0">
        <w:tc>
          <w:tcPr>
            <w:tcW w:w="1526" w:type="dxa"/>
            <w:tcBorders>
              <w:bottom w:val="single" w:sz="4" w:space="0" w:color="auto"/>
            </w:tcBorders>
            <w:shd w:val="clear" w:color="auto" w:fill="auto"/>
          </w:tcPr>
          <w:p w:rsidR="0089315F" w:rsidRDefault="0089315F" w:rsidP="00A1486B"/>
        </w:tc>
        <w:tc>
          <w:tcPr>
            <w:tcW w:w="7938" w:type="dxa"/>
            <w:gridSpan w:val="3"/>
            <w:tcBorders>
              <w:bottom w:val="single" w:sz="4" w:space="0" w:color="auto"/>
            </w:tcBorders>
            <w:shd w:val="clear" w:color="auto" w:fill="auto"/>
          </w:tcPr>
          <w:p w:rsidR="0089315F" w:rsidRDefault="0089315F" w:rsidP="00157FA9"/>
        </w:tc>
      </w:tr>
    </w:tbl>
    <w:p w:rsidR="00D31C66" w:rsidRDefault="00D31C66"/>
    <w:p w:rsidR="00D31C66" w:rsidRDefault="00D31C66"/>
    <w:p w:rsidR="00D31C66" w:rsidRDefault="002C6619">
      <w:r>
        <w:fldChar w:fldCharType="begin"/>
      </w:r>
      <w:r w:rsidR="002C0611" w:rsidRPr="00FD5F39">
        <w:instrText xml:space="preserve"> IF "</w:instrText>
      </w:r>
      <w:fldSimple w:instr=" DOCPROPERTY  CustLanguage  \* MERGEFORMAT ">
        <w:r w:rsidR="00A33A5A">
          <w:instrText>N</w:instrText>
        </w:r>
      </w:fldSimple>
      <w:r w:rsidR="002C0611" w:rsidRPr="00FD5F39">
        <w:instrText>" = "N" "</w:instrText>
      </w:r>
      <w:r w:rsidR="002C0611">
        <w:instrText xml:space="preserve">Betreft </w:instrText>
      </w:r>
      <w:r w:rsidR="002C0611" w:rsidRPr="00FD5F39">
        <w:instrText>:</w:instrText>
      </w:r>
      <w:r w:rsidR="002C0611" w:rsidRPr="00FD5F39">
        <w:tab/>
        <w:instrText>" "</w:instrText>
      </w:r>
      <w:r w:rsidR="002C0611">
        <w:instrText>Subject :</w:instrText>
      </w:r>
      <w:r w:rsidR="002C0611" w:rsidRPr="00FD5F39">
        <w:tab/>
        <w:instrText xml:space="preserve">" \* MERGEFORMAT </w:instrText>
      </w:r>
      <w:r>
        <w:fldChar w:fldCharType="separate"/>
      </w:r>
      <w:r w:rsidR="00DC67A3">
        <w:rPr>
          <w:noProof/>
        </w:rPr>
        <w:t xml:space="preserve">Betreft </w:t>
      </w:r>
      <w:r w:rsidR="00DC67A3" w:rsidRPr="00FD5F39">
        <w:rPr>
          <w:noProof/>
        </w:rPr>
        <w:t>:</w:t>
      </w:r>
      <w:r w:rsidR="00DC67A3" w:rsidRPr="00FD5F39">
        <w:rPr>
          <w:noProof/>
        </w:rPr>
        <w:tab/>
      </w:r>
      <w:r>
        <w:fldChar w:fldCharType="end"/>
      </w:r>
      <w:r w:rsidR="00D31C66">
        <w:t xml:space="preserve"> </w:t>
      </w:r>
      <w:sdt>
        <w:sdtPr>
          <w:alias w:val="Subject"/>
          <w:tag w:val="Subject"/>
          <w:id w:val="11979197"/>
          <w:lock w:val="sdtLocked"/>
          <w:placeholder>
            <w:docPart w:val="B07A94AE320B432D80FF22B0238D524C"/>
          </w:placeholder>
          <w:dataBinding w:prefixMappings="xmlns:ns0='http://purl.org/dc/elements/1.1/' xmlns:ns1='http://schemas.openxmlformats.org/package/2006/metadata/core-properties' " w:xpath="/ns1:coreProperties[1]/ns0:subject[1]" w:storeItemID="{6C3C8BC8-F283-45AE-878A-BAB7291924A1}"/>
          <w:text/>
        </w:sdtPr>
        <w:sdtEndPr/>
        <w:sdtContent>
          <w:r w:rsidR="00626A66">
            <w:t>EFRO910</w:t>
          </w:r>
          <w:r w:rsidR="00A33A5A">
            <w:t xml:space="preserve"> - kostenmodel geothermie</w:t>
          </w:r>
        </w:sdtContent>
      </w:sdt>
    </w:p>
    <w:p w:rsidR="00D31C66" w:rsidRDefault="00D31C66" w:rsidP="000D7636"/>
    <w:p w:rsidR="00A33A5A" w:rsidRDefault="00A33A5A">
      <w:pPr>
        <w:jc w:val="left"/>
      </w:pPr>
      <w:r>
        <w:br w:type="page"/>
      </w:r>
    </w:p>
    <w:p w:rsidR="00A33A5A" w:rsidRPr="00235119" w:rsidRDefault="00A33A5A" w:rsidP="00FD0345">
      <w:pPr>
        <w:pStyle w:val="Heading1"/>
      </w:pPr>
      <w:r w:rsidRPr="00235119">
        <w:lastRenderedPageBreak/>
        <w:t>Kostenmodel geothermie</w:t>
      </w:r>
    </w:p>
    <w:p w:rsidR="00A33A5A" w:rsidRPr="00235119" w:rsidRDefault="00A33A5A" w:rsidP="00A1486B">
      <w:pPr>
        <w:pStyle w:val="Heading2"/>
      </w:pPr>
      <w:r>
        <w:t>Aanloopkosten en projectkosten</w:t>
      </w:r>
    </w:p>
    <w:p w:rsidR="00A33A5A" w:rsidRDefault="00A33A5A" w:rsidP="00A1486B"/>
    <w:p w:rsidR="00A33A5A" w:rsidRDefault="00A33A5A" w:rsidP="00A1486B">
      <w:r>
        <w:t>De kosten voor voorstudies, het bekomen van de nodige vergunningen en projectmanagement belopen gemiddeld tussen 3,5 en 5% van de totale projectkost afhankelijk van de complexiteit van het project en de voorkennis op vlak van geothermie binnen het projectgebied.</w:t>
      </w:r>
    </w:p>
    <w:p w:rsidR="00A33A5A" w:rsidRPr="00235119" w:rsidRDefault="00A33A5A" w:rsidP="00A1486B"/>
    <w:p w:rsidR="00A33A5A" w:rsidRPr="00235119" w:rsidRDefault="00A33A5A" w:rsidP="00A1486B">
      <w:pPr>
        <w:pStyle w:val="Heading2"/>
      </w:pPr>
      <w:r w:rsidRPr="00235119">
        <w:t>Geologische verkenning</w:t>
      </w:r>
    </w:p>
    <w:p w:rsidR="00A33A5A" w:rsidRDefault="00A33A5A" w:rsidP="00A1486B"/>
    <w:p w:rsidR="00A33A5A" w:rsidRDefault="00A33A5A" w:rsidP="00A1486B">
      <w:r>
        <w:t>In het geval de beschikbare geologische data ontoereikend is, kan een seismische campagne uitgevoerd worden om extra informatie te krijgen over de opbouw van de ondergrond. De omvang van de campagne wordt bepaald door de diepte waarop de verwachtte watervoerende lagen voorkomen en de omvang van het project.</w:t>
      </w:r>
    </w:p>
    <w:p w:rsidR="00A33A5A" w:rsidRDefault="00A33A5A" w:rsidP="00A1486B"/>
    <w:p w:rsidR="00A33A5A" w:rsidRDefault="00A33A5A" w:rsidP="00A1486B">
      <w:r>
        <w:t>Voor een 2D seismische campagne kan een eerste kostenraming gebeuren op basis van de cumulatieve lengte van de seismische lijnen en de diepte van de target:</w:t>
      </w:r>
    </w:p>
    <w:p w:rsidR="00A33A5A" w:rsidRDefault="00A33A5A" w:rsidP="00A1486B"/>
    <w:p w:rsidR="00A33A5A" w:rsidRDefault="00A33A5A" w:rsidP="00A1486B">
      <w:r>
        <w:t>C</w:t>
      </w:r>
      <w:r w:rsidRPr="00C759BA">
        <w:rPr>
          <w:vertAlign w:val="subscript"/>
        </w:rPr>
        <w:t>s</w:t>
      </w:r>
      <w:r>
        <w:t xml:space="preserve"> = 121 + </w:t>
      </w:r>
      <w:proofErr w:type="spellStart"/>
      <w:r>
        <w:t>d</w:t>
      </w:r>
      <w:r w:rsidRPr="00C759BA">
        <w:rPr>
          <w:vertAlign w:val="subscript"/>
        </w:rPr>
        <w:t>t</w:t>
      </w:r>
      <w:proofErr w:type="spellEnd"/>
      <w:r>
        <w:t xml:space="preserve"> * (1,95 + 1,25 * l) + 5,05 * l</w:t>
      </w:r>
    </w:p>
    <w:p w:rsidR="00A33A5A" w:rsidRDefault="00A33A5A" w:rsidP="00A1486B"/>
    <w:p w:rsidR="00A33A5A" w:rsidRDefault="00A33A5A" w:rsidP="00A1486B">
      <w:r>
        <w:t>Met C</w:t>
      </w:r>
      <w:r w:rsidRPr="00D14F40">
        <w:rPr>
          <w:vertAlign w:val="subscript"/>
        </w:rPr>
        <w:t>s</w:t>
      </w:r>
      <w:r>
        <w:t xml:space="preserve"> de kosten voor de seismische campagne (in </w:t>
      </w:r>
      <w:proofErr w:type="spellStart"/>
      <w:r>
        <w:t>kEuro</w:t>
      </w:r>
      <w:proofErr w:type="spellEnd"/>
      <w:r>
        <w:t xml:space="preserve"> voor het jaar 2013),</w:t>
      </w:r>
    </w:p>
    <w:p w:rsidR="00A33A5A" w:rsidRDefault="00A33A5A" w:rsidP="00A1486B">
      <w:proofErr w:type="spellStart"/>
      <w:r>
        <w:t>d</w:t>
      </w:r>
      <w:r w:rsidRPr="00D14F40">
        <w:rPr>
          <w:vertAlign w:val="subscript"/>
        </w:rPr>
        <w:t>t</w:t>
      </w:r>
      <w:proofErr w:type="spellEnd"/>
      <w:r>
        <w:t xml:space="preserve"> de diepte van de te onderzoeken geothermische laag in kilometer,</w:t>
      </w:r>
    </w:p>
    <w:p w:rsidR="00A33A5A" w:rsidRDefault="00A33A5A" w:rsidP="00A1486B">
      <w:r>
        <w:t>l de cumulatieve lengte van de 2D seismische lijnen.</w:t>
      </w:r>
    </w:p>
    <w:p w:rsidR="00A33A5A" w:rsidRDefault="00A33A5A" w:rsidP="00A1486B">
      <w:r>
        <w:t xml:space="preserve"> </w:t>
      </w:r>
    </w:p>
    <w:p w:rsidR="00A33A5A" w:rsidRDefault="00A33A5A" w:rsidP="00A1486B">
      <w:r>
        <w:t>De totale projectkost, inclusief kwaliteitsopvolging en interpretatie, wordt tenslotte berekend via:</w:t>
      </w:r>
    </w:p>
    <w:p w:rsidR="00A33A5A" w:rsidRDefault="00A33A5A" w:rsidP="00A1486B"/>
    <w:p w:rsidR="00A33A5A" w:rsidRPr="00512E70" w:rsidRDefault="00A33A5A" w:rsidP="00A1486B">
      <w:proofErr w:type="spellStart"/>
      <w:r w:rsidRPr="00512E70">
        <w:t>C</w:t>
      </w:r>
      <w:r w:rsidRPr="00512E70">
        <w:rPr>
          <w:vertAlign w:val="subscript"/>
        </w:rPr>
        <w:t>st</w:t>
      </w:r>
      <w:proofErr w:type="spellEnd"/>
      <w:r w:rsidRPr="00512E70">
        <w:t xml:space="preserve"> = C</w:t>
      </w:r>
      <w:r w:rsidRPr="00512E70">
        <w:rPr>
          <w:vertAlign w:val="subscript"/>
        </w:rPr>
        <w:t>s</w:t>
      </w:r>
      <w:r w:rsidRPr="00512E70">
        <w:t xml:space="preserve"> * (1 + </w:t>
      </w:r>
      <w:proofErr w:type="spellStart"/>
      <w:r w:rsidRPr="00512E70">
        <w:t>f</w:t>
      </w:r>
      <w:r w:rsidRPr="00512E70">
        <w:rPr>
          <w:vertAlign w:val="subscript"/>
        </w:rPr>
        <w:t>qi</w:t>
      </w:r>
      <w:proofErr w:type="spellEnd"/>
      <w:r w:rsidRPr="00512E70">
        <w:t>)</w:t>
      </w:r>
    </w:p>
    <w:p w:rsidR="00A33A5A" w:rsidRPr="00512E70" w:rsidRDefault="00A33A5A" w:rsidP="00A1486B"/>
    <w:p w:rsidR="00A33A5A" w:rsidRPr="00512E70" w:rsidRDefault="00A33A5A" w:rsidP="00A1486B">
      <w:proofErr w:type="spellStart"/>
      <w:r w:rsidRPr="00512E70">
        <w:t>f</w:t>
      </w:r>
      <w:r w:rsidRPr="00512E70">
        <w:rPr>
          <w:vertAlign w:val="subscript"/>
        </w:rPr>
        <w:t>qi</w:t>
      </w:r>
      <w:proofErr w:type="spellEnd"/>
      <w:r w:rsidRPr="00512E70">
        <w:t xml:space="preserve"> = 0,33 * C</w:t>
      </w:r>
      <w:r w:rsidRPr="00512E70">
        <w:rPr>
          <w:vertAlign w:val="subscript"/>
        </w:rPr>
        <w:t>s</w:t>
      </w:r>
      <w:r w:rsidRPr="00512E70">
        <w:t>-</w:t>
      </w:r>
      <w:r w:rsidRPr="00512E70">
        <w:rPr>
          <w:vertAlign w:val="superscript"/>
        </w:rPr>
        <w:t>0,22</w:t>
      </w:r>
    </w:p>
    <w:p w:rsidR="00A33A5A" w:rsidRPr="00512E70" w:rsidRDefault="00A33A5A" w:rsidP="00A1486B"/>
    <w:p w:rsidR="00A33A5A" w:rsidRPr="00235119" w:rsidRDefault="00A33A5A" w:rsidP="00A1486B">
      <w:pPr>
        <w:pStyle w:val="Heading2"/>
      </w:pPr>
      <w:r w:rsidRPr="00235119">
        <w:t>Boringen</w:t>
      </w:r>
    </w:p>
    <w:p w:rsidR="00A33A5A" w:rsidRDefault="00A33A5A" w:rsidP="00A1486B"/>
    <w:p w:rsidR="00A33A5A" w:rsidRPr="006228D1" w:rsidRDefault="00A33A5A" w:rsidP="00A1486B">
      <w:pPr>
        <w:rPr>
          <w:b/>
        </w:rPr>
      </w:pPr>
      <w:r w:rsidRPr="006228D1">
        <w:rPr>
          <w:b/>
        </w:rPr>
        <w:t>Boorkosten</w:t>
      </w:r>
    </w:p>
    <w:p w:rsidR="00A33A5A" w:rsidRPr="00235119" w:rsidRDefault="00A33A5A" w:rsidP="00A1486B"/>
    <w:p w:rsidR="00A33A5A" w:rsidRPr="00235119" w:rsidRDefault="00A33A5A" w:rsidP="00A1486B">
      <w:r w:rsidRPr="00235119">
        <w:t xml:space="preserve">De </w:t>
      </w:r>
      <w:r>
        <w:t>kost</w:t>
      </w:r>
      <w:r w:rsidRPr="00235119">
        <w:t>prijs veel elk van de boringen</w:t>
      </w:r>
      <w:r>
        <w:t xml:space="preserve"> uitgedrukt in </w:t>
      </w:r>
      <w:proofErr w:type="spellStart"/>
      <w:r>
        <w:t>kEuro</w:t>
      </w:r>
      <w:proofErr w:type="spellEnd"/>
      <w:r>
        <w:t xml:space="preserve"> voor het jaar 2013</w:t>
      </w:r>
      <w:r w:rsidRPr="00235119">
        <w:t xml:space="preserve"> kan ingeschat worden op basis van het aantal effectief te boren meters vermeerderd met de kosten voor de aanleg van het terrein, het ontwerp van de boring en de supervisie tijdens de boorwerkzaamheden:</w:t>
      </w:r>
    </w:p>
    <w:p w:rsidR="00A33A5A" w:rsidRPr="00235119" w:rsidRDefault="00A33A5A" w:rsidP="00A1486B"/>
    <w:p w:rsidR="00A33A5A" w:rsidRPr="00235119" w:rsidRDefault="00A33A5A" w:rsidP="00A1486B">
      <w:proofErr w:type="spellStart"/>
      <w:r w:rsidRPr="00235119">
        <w:t>C</w:t>
      </w:r>
      <w:r w:rsidRPr="00BA4404">
        <w:rPr>
          <w:vertAlign w:val="subscript"/>
        </w:rPr>
        <w:t>b</w:t>
      </w:r>
      <w:proofErr w:type="spellEnd"/>
      <w:r w:rsidRPr="00235119">
        <w:t xml:space="preserve"> = C</w:t>
      </w:r>
      <w:r w:rsidRPr="00BA4404">
        <w:rPr>
          <w:vertAlign w:val="subscript"/>
        </w:rPr>
        <w:t>d</w:t>
      </w:r>
      <w:r w:rsidRPr="00235119">
        <w:t xml:space="preserve"> * (1+ </w:t>
      </w:r>
      <w:proofErr w:type="spellStart"/>
      <w:r w:rsidRPr="00235119">
        <w:t>f</w:t>
      </w:r>
      <w:r w:rsidRPr="00BA4404">
        <w:rPr>
          <w:vertAlign w:val="subscript"/>
        </w:rPr>
        <w:t>s</w:t>
      </w:r>
      <w:proofErr w:type="spellEnd"/>
      <w:r w:rsidRPr="00235119">
        <w:t xml:space="preserve"> + </w:t>
      </w:r>
      <w:proofErr w:type="spellStart"/>
      <w:r w:rsidRPr="00235119">
        <w:t>f</w:t>
      </w:r>
      <w:r w:rsidRPr="00BA4404">
        <w:rPr>
          <w:vertAlign w:val="subscript"/>
        </w:rPr>
        <w:t>we</w:t>
      </w:r>
      <w:proofErr w:type="spellEnd"/>
      <w:r w:rsidRPr="00235119">
        <w:t xml:space="preserve"> + </w:t>
      </w:r>
      <w:proofErr w:type="spellStart"/>
      <w:r w:rsidRPr="00235119">
        <w:t>f</w:t>
      </w:r>
      <w:r w:rsidRPr="00BA4404">
        <w:rPr>
          <w:vertAlign w:val="subscript"/>
        </w:rPr>
        <w:t>ds</w:t>
      </w:r>
      <w:proofErr w:type="spellEnd"/>
      <w:r w:rsidRPr="00235119">
        <w:t>)</w:t>
      </w:r>
    </w:p>
    <w:p w:rsidR="00A33A5A" w:rsidRPr="00235119" w:rsidRDefault="00A33A5A" w:rsidP="00A1486B"/>
    <w:p w:rsidR="00A33A5A" w:rsidRPr="00235119" w:rsidRDefault="00A33A5A" w:rsidP="00A1486B">
      <w:r w:rsidRPr="00235119">
        <w:t xml:space="preserve">Met d: is </w:t>
      </w:r>
      <w:r>
        <w:t xml:space="preserve">het aantal effectief geboorde meters (MD – of </w:t>
      </w:r>
      <w:r w:rsidRPr="00235119">
        <w:t>einddiepte van de boring</w:t>
      </w:r>
      <w:r>
        <w:t>),</w:t>
      </w:r>
    </w:p>
    <w:p w:rsidR="00A33A5A" w:rsidRPr="00235119" w:rsidRDefault="00A33A5A" w:rsidP="00A1486B">
      <w:r w:rsidRPr="00235119">
        <w:t>C</w:t>
      </w:r>
      <w:r w:rsidRPr="00BA4404">
        <w:rPr>
          <w:vertAlign w:val="subscript"/>
        </w:rPr>
        <w:t>d</w:t>
      </w:r>
      <w:r w:rsidRPr="00235119">
        <w:t xml:space="preserve"> de ruwe boorkost in </w:t>
      </w:r>
      <w:proofErr w:type="spellStart"/>
      <w:r w:rsidRPr="00235119">
        <w:t>kEuro</w:t>
      </w:r>
      <w:proofErr w:type="spellEnd"/>
      <w:r>
        <w:t>,</w:t>
      </w:r>
    </w:p>
    <w:p w:rsidR="00A33A5A" w:rsidRPr="00235119" w:rsidRDefault="00A33A5A" w:rsidP="00A1486B">
      <w:proofErr w:type="spellStart"/>
      <w:r w:rsidRPr="00235119">
        <w:t>f</w:t>
      </w:r>
      <w:r w:rsidRPr="00BA4404">
        <w:rPr>
          <w:vertAlign w:val="subscript"/>
        </w:rPr>
        <w:t>s</w:t>
      </w:r>
      <w:proofErr w:type="spellEnd"/>
      <w:r w:rsidRPr="00235119">
        <w:t xml:space="preserve"> de factor voor de aanleg van het terrein</w:t>
      </w:r>
      <w:r>
        <w:t>,</w:t>
      </w:r>
    </w:p>
    <w:p w:rsidR="00A33A5A" w:rsidRPr="00235119" w:rsidRDefault="00A33A5A" w:rsidP="00A1486B">
      <w:proofErr w:type="spellStart"/>
      <w:r w:rsidRPr="00235119">
        <w:t>f</w:t>
      </w:r>
      <w:r w:rsidRPr="00BA4404">
        <w:rPr>
          <w:vertAlign w:val="subscript"/>
        </w:rPr>
        <w:t>we</w:t>
      </w:r>
      <w:proofErr w:type="spellEnd"/>
      <w:r w:rsidRPr="00235119">
        <w:t xml:space="preserve"> een factor voor well design</w:t>
      </w:r>
      <w:r>
        <w:t>,</w:t>
      </w:r>
    </w:p>
    <w:p w:rsidR="00A33A5A" w:rsidRPr="00235119" w:rsidRDefault="00A33A5A" w:rsidP="00A1486B">
      <w:proofErr w:type="spellStart"/>
      <w:r w:rsidRPr="00235119">
        <w:t>f</w:t>
      </w:r>
      <w:r w:rsidRPr="00BA4404">
        <w:rPr>
          <w:vertAlign w:val="subscript"/>
        </w:rPr>
        <w:t>se</w:t>
      </w:r>
      <w:proofErr w:type="spellEnd"/>
      <w:r w:rsidRPr="00235119">
        <w:t xml:space="preserve"> een factor voor </w:t>
      </w:r>
      <w:r>
        <w:t>toezicht tijdens de boorwerkzaamheden.</w:t>
      </w:r>
    </w:p>
    <w:p w:rsidR="00A33A5A" w:rsidRPr="00235119" w:rsidRDefault="00A33A5A" w:rsidP="00A1486B"/>
    <w:p w:rsidR="00A33A5A" w:rsidRPr="00235119" w:rsidRDefault="00A33A5A" w:rsidP="00A1486B">
      <w:r w:rsidRPr="00235119">
        <w:lastRenderedPageBreak/>
        <w:t>De terreinkosten per boring hangen in sterke mate af van het aantal boringen dat vanaf één platform uitgevoerd kunnen worden.</w:t>
      </w:r>
    </w:p>
    <w:p w:rsidR="00A33A5A" w:rsidRPr="00235119" w:rsidRDefault="00A33A5A" w:rsidP="00A1486B"/>
    <w:p w:rsidR="00A33A5A" w:rsidRDefault="00A33A5A" w:rsidP="00A1486B">
      <w:r w:rsidRPr="00235119">
        <w:t>C</w:t>
      </w:r>
      <w:r w:rsidRPr="00BA4404">
        <w:rPr>
          <w:vertAlign w:val="subscript"/>
        </w:rPr>
        <w:t>d</w:t>
      </w:r>
      <w:r w:rsidRPr="00235119">
        <w:t xml:space="preserve">, </w:t>
      </w:r>
      <w:proofErr w:type="spellStart"/>
      <w:r w:rsidRPr="00235119">
        <w:t>f</w:t>
      </w:r>
      <w:r w:rsidRPr="00BA4404">
        <w:rPr>
          <w:vertAlign w:val="subscript"/>
        </w:rPr>
        <w:t>s</w:t>
      </w:r>
      <w:proofErr w:type="spellEnd"/>
      <w:r w:rsidRPr="00235119">
        <w:t>, f</w:t>
      </w:r>
      <w:r w:rsidRPr="00BA4404">
        <w:rPr>
          <w:vertAlign w:val="subscript"/>
        </w:rPr>
        <w:t>ew</w:t>
      </w:r>
      <w:r w:rsidRPr="00235119">
        <w:t xml:space="preserve"> en </w:t>
      </w:r>
      <w:proofErr w:type="spellStart"/>
      <w:r w:rsidRPr="00235119">
        <w:t>f</w:t>
      </w:r>
      <w:r w:rsidRPr="00BA4404">
        <w:rPr>
          <w:vertAlign w:val="subscript"/>
        </w:rPr>
        <w:t>ds</w:t>
      </w:r>
      <w:proofErr w:type="spellEnd"/>
      <w:r w:rsidRPr="00235119">
        <w:t xml:space="preserve"> worden geschat op basis van een machtsfunctie</w:t>
      </w:r>
      <w:r>
        <w:t>:</w:t>
      </w:r>
    </w:p>
    <w:p w:rsidR="00A33A5A" w:rsidRDefault="00A33A5A" w:rsidP="00A1486B"/>
    <w:p w:rsidR="00A33A5A" w:rsidRPr="00235119" w:rsidRDefault="00A33A5A" w:rsidP="00A1486B">
      <w:r w:rsidRPr="00235119">
        <w:t xml:space="preserve">Q = a * </w:t>
      </w:r>
      <w:proofErr w:type="spellStart"/>
      <w:r w:rsidRPr="00235119">
        <w:t>x</w:t>
      </w:r>
      <w:r w:rsidRPr="00235119">
        <w:rPr>
          <w:vertAlign w:val="superscript"/>
        </w:rPr>
        <w:t>b</w:t>
      </w:r>
      <w:proofErr w:type="spellEnd"/>
      <w:r w:rsidRPr="00235119">
        <w:t xml:space="preserve">  </w:t>
      </w:r>
    </w:p>
    <w:p w:rsidR="00A33A5A" w:rsidRDefault="00A33A5A" w:rsidP="00A1486B"/>
    <w:p w:rsidR="00A33A5A" w:rsidRPr="00235119" w:rsidRDefault="00A33A5A" w:rsidP="00A1486B">
      <w:r>
        <w:t>De waardes voor de constanten en de</w:t>
      </w:r>
      <w:r w:rsidRPr="00235119">
        <w:t xml:space="preserve"> grenzen</w:t>
      </w:r>
      <w:r>
        <w:t xml:space="preserve"> waarbinnen de correlatie opgaat worden aangegeven in </w:t>
      </w:r>
      <w:r>
        <w:fldChar w:fldCharType="begin"/>
      </w:r>
      <w:r>
        <w:instrText xml:space="preserve"> REF _Ref388943295 \h </w:instrText>
      </w:r>
      <w:r>
        <w:fldChar w:fldCharType="separate"/>
      </w:r>
      <w:r w:rsidR="00DC67A3">
        <w:t xml:space="preserve">Tabel </w:t>
      </w:r>
      <w:r w:rsidR="00DC67A3">
        <w:rPr>
          <w:noProof/>
        </w:rPr>
        <w:t>1</w:t>
      </w:r>
      <w:r>
        <w:fldChar w:fldCharType="end"/>
      </w:r>
      <w:r>
        <w:t xml:space="preserve">. Kosten zijn berekend in </w:t>
      </w:r>
      <w:proofErr w:type="spellStart"/>
      <w:r>
        <w:t>kEuro</w:t>
      </w:r>
      <w:proofErr w:type="spellEnd"/>
      <w:r>
        <w:t xml:space="preserve"> voor het jaar 2013.</w:t>
      </w:r>
    </w:p>
    <w:p w:rsidR="00A33A5A" w:rsidRPr="00235119" w:rsidRDefault="00A33A5A" w:rsidP="00A1486B"/>
    <w:p w:rsidR="00A33A5A" w:rsidRPr="00235119" w:rsidRDefault="00A33A5A" w:rsidP="00A1486B">
      <w:pPr>
        <w:pStyle w:val="Caption"/>
      </w:pPr>
      <w:bookmarkStart w:id="0" w:name="_Ref388943295"/>
      <w:r>
        <w:t xml:space="preserve">Tabel </w:t>
      </w:r>
      <w:r>
        <w:fldChar w:fldCharType="begin"/>
      </w:r>
      <w:r>
        <w:instrText xml:space="preserve"> SEQ Tabel \* ARABIC </w:instrText>
      </w:r>
      <w:r>
        <w:fldChar w:fldCharType="separate"/>
      </w:r>
      <w:r w:rsidR="00DC67A3">
        <w:rPr>
          <w:noProof/>
        </w:rPr>
        <w:t>1</w:t>
      </w:r>
      <w:r>
        <w:fldChar w:fldCharType="end"/>
      </w:r>
      <w:bookmarkEnd w:id="0"/>
      <w:r>
        <w:t>: Parameters voor het inschatten van de boorkosten</w:t>
      </w:r>
    </w:p>
    <w:tbl>
      <w:tblPr>
        <w:tblStyle w:val="MediumShading1-Accent2"/>
        <w:tblW w:w="0" w:type="auto"/>
        <w:tblLook w:val="04A0" w:firstRow="1" w:lastRow="0" w:firstColumn="1" w:lastColumn="0" w:noHBand="0" w:noVBand="1"/>
      </w:tblPr>
      <w:tblGrid>
        <w:gridCol w:w="1519"/>
        <w:gridCol w:w="1141"/>
        <w:gridCol w:w="1276"/>
        <w:gridCol w:w="1984"/>
        <w:gridCol w:w="1520"/>
        <w:gridCol w:w="1520"/>
      </w:tblGrid>
      <w:tr w:rsidR="00A33A5A" w:rsidRPr="002519E7" w:rsidTr="00A14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rsidR="00A33A5A" w:rsidRPr="002519E7" w:rsidRDefault="00A33A5A" w:rsidP="00A1486B">
            <w:r w:rsidRPr="002519E7">
              <w:t>Parameter</w:t>
            </w:r>
          </w:p>
        </w:tc>
        <w:tc>
          <w:tcPr>
            <w:tcW w:w="1141" w:type="dxa"/>
          </w:tcPr>
          <w:p w:rsidR="00A33A5A" w:rsidRPr="002519E7" w:rsidRDefault="00A33A5A" w:rsidP="00A1486B">
            <w:pPr>
              <w:cnfStyle w:val="100000000000" w:firstRow="1" w:lastRow="0" w:firstColumn="0" w:lastColumn="0" w:oddVBand="0" w:evenVBand="0" w:oddHBand="0" w:evenHBand="0" w:firstRowFirstColumn="0" w:firstRowLastColumn="0" w:lastRowFirstColumn="0" w:lastRowLastColumn="0"/>
            </w:pPr>
            <w:r w:rsidRPr="002519E7">
              <w:t>a</w:t>
            </w:r>
          </w:p>
        </w:tc>
        <w:tc>
          <w:tcPr>
            <w:tcW w:w="1276" w:type="dxa"/>
          </w:tcPr>
          <w:p w:rsidR="00A33A5A" w:rsidRPr="002519E7" w:rsidRDefault="00A33A5A" w:rsidP="00A1486B">
            <w:pPr>
              <w:cnfStyle w:val="100000000000" w:firstRow="1" w:lastRow="0" w:firstColumn="0" w:lastColumn="0" w:oddVBand="0" w:evenVBand="0" w:oddHBand="0" w:evenHBand="0" w:firstRowFirstColumn="0" w:firstRowLastColumn="0" w:lastRowFirstColumn="0" w:lastRowLastColumn="0"/>
            </w:pPr>
            <w:r w:rsidRPr="002519E7">
              <w:t>b</w:t>
            </w:r>
          </w:p>
        </w:tc>
        <w:tc>
          <w:tcPr>
            <w:tcW w:w="1984" w:type="dxa"/>
          </w:tcPr>
          <w:p w:rsidR="00A33A5A" w:rsidRPr="002519E7" w:rsidRDefault="00A33A5A" w:rsidP="00A1486B">
            <w:pPr>
              <w:cnfStyle w:val="100000000000" w:firstRow="1" w:lastRow="0" w:firstColumn="0" w:lastColumn="0" w:oddVBand="0" w:evenVBand="0" w:oddHBand="0" w:evenHBand="0" w:firstRowFirstColumn="0" w:firstRowLastColumn="0" w:lastRowFirstColumn="0" w:lastRowLastColumn="0"/>
            </w:pPr>
            <w:r w:rsidRPr="002519E7">
              <w:t>X</w:t>
            </w:r>
          </w:p>
        </w:tc>
        <w:tc>
          <w:tcPr>
            <w:tcW w:w="1520" w:type="dxa"/>
          </w:tcPr>
          <w:p w:rsidR="00A33A5A" w:rsidRPr="002519E7" w:rsidRDefault="00A33A5A" w:rsidP="00A1486B">
            <w:pPr>
              <w:cnfStyle w:val="100000000000" w:firstRow="1" w:lastRow="0" w:firstColumn="0" w:lastColumn="0" w:oddVBand="0" w:evenVBand="0" w:oddHBand="0" w:evenHBand="0" w:firstRowFirstColumn="0" w:firstRowLastColumn="0" w:lastRowFirstColumn="0" w:lastRowLastColumn="0"/>
            </w:pPr>
            <w:proofErr w:type="spellStart"/>
            <w:r w:rsidRPr="002519E7">
              <w:t>x</w:t>
            </w:r>
            <w:r w:rsidRPr="002519E7">
              <w:rPr>
                <w:vertAlign w:val="subscript"/>
              </w:rPr>
              <w:t>min</w:t>
            </w:r>
            <w:proofErr w:type="spellEnd"/>
          </w:p>
        </w:tc>
        <w:tc>
          <w:tcPr>
            <w:tcW w:w="1520" w:type="dxa"/>
          </w:tcPr>
          <w:p w:rsidR="00A33A5A" w:rsidRPr="002519E7" w:rsidRDefault="00A33A5A" w:rsidP="00A1486B">
            <w:pPr>
              <w:cnfStyle w:val="100000000000" w:firstRow="1" w:lastRow="0" w:firstColumn="0" w:lastColumn="0" w:oddVBand="0" w:evenVBand="0" w:oddHBand="0" w:evenHBand="0" w:firstRowFirstColumn="0" w:firstRowLastColumn="0" w:lastRowFirstColumn="0" w:lastRowLastColumn="0"/>
            </w:pPr>
            <w:proofErr w:type="spellStart"/>
            <w:r w:rsidRPr="002519E7">
              <w:t>x</w:t>
            </w:r>
            <w:r w:rsidRPr="002519E7">
              <w:rPr>
                <w:vertAlign w:val="subscript"/>
              </w:rPr>
              <w:t>max</w:t>
            </w:r>
            <w:proofErr w:type="spellEnd"/>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rsidR="00A33A5A" w:rsidRPr="002519E7" w:rsidRDefault="00A33A5A" w:rsidP="0059279B">
            <w:pPr>
              <w:rPr>
                <w:b w:val="0"/>
              </w:rPr>
            </w:pPr>
            <w:r w:rsidRPr="002519E7">
              <w:rPr>
                <w:b w:val="0"/>
              </w:rPr>
              <w:t>C</w:t>
            </w:r>
            <w:r w:rsidR="0059279B" w:rsidRPr="00EC62BA">
              <w:rPr>
                <w:b w:val="0"/>
                <w:vertAlign w:val="subscript"/>
              </w:rPr>
              <w:t>d</w:t>
            </w:r>
          </w:p>
        </w:tc>
        <w:tc>
          <w:tcPr>
            <w:tcW w:w="1141"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0,17</w:t>
            </w:r>
          </w:p>
        </w:tc>
        <w:tc>
          <w:tcPr>
            <w:tcW w:w="1276"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1,275</w:t>
            </w:r>
          </w:p>
        </w:tc>
        <w:tc>
          <w:tcPr>
            <w:tcW w:w="1984"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diepte (m)</w:t>
            </w:r>
          </w:p>
        </w:tc>
        <w:tc>
          <w:tcPr>
            <w:tcW w:w="1520"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500</w:t>
            </w:r>
          </w:p>
        </w:tc>
        <w:tc>
          <w:tcPr>
            <w:tcW w:w="1520"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5000</w:t>
            </w:r>
          </w:p>
        </w:tc>
      </w:tr>
      <w:tr w:rsidR="00A33A5A" w:rsidRPr="002519E7"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rsidR="00A33A5A" w:rsidRPr="002519E7" w:rsidRDefault="00EC62BA" w:rsidP="00A1486B">
            <w:pPr>
              <w:rPr>
                <w:b w:val="0"/>
              </w:rPr>
            </w:pPr>
            <w:proofErr w:type="spellStart"/>
            <w:r>
              <w:rPr>
                <w:b w:val="0"/>
              </w:rPr>
              <w:t>f</w:t>
            </w:r>
            <w:r w:rsidR="00A33A5A" w:rsidRPr="00EC62BA">
              <w:rPr>
                <w:b w:val="0"/>
                <w:vertAlign w:val="subscript"/>
              </w:rPr>
              <w:t>s</w:t>
            </w:r>
            <w:proofErr w:type="spellEnd"/>
          </w:p>
        </w:tc>
        <w:tc>
          <w:tcPr>
            <w:tcW w:w="1141"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0,088</w:t>
            </w:r>
          </w:p>
        </w:tc>
        <w:tc>
          <w:tcPr>
            <w:tcW w:w="1276"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-0,89</w:t>
            </w:r>
          </w:p>
        </w:tc>
        <w:tc>
          <w:tcPr>
            <w:tcW w:w="1984"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aantal boringen</w:t>
            </w:r>
          </w:p>
        </w:tc>
        <w:tc>
          <w:tcPr>
            <w:tcW w:w="1520"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1</w:t>
            </w:r>
          </w:p>
        </w:tc>
        <w:tc>
          <w:tcPr>
            <w:tcW w:w="1520"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4</w:t>
            </w:r>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rsidR="00A33A5A" w:rsidRPr="002519E7" w:rsidRDefault="00EC62BA" w:rsidP="00A1486B">
            <w:pPr>
              <w:rPr>
                <w:b w:val="0"/>
              </w:rPr>
            </w:pPr>
            <w:proofErr w:type="spellStart"/>
            <w:r>
              <w:rPr>
                <w:b w:val="0"/>
              </w:rPr>
              <w:t>f</w:t>
            </w:r>
            <w:r w:rsidR="00A33A5A" w:rsidRPr="00EC62BA">
              <w:rPr>
                <w:b w:val="0"/>
                <w:vertAlign w:val="subscript"/>
              </w:rPr>
              <w:t>we</w:t>
            </w:r>
            <w:proofErr w:type="spellEnd"/>
          </w:p>
        </w:tc>
        <w:tc>
          <w:tcPr>
            <w:tcW w:w="1141"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0,17</w:t>
            </w:r>
          </w:p>
        </w:tc>
        <w:tc>
          <w:tcPr>
            <w:tcW w:w="1276"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-0,29</w:t>
            </w:r>
          </w:p>
        </w:tc>
        <w:tc>
          <w:tcPr>
            <w:tcW w:w="1984"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boorkost (</w:t>
            </w:r>
            <w:proofErr w:type="spellStart"/>
            <w:r w:rsidRPr="002519E7">
              <w:t>kEuro</w:t>
            </w:r>
            <w:proofErr w:type="spellEnd"/>
            <w:r w:rsidRPr="002519E7">
              <w:t>)</w:t>
            </w:r>
          </w:p>
        </w:tc>
        <w:tc>
          <w:tcPr>
            <w:tcW w:w="1520"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250</w:t>
            </w:r>
          </w:p>
        </w:tc>
        <w:tc>
          <w:tcPr>
            <w:tcW w:w="1520"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5000</w:t>
            </w:r>
          </w:p>
        </w:tc>
      </w:tr>
      <w:tr w:rsidR="00A33A5A" w:rsidRPr="002519E7"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rsidR="00A33A5A" w:rsidRPr="002519E7" w:rsidRDefault="00EC62BA" w:rsidP="00A1486B">
            <w:pPr>
              <w:rPr>
                <w:b w:val="0"/>
              </w:rPr>
            </w:pPr>
            <w:proofErr w:type="spellStart"/>
            <w:r>
              <w:rPr>
                <w:b w:val="0"/>
              </w:rPr>
              <w:t>F</w:t>
            </w:r>
            <w:r w:rsidR="00A33A5A" w:rsidRPr="00EC62BA">
              <w:rPr>
                <w:b w:val="0"/>
                <w:vertAlign w:val="subscript"/>
              </w:rPr>
              <w:t>ds</w:t>
            </w:r>
            <w:proofErr w:type="spellEnd"/>
          </w:p>
        </w:tc>
        <w:tc>
          <w:tcPr>
            <w:tcW w:w="1141"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0,18</w:t>
            </w:r>
          </w:p>
        </w:tc>
        <w:tc>
          <w:tcPr>
            <w:tcW w:w="1276"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-0.17</w:t>
            </w:r>
          </w:p>
        </w:tc>
        <w:tc>
          <w:tcPr>
            <w:tcW w:w="1984"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boorkost (</w:t>
            </w:r>
            <w:proofErr w:type="spellStart"/>
            <w:r w:rsidRPr="002519E7">
              <w:t>kEuro</w:t>
            </w:r>
            <w:proofErr w:type="spellEnd"/>
            <w:r w:rsidRPr="002519E7">
              <w:t>)</w:t>
            </w:r>
          </w:p>
        </w:tc>
        <w:tc>
          <w:tcPr>
            <w:tcW w:w="1520"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250</w:t>
            </w:r>
          </w:p>
        </w:tc>
        <w:tc>
          <w:tcPr>
            <w:tcW w:w="1520"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5000</w:t>
            </w:r>
          </w:p>
        </w:tc>
      </w:tr>
    </w:tbl>
    <w:p w:rsidR="00A33A5A" w:rsidRDefault="00A33A5A" w:rsidP="00A1486B"/>
    <w:p w:rsidR="00A33A5A" w:rsidRDefault="00A33A5A" w:rsidP="00A1486B"/>
    <w:p w:rsidR="00A33A5A" w:rsidRPr="006228D1" w:rsidRDefault="00A33A5A" w:rsidP="00A1486B">
      <w:pPr>
        <w:rPr>
          <w:b/>
        </w:rPr>
      </w:pPr>
      <w:r w:rsidRPr="006228D1">
        <w:rPr>
          <w:b/>
        </w:rPr>
        <w:t>Putafwerking</w:t>
      </w:r>
    </w:p>
    <w:p w:rsidR="00A33A5A" w:rsidRDefault="00A33A5A" w:rsidP="00A1486B"/>
    <w:p w:rsidR="00A33A5A" w:rsidRPr="00235119" w:rsidRDefault="00A33A5A" w:rsidP="00A1486B">
      <w:r w:rsidRPr="00235119">
        <w:t xml:space="preserve">De kosten voor de afwerking van een put (in </w:t>
      </w:r>
      <w:proofErr w:type="spellStart"/>
      <w:r w:rsidRPr="00235119">
        <w:t>kEuro</w:t>
      </w:r>
      <w:proofErr w:type="spellEnd"/>
      <w:r w:rsidRPr="00235119">
        <w:t>) wordt ingeschat op basis van de volgende formule</w:t>
      </w:r>
      <w:r>
        <w:t>:</w:t>
      </w:r>
    </w:p>
    <w:p w:rsidR="00A33A5A" w:rsidRPr="00235119" w:rsidRDefault="00A33A5A" w:rsidP="00A1486B"/>
    <w:p w:rsidR="00A33A5A" w:rsidRPr="007E2F03" w:rsidRDefault="00A33A5A" w:rsidP="00A1486B">
      <w:pPr>
        <w:rPr>
          <w:lang w:val="en-US"/>
        </w:rPr>
      </w:pPr>
      <w:r w:rsidRPr="007E2F03">
        <w:rPr>
          <w:lang w:val="en-US"/>
        </w:rPr>
        <w:t>C</w:t>
      </w:r>
      <w:r w:rsidRPr="00BA4404">
        <w:rPr>
          <w:vertAlign w:val="subscript"/>
          <w:lang w:val="en-US"/>
        </w:rPr>
        <w:t>c</w:t>
      </w:r>
      <w:r w:rsidRPr="007E2F03">
        <w:rPr>
          <w:lang w:val="en-US"/>
        </w:rPr>
        <w:t xml:space="preserve"> = </w:t>
      </w:r>
      <w:proofErr w:type="spellStart"/>
      <w:r w:rsidRPr="007E2F03">
        <w:rPr>
          <w:lang w:val="en-US"/>
        </w:rPr>
        <w:t>C</w:t>
      </w:r>
      <w:r w:rsidRPr="00BA4404">
        <w:rPr>
          <w:vertAlign w:val="subscript"/>
          <w:lang w:val="en-US"/>
        </w:rPr>
        <w:t>wc</w:t>
      </w:r>
      <w:proofErr w:type="spellEnd"/>
      <w:r w:rsidRPr="007E2F03">
        <w:rPr>
          <w:lang w:val="en-US"/>
        </w:rPr>
        <w:t xml:space="preserve"> * </w:t>
      </w:r>
      <w:r>
        <w:rPr>
          <w:lang w:val="en-US"/>
        </w:rPr>
        <w:t>(</w:t>
      </w:r>
      <w:proofErr w:type="spellStart"/>
      <w:r w:rsidRPr="007E2F03">
        <w:rPr>
          <w:lang w:val="en-US"/>
        </w:rPr>
        <w:t>f</w:t>
      </w:r>
      <w:r w:rsidRPr="00BA4404">
        <w:rPr>
          <w:vertAlign w:val="subscript"/>
          <w:lang w:val="en-US"/>
        </w:rPr>
        <w:t>m</w:t>
      </w:r>
      <w:proofErr w:type="spellEnd"/>
      <w:r w:rsidRPr="007E2F03">
        <w:rPr>
          <w:lang w:val="en-US"/>
        </w:rPr>
        <w:t xml:space="preserve"> + </w:t>
      </w:r>
      <w:proofErr w:type="spellStart"/>
      <w:r w:rsidRPr="007E2F03">
        <w:rPr>
          <w:lang w:val="en-US"/>
        </w:rPr>
        <w:t>f</w:t>
      </w:r>
      <w:r w:rsidRPr="00E303E9">
        <w:rPr>
          <w:vertAlign w:val="subscript"/>
          <w:lang w:val="en-US"/>
        </w:rPr>
        <w:t>erw</w:t>
      </w:r>
      <w:proofErr w:type="spellEnd"/>
      <w:r w:rsidRPr="007E2F03">
        <w:rPr>
          <w:lang w:val="en-US"/>
        </w:rPr>
        <w:t xml:space="preserve"> + f</w:t>
      </w:r>
      <w:r w:rsidRPr="00E303E9">
        <w:rPr>
          <w:vertAlign w:val="subscript"/>
          <w:lang w:val="en-US"/>
        </w:rPr>
        <w:t>i</w:t>
      </w:r>
      <w:r w:rsidRPr="007E2F03">
        <w:rPr>
          <w:lang w:val="en-US"/>
        </w:rPr>
        <w:t>)</w:t>
      </w:r>
    </w:p>
    <w:p w:rsidR="00A33A5A" w:rsidRPr="007E2F03" w:rsidRDefault="00A33A5A" w:rsidP="00A1486B">
      <w:pPr>
        <w:rPr>
          <w:lang w:val="en-US"/>
        </w:rPr>
      </w:pPr>
    </w:p>
    <w:p w:rsidR="00A33A5A" w:rsidRPr="00235119" w:rsidRDefault="00A33A5A" w:rsidP="00A1486B">
      <w:proofErr w:type="spellStart"/>
      <w:r w:rsidRPr="00235119">
        <w:t>C</w:t>
      </w:r>
      <w:r w:rsidRPr="00E303E9">
        <w:rPr>
          <w:vertAlign w:val="subscript"/>
        </w:rPr>
        <w:t>wc</w:t>
      </w:r>
      <w:proofErr w:type="spellEnd"/>
      <w:r w:rsidRPr="00235119">
        <w:t xml:space="preserve"> = 0,215 * p</w:t>
      </w:r>
      <w:r w:rsidRPr="00235119">
        <w:rPr>
          <w:vertAlign w:val="subscript"/>
        </w:rPr>
        <w:t>d</w:t>
      </w:r>
      <w:r w:rsidRPr="00235119">
        <w:rPr>
          <w:vertAlign w:val="superscript"/>
        </w:rPr>
        <w:t>1,15</w:t>
      </w:r>
    </w:p>
    <w:p w:rsidR="00A33A5A" w:rsidRPr="00235119" w:rsidRDefault="00A33A5A" w:rsidP="00A1486B"/>
    <w:p w:rsidR="00A33A5A" w:rsidRPr="00235119" w:rsidRDefault="00A33A5A" w:rsidP="00A1486B">
      <w:r w:rsidRPr="00235119">
        <w:t>Waarbij P</w:t>
      </w:r>
      <w:r w:rsidRPr="00E303E9">
        <w:rPr>
          <w:vertAlign w:val="subscript"/>
        </w:rPr>
        <w:t>d</w:t>
      </w:r>
      <w:r w:rsidRPr="00235119">
        <w:t xml:space="preserve"> staat voor de ontwerpdruk (bar) voor de range 30 tot 300 bar</w:t>
      </w:r>
      <w:r>
        <w:t>,</w:t>
      </w:r>
    </w:p>
    <w:p w:rsidR="00A33A5A" w:rsidRPr="00235119" w:rsidRDefault="00A33A5A" w:rsidP="00A1486B">
      <w:proofErr w:type="spellStart"/>
      <w:r w:rsidRPr="00235119">
        <w:t>f</w:t>
      </w:r>
      <w:r w:rsidRPr="00E303E9">
        <w:rPr>
          <w:vertAlign w:val="subscript"/>
        </w:rPr>
        <w:t>m</w:t>
      </w:r>
      <w:proofErr w:type="spellEnd"/>
      <w:r w:rsidRPr="00235119">
        <w:t xml:space="preserve"> een correctiefactor voor het gebruik van hoogwaardigere materialen</w:t>
      </w:r>
      <w:r>
        <w:t xml:space="preserve"> (zie </w:t>
      </w:r>
      <w:r>
        <w:fldChar w:fldCharType="begin"/>
      </w:r>
      <w:r>
        <w:instrText xml:space="preserve"> REF _Ref388943570 \h </w:instrText>
      </w:r>
      <w:r>
        <w:fldChar w:fldCharType="separate"/>
      </w:r>
      <w:r w:rsidR="00DC67A3">
        <w:t xml:space="preserve">Tabel </w:t>
      </w:r>
      <w:r w:rsidR="00DC67A3">
        <w:rPr>
          <w:noProof/>
        </w:rPr>
        <w:t>2</w:t>
      </w:r>
      <w:r>
        <w:fldChar w:fldCharType="end"/>
      </w:r>
      <w:r>
        <w:t>);</w:t>
      </w:r>
    </w:p>
    <w:p w:rsidR="00A33A5A" w:rsidRPr="00235119" w:rsidRDefault="00A33A5A" w:rsidP="00A1486B">
      <w:proofErr w:type="spellStart"/>
      <w:r w:rsidRPr="00235119">
        <w:t>f</w:t>
      </w:r>
      <w:r w:rsidRPr="00E303E9">
        <w:rPr>
          <w:vertAlign w:val="subscript"/>
        </w:rPr>
        <w:t>erw</w:t>
      </w:r>
      <w:proofErr w:type="spellEnd"/>
      <w:r w:rsidRPr="00235119">
        <w:t xml:space="preserve"> </w:t>
      </w:r>
      <w:r>
        <w:t>de</w:t>
      </w:r>
      <w:r w:rsidRPr="00235119">
        <w:t xml:space="preserve"> installatiefactor voor het puthoofd</w:t>
      </w:r>
      <w:r>
        <w:t>,</w:t>
      </w:r>
    </w:p>
    <w:p w:rsidR="00A33A5A" w:rsidRPr="00235119" w:rsidRDefault="00A33A5A" w:rsidP="00A1486B">
      <w:proofErr w:type="spellStart"/>
      <w:r w:rsidRPr="00235119">
        <w:t>f</w:t>
      </w:r>
      <w:r w:rsidRPr="00E303E9">
        <w:rPr>
          <w:vertAlign w:val="subscript"/>
        </w:rPr>
        <w:t>i</w:t>
      </w:r>
      <w:proofErr w:type="spellEnd"/>
      <w:r w:rsidRPr="00235119">
        <w:t xml:space="preserve"> </w:t>
      </w:r>
      <w:r>
        <w:t>de</w:t>
      </w:r>
      <w:r w:rsidRPr="00235119">
        <w:t xml:space="preserve"> installatiefactor voor meet- en </w:t>
      </w:r>
      <w:r>
        <w:t>regel</w:t>
      </w:r>
      <w:r w:rsidRPr="00235119">
        <w:t>instrumenten</w:t>
      </w:r>
      <w:r>
        <w:t>.</w:t>
      </w:r>
    </w:p>
    <w:p w:rsidR="00A33A5A" w:rsidRPr="00235119" w:rsidRDefault="00A33A5A" w:rsidP="00A1486B"/>
    <w:p w:rsidR="00A33A5A" w:rsidRPr="00235119" w:rsidRDefault="00A33A5A" w:rsidP="00A1486B">
      <w:proofErr w:type="spellStart"/>
      <w:r w:rsidRPr="00235119">
        <w:t>f</w:t>
      </w:r>
      <w:r w:rsidRPr="00E303E9">
        <w:rPr>
          <w:vertAlign w:val="subscript"/>
        </w:rPr>
        <w:t>erw</w:t>
      </w:r>
      <w:proofErr w:type="spellEnd"/>
      <w:r w:rsidRPr="00235119">
        <w:t xml:space="preserve"> bedraagt 0,175. </w:t>
      </w:r>
      <w:proofErr w:type="spellStart"/>
      <w:r w:rsidRPr="00235119">
        <w:t>f</w:t>
      </w:r>
      <w:r w:rsidRPr="00E303E9">
        <w:rPr>
          <w:vertAlign w:val="subscript"/>
        </w:rPr>
        <w:t>i</w:t>
      </w:r>
      <w:proofErr w:type="spellEnd"/>
      <w:r w:rsidRPr="00235119">
        <w:t xml:space="preserve"> komt op 0,1.</w:t>
      </w:r>
    </w:p>
    <w:p w:rsidR="00A33A5A" w:rsidRDefault="00A33A5A" w:rsidP="00A1486B"/>
    <w:p w:rsidR="00A33A5A" w:rsidRPr="00235119" w:rsidRDefault="00A33A5A" w:rsidP="00A1486B">
      <w:pPr>
        <w:pStyle w:val="Caption"/>
      </w:pPr>
      <w:bookmarkStart w:id="1" w:name="_Ref388943570"/>
      <w:r>
        <w:t xml:space="preserve">Tabel </w:t>
      </w:r>
      <w:r>
        <w:fldChar w:fldCharType="begin"/>
      </w:r>
      <w:r>
        <w:instrText xml:space="preserve"> SEQ Tabel \* ARABIC </w:instrText>
      </w:r>
      <w:r>
        <w:fldChar w:fldCharType="separate"/>
      </w:r>
      <w:r w:rsidR="00DC67A3">
        <w:rPr>
          <w:noProof/>
        </w:rPr>
        <w:t>2</w:t>
      </w:r>
      <w:r>
        <w:fldChar w:fldCharType="end"/>
      </w:r>
      <w:bookmarkEnd w:id="1"/>
      <w:r>
        <w:t xml:space="preserve">: Waardes voor </w:t>
      </w:r>
      <w:proofErr w:type="spellStart"/>
      <w:r>
        <w:t>f</w:t>
      </w:r>
      <w:r w:rsidRPr="00E303E9">
        <w:rPr>
          <w:vertAlign w:val="subscript"/>
        </w:rPr>
        <w:t>m</w:t>
      </w:r>
      <w:proofErr w:type="spellEnd"/>
    </w:p>
    <w:tbl>
      <w:tblPr>
        <w:tblStyle w:val="MediumShading1-Accent2"/>
        <w:tblW w:w="0" w:type="auto"/>
        <w:tblInd w:w="2235" w:type="dxa"/>
        <w:tblLook w:val="04A0" w:firstRow="1" w:lastRow="0" w:firstColumn="1" w:lastColumn="0" w:noHBand="0" w:noVBand="1"/>
      </w:tblPr>
      <w:tblGrid>
        <w:gridCol w:w="2835"/>
        <w:gridCol w:w="1786"/>
      </w:tblGrid>
      <w:tr w:rsidR="00A33A5A" w:rsidRPr="002519E7" w:rsidTr="00A14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A33A5A" w:rsidRPr="002519E7" w:rsidRDefault="00A33A5A" w:rsidP="00A1486B">
            <w:r w:rsidRPr="002519E7">
              <w:t>materiaal</w:t>
            </w:r>
          </w:p>
        </w:tc>
        <w:tc>
          <w:tcPr>
            <w:tcW w:w="1786" w:type="dxa"/>
          </w:tcPr>
          <w:p w:rsidR="00A33A5A" w:rsidRPr="002519E7" w:rsidRDefault="00A33A5A" w:rsidP="00A1486B">
            <w:pPr>
              <w:jc w:val="right"/>
              <w:cnfStyle w:val="100000000000" w:firstRow="1" w:lastRow="0" w:firstColumn="0" w:lastColumn="0" w:oddVBand="0" w:evenVBand="0" w:oddHBand="0" w:evenHBand="0" w:firstRowFirstColumn="0" w:firstRowLastColumn="0" w:lastRowFirstColumn="0" w:lastRowLastColumn="0"/>
            </w:pPr>
            <w:proofErr w:type="spellStart"/>
            <w:r w:rsidRPr="002519E7">
              <w:t>fm</w:t>
            </w:r>
            <w:proofErr w:type="spellEnd"/>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A33A5A" w:rsidRPr="002519E7" w:rsidRDefault="00A33A5A" w:rsidP="00A1486B">
            <w:pPr>
              <w:rPr>
                <w:b w:val="0"/>
              </w:rPr>
            </w:pPr>
            <w:r w:rsidRPr="002519E7">
              <w:rPr>
                <w:b w:val="0"/>
              </w:rPr>
              <w:t>koolstofstaal</w:t>
            </w:r>
          </w:p>
        </w:tc>
        <w:tc>
          <w:tcPr>
            <w:tcW w:w="1786" w:type="dxa"/>
          </w:tcPr>
          <w:p w:rsidR="00A33A5A" w:rsidRPr="002519E7" w:rsidRDefault="00A33A5A" w:rsidP="00A1486B">
            <w:pPr>
              <w:jc w:val="right"/>
              <w:cnfStyle w:val="000000100000" w:firstRow="0" w:lastRow="0" w:firstColumn="0" w:lastColumn="0" w:oddVBand="0" w:evenVBand="0" w:oddHBand="1" w:evenHBand="0" w:firstRowFirstColumn="0" w:firstRowLastColumn="0" w:lastRowFirstColumn="0" w:lastRowLastColumn="0"/>
            </w:pPr>
            <w:r w:rsidRPr="002519E7">
              <w:t>1,0</w:t>
            </w:r>
          </w:p>
        </w:tc>
      </w:tr>
      <w:tr w:rsidR="00A33A5A" w:rsidRPr="002519E7"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A33A5A" w:rsidRPr="002519E7" w:rsidRDefault="00A33A5A" w:rsidP="00A1486B">
            <w:pPr>
              <w:rPr>
                <w:b w:val="0"/>
              </w:rPr>
            </w:pPr>
            <w:r w:rsidRPr="002519E7">
              <w:rPr>
                <w:b w:val="0"/>
              </w:rPr>
              <w:t>RVS 304</w:t>
            </w:r>
          </w:p>
        </w:tc>
        <w:tc>
          <w:tcPr>
            <w:tcW w:w="1786" w:type="dxa"/>
          </w:tcPr>
          <w:p w:rsidR="00A33A5A" w:rsidRPr="002519E7" w:rsidRDefault="00A33A5A" w:rsidP="00A1486B">
            <w:pPr>
              <w:jc w:val="right"/>
              <w:cnfStyle w:val="000000010000" w:firstRow="0" w:lastRow="0" w:firstColumn="0" w:lastColumn="0" w:oddVBand="0" w:evenVBand="0" w:oddHBand="0" w:evenHBand="1" w:firstRowFirstColumn="0" w:firstRowLastColumn="0" w:lastRowFirstColumn="0" w:lastRowLastColumn="0"/>
            </w:pPr>
            <w:r w:rsidRPr="002519E7">
              <w:t>1,3</w:t>
            </w:r>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A33A5A" w:rsidRPr="002519E7" w:rsidRDefault="00A33A5A" w:rsidP="00A1486B">
            <w:pPr>
              <w:rPr>
                <w:b w:val="0"/>
              </w:rPr>
            </w:pPr>
            <w:r w:rsidRPr="002519E7">
              <w:rPr>
                <w:b w:val="0"/>
              </w:rPr>
              <w:t>RVS 316</w:t>
            </w:r>
          </w:p>
        </w:tc>
        <w:tc>
          <w:tcPr>
            <w:tcW w:w="1786" w:type="dxa"/>
          </w:tcPr>
          <w:p w:rsidR="00A33A5A" w:rsidRPr="002519E7" w:rsidRDefault="00A33A5A" w:rsidP="00A1486B">
            <w:pPr>
              <w:jc w:val="right"/>
              <w:cnfStyle w:val="000000100000" w:firstRow="0" w:lastRow="0" w:firstColumn="0" w:lastColumn="0" w:oddVBand="0" w:evenVBand="0" w:oddHBand="1" w:evenHBand="0" w:firstRowFirstColumn="0" w:firstRowLastColumn="0" w:lastRowFirstColumn="0" w:lastRowLastColumn="0"/>
            </w:pPr>
            <w:r w:rsidRPr="002519E7">
              <w:t>1,3</w:t>
            </w:r>
          </w:p>
        </w:tc>
      </w:tr>
      <w:tr w:rsidR="00A33A5A" w:rsidRPr="002519E7"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A33A5A" w:rsidRPr="002519E7" w:rsidRDefault="00A33A5A" w:rsidP="00A1486B">
            <w:pPr>
              <w:rPr>
                <w:b w:val="0"/>
              </w:rPr>
            </w:pPr>
            <w:r w:rsidRPr="002519E7">
              <w:rPr>
                <w:b w:val="0"/>
              </w:rPr>
              <w:t>RVS 321</w:t>
            </w:r>
          </w:p>
        </w:tc>
        <w:tc>
          <w:tcPr>
            <w:tcW w:w="1786" w:type="dxa"/>
          </w:tcPr>
          <w:p w:rsidR="00A33A5A" w:rsidRPr="002519E7" w:rsidRDefault="00A33A5A" w:rsidP="00A1486B">
            <w:pPr>
              <w:jc w:val="right"/>
              <w:cnfStyle w:val="000000010000" w:firstRow="0" w:lastRow="0" w:firstColumn="0" w:lastColumn="0" w:oddVBand="0" w:evenVBand="0" w:oddHBand="0" w:evenHBand="1" w:firstRowFirstColumn="0" w:firstRowLastColumn="0" w:lastRowFirstColumn="0" w:lastRowLastColumn="0"/>
            </w:pPr>
            <w:r w:rsidRPr="002519E7">
              <w:t>1,5</w:t>
            </w:r>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A33A5A" w:rsidRPr="002519E7" w:rsidRDefault="00A33A5A" w:rsidP="00A1486B">
            <w:pPr>
              <w:rPr>
                <w:b w:val="0"/>
              </w:rPr>
            </w:pPr>
            <w:proofErr w:type="spellStart"/>
            <w:r w:rsidRPr="002519E7">
              <w:rPr>
                <w:b w:val="0"/>
              </w:rPr>
              <w:t>Hastelloy</w:t>
            </w:r>
            <w:proofErr w:type="spellEnd"/>
            <w:r w:rsidRPr="002519E7">
              <w:rPr>
                <w:b w:val="0"/>
              </w:rPr>
              <w:t xml:space="preserve"> C</w:t>
            </w:r>
          </w:p>
        </w:tc>
        <w:tc>
          <w:tcPr>
            <w:tcW w:w="1786" w:type="dxa"/>
          </w:tcPr>
          <w:p w:rsidR="00A33A5A" w:rsidRPr="002519E7" w:rsidRDefault="00A33A5A" w:rsidP="00A1486B">
            <w:pPr>
              <w:jc w:val="right"/>
              <w:cnfStyle w:val="000000100000" w:firstRow="0" w:lastRow="0" w:firstColumn="0" w:lastColumn="0" w:oddVBand="0" w:evenVBand="0" w:oddHBand="1" w:evenHBand="0" w:firstRowFirstColumn="0" w:firstRowLastColumn="0" w:lastRowFirstColumn="0" w:lastRowLastColumn="0"/>
            </w:pPr>
            <w:r w:rsidRPr="002519E7">
              <w:t>1,55</w:t>
            </w:r>
          </w:p>
        </w:tc>
      </w:tr>
      <w:tr w:rsidR="00A33A5A" w:rsidRPr="002519E7"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A33A5A" w:rsidRPr="002519E7" w:rsidRDefault="00A33A5A" w:rsidP="00A1486B">
            <w:pPr>
              <w:rPr>
                <w:b w:val="0"/>
              </w:rPr>
            </w:pPr>
            <w:proofErr w:type="spellStart"/>
            <w:r w:rsidRPr="002519E7">
              <w:rPr>
                <w:b w:val="0"/>
              </w:rPr>
              <w:t>Monel</w:t>
            </w:r>
            <w:proofErr w:type="spellEnd"/>
          </w:p>
        </w:tc>
        <w:tc>
          <w:tcPr>
            <w:tcW w:w="1786" w:type="dxa"/>
          </w:tcPr>
          <w:p w:rsidR="00A33A5A" w:rsidRPr="002519E7" w:rsidRDefault="00A33A5A" w:rsidP="00A1486B">
            <w:pPr>
              <w:jc w:val="right"/>
              <w:cnfStyle w:val="000000010000" w:firstRow="0" w:lastRow="0" w:firstColumn="0" w:lastColumn="0" w:oddVBand="0" w:evenVBand="0" w:oddHBand="0" w:evenHBand="1" w:firstRowFirstColumn="0" w:firstRowLastColumn="0" w:lastRowFirstColumn="0" w:lastRowLastColumn="0"/>
            </w:pPr>
            <w:r w:rsidRPr="002519E7">
              <w:t>1,65</w:t>
            </w:r>
          </w:p>
        </w:tc>
      </w:tr>
      <w:tr w:rsidR="00A33A5A" w:rsidRPr="00235119"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A33A5A" w:rsidRPr="002519E7" w:rsidRDefault="00A33A5A" w:rsidP="00A1486B">
            <w:pPr>
              <w:rPr>
                <w:b w:val="0"/>
              </w:rPr>
            </w:pPr>
            <w:r w:rsidRPr="002519E7">
              <w:rPr>
                <w:b w:val="0"/>
              </w:rPr>
              <w:t xml:space="preserve">Nikkel en </w:t>
            </w:r>
            <w:proofErr w:type="spellStart"/>
            <w:r w:rsidRPr="002519E7">
              <w:rPr>
                <w:b w:val="0"/>
              </w:rPr>
              <w:t>Inconel</w:t>
            </w:r>
            <w:proofErr w:type="spellEnd"/>
          </w:p>
        </w:tc>
        <w:tc>
          <w:tcPr>
            <w:tcW w:w="1786" w:type="dxa"/>
          </w:tcPr>
          <w:p w:rsidR="00A33A5A" w:rsidRPr="00235119" w:rsidRDefault="00A33A5A" w:rsidP="00A1486B">
            <w:pPr>
              <w:jc w:val="right"/>
              <w:cnfStyle w:val="000000100000" w:firstRow="0" w:lastRow="0" w:firstColumn="0" w:lastColumn="0" w:oddVBand="0" w:evenVBand="0" w:oddHBand="1" w:evenHBand="0" w:firstRowFirstColumn="0" w:firstRowLastColumn="0" w:lastRowFirstColumn="0" w:lastRowLastColumn="0"/>
            </w:pPr>
            <w:r w:rsidRPr="002519E7">
              <w:t>1,7</w:t>
            </w:r>
          </w:p>
        </w:tc>
      </w:tr>
    </w:tbl>
    <w:p w:rsidR="00A33A5A" w:rsidRDefault="00A33A5A" w:rsidP="00A1486B"/>
    <w:p w:rsidR="00A33A5A" w:rsidRDefault="00A33A5A" w:rsidP="00A1486B"/>
    <w:p w:rsidR="00FD0345" w:rsidRDefault="00FD0345" w:rsidP="00A1486B"/>
    <w:p w:rsidR="00FD0345" w:rsidRDefault="00FD0345" w:rsidP="00A1486B"/>
    <w:p w:rsidR="00A33A5A" w:rsidRPr="006228D1" w:rsidRDefault="00A33A5A" w:rsidP="00A1486B">
      <w:pPr>
        <w:rPr>
          <w:b/>
        </w:rPr>
      </w:pPr>
      <w:r w:rsidRPr="006228D1">
        <w:rPr>
          <w:b/>
        </w:rPr>
        <w:lastRenderedPageBreak/>
        <w:t>Pomp</w:t>
      </w:r>
    </w:p>
    <w:p w:rsidR="00A33A5A" w:rsidRPr="00235119" w:rsidRDefault="00A33A5A" w:rsidP="00A1486B"/>
    <w:p w:rsidR="00A33A5A" w:rsidRPr="00235119" w:rsidRDefault="00A33A5A" w:rsidP="00A1486B">
      <w:r w:rsidRPr="00235119">
        <w:t xml:space="preserve">De kosten voor de installatie van de pomp en het aanbrengen van de </w:t>
      </w:r>
      <w:r>
        <w:t>productiebuis</w:t>
      </w:r>
      <w:r w:rsidRPr="00235119">
        <w:t xml:space="preserve"> </w:t>
      </w:r>
      <w:r>
        <w:t xml:space="preserve">(beiden in </w:t>
      </w:r>
      <w:proofErr w:type="spellStart"/>
      <w:r>
        <w:t>kEuro</w:t>
      </w:r>
      <w:proofErr w:type="spellEnd"/>
      <w:r>
        <w:t xml:space="preserve">) </w:t>
      </w:r>
      <w:r w:rsidRPr="00235119">
        <w:t>worden ingeschat op basis van de volgende formule</w:t>
      </w:r>
      <w:r>
        <w:t>s</w:t>
      </w:r>
      <w:r w:rsidRPr="00235119">
        <w:t>:</w:t>
      </w:r>
    </w:p>
    <w:p w:rsidR="00A33A5A" w:rsidRPr="00235119" w:rsidRDefault="00A33A5A" w:rsidP="00A1486B"/>
    <w:p w:rsidR="00A33A5A" w:rsidRPr="007E2F03" w:rsidRDefault="00A33A5A" w:rsidP="00A1486B">
      <w:pPr>
        <w:rPr>
          <w:lang w:val="en-US"/>
        </w:rPr>
      </w:pPr>
      <w:proofErr w:type="spellStart"/>
      <w:r w:rsidRPr="007E2F03">
        <w:rPr>
          <w:lang w:val="en-US"/>
        </w:rPr>
        <w:t>C</w:t>
      </w:r>
      <w:r w:rsidRPr="00E303E9">
        <w:rPr>
          <w:vertAlign w:val="subscript"/>
          <w:lang w:val="en-US"/>
        </w:rPr>
        <w:t>pt</w:t>
      </w:r>
      <w:proofErr w:type="spellEnd"/>
      <w:r w:rsidRPr="007E2F03">
        <w:rPr>
          <w:lang w:val="en-US"/>
        </w:rPr>
        <w:t xml:space="preserve"> = (</w:t>
      </w:r>
      <w:proofErr w:type="spellStart"/>
      <w:r w:rsidRPr="007E2F03">
        <w:rPr>
          <w:lang w:val="en-US"/>
        </w:rPr>
        <w:t>C</w:t>
      </w:r>
      <w:r w:rsidRPr="00E303E9">
        <w:rPr>
          <w:vertAlign w:val="subscript"/>
          <w:lang w:val="en-US"/>
        </w:rPr>
        <w:t>p</w:t>
      </w:r>
      <w:proofErr w:type="spellEnd"/>
      <w:r w:rsidRPr="007E2F03">
        <w:rPr>
          <w:lang w:val="en-US"/>
        </w:rPr>
        <w:t xml:space="preserve"> + C</w:t>
      </w:r>
      <w:r w:rsidRPr="00E303E9">
        <w:rPr>
          <w:vertAlign w:val="subscript"/>
          <w:lang w:val="en-US"/>
        </w:rPr>
        <w:t>t</w:t>
      </w:r>
      <w:r w:rsidRPr="007E2F03">
        <w:rPr>
          <w:lang w:val="en-US"/>
        </w:rPr>
        <w:t>) * [</w:t>
      </w:r>
      <w:proofErr w:type="spellStart"/>
      <w:r w:rsidRPr="007E2F03">
        <w:rPr>
          <w:lang w:val="en-US"/>
        </w:rPr>
        <w:t>f</w:t>
      </w:r>
      <w:r w:rsidRPr="00E303E9">
        <w:rPr>
          <w:vertAlign w:val="subscript"/>
          <w:lang w:val="en-US"/>
        </w:rPr>
        <w:t>m</w:t>
      </w:r>
      <w:proofErr w:type="spellEnd"/>
      <w:r w:rsidRPr="007E2F03">
        <w:rPr>
          <w:lang w:val="en-US"/>
        </w:rPr>
        <w:t xml:space="preserve"> + </w:t>
      </w:r>
      <w:proofErr w:type="spellStart"/>
      <w:r w:rsidRPr="007E2F03">
        <w:rPr>
          <w:lang w:val="en-US"/>
        </w:rPr>
        <w:t>f</w:t>
      </w:r>
      <w:r w:rsidRPr="00E303E9">
        <w:rPr>
          <w:vertAlign w:val="subscript"/>
          <w:lang w:val="en-US"/>
        </w:rPr>
        <w:t>erp</w:t>
      </w:r>
      <w:proofErr w:type="spellEnd"/>
      <w:r w:rsidRPr="007E2F03">
        <w:rPr>
          <w:lang w:val="en-US"/>
        </w:rPr>
        <w:t xml:space="preserve"> + f</w:t>
      </w:r>
      <w:r w:rsidRPr="00E303E9">
        <w:rPr>
          <w:vertAlign w:val="subscript"/>
          <w:lang w:val="en-US"/>
        </w:rPr>
        <w:t>i</w:t>
      </w:r>
      <w:r w:rsidRPr="007E2F03">
        <w:rPr>
          <w:lang w:val="en-US"/>
        </w:rPr>
        <w:t xml:space="preserve"> + </w:t>
      </w:r>
      <w:proofErr w:type="spellStart"/>
      <w:r w:rsidRPr="007E2F03">
        <w:rPr>
          <w:lang w:val="en-US"/>
        </w:rPr>
        <w:t>f</w:t>
      </w:r>
      <w:r w:rsidRPr="00E303E9">
        <w:rPr>
          <w:vertAlign w:val="subscript"/>
          <w:lang w:val="en-US"/>
        </w:rPr>
        <w:t>el</w:t>
      </w:r>
      <w:proofErr w:type="spellEnd"/>
      <w:r w:rsidRPr="007E2F03">
        <w:rPr>
          <w:lang w:val="en-US"/>
        </w:rPr>
        <w:t>)</w:t>
      </w:r>
    </w:p>
    <w:p w:rsidR="00A33A5A" w:rsidRPr="007E2F03" w:rsidRDefault="00A33A5A" w:rsidP="00A1486B">
      <w:pPr>
        <w:rPr>
          <w:lang w:val="en-US"/>
        </w:rPr>
      </w:pPr>
    </w:p>
    <w:p w:rsidR="00A33A5A" w:rsidRPr="00965FD6" w:rsidRDefault="00A33A5A" w:rsidP="00A1486B">
      <w:pPr>
        <w:rPr>
          <w:vertAlign w:val="superscript"/>
        </w:rPr>
      </w:pPr>
      <w:proofErr w:type="spellStart"/>
      <w:r w:rsidRPr="00235119">
        <w:t>C</w:t>
      </w:r>
      <w:r w:rsidRPr="00E303E9">
        <w:rPr>
          <w:vertAlign w:val="subscript"/>
        </w:rPr>
        <w:t>p</w:t>
      </w:r>
      <w:proofErr w:type="spellEnd"/>
      <w:r w:rsidRPr="00235119">
        <w:t xml:space="preserve"> = 9,15 * (W/4)</w:t>
      </w:r>
      <w:r w:rsidRPr="00235119">
        <w:rPr>
          <w:vertAlign w:val="superscript"/>
        </w:rPr>
        <w:t>0,55</w:t>
      </w:r>
    </w:p>
    <w:p w:rsidR="00A33A5A" w:rsidRPr="00235119" w:rsidRDefault="00A33A5A" w:rsidP="00A1486B"/>
    <w:p w:rsidR="00A33A5A" w:rsidRPr="00235119" w:rsidRDefault="00A33A5A" w:rsidP="00A1486B">
      <w:proofErr w:type="spellStart"/>
      <w:r w:rsidRPr="00235119">
        <w:t>C</w:t>
      </w:r>
      <w:r w:rsidRPr="00E303E9">
        <w:rPr>
          <w:vertAlign w:val="subscript"/>
        </w:rPr>
        <w:t>t</w:t>
      </w:r>
      <w:proofErr w:type="spellEnd"/>
      <w:r w:rsidRPr="00235119">
        <w:t xml:space="preserve"> = </w:t>
      </w:r>
      <w:r>
        <w:t>d</w:t>
      </w:r>
      <w:r w:rsidRPr="00E303E9">
        <w:rPr>
          <w:vertAlign w:val="subscript"/>
        </w:rPr>
        <w:t>p</w:t>
      </w:r>
      <w:r>
        <w:t xml:space="preserve"> * 0,0</w:t>
      </w:r>
      <w:r w:rsidRPr="00235119">
        <w:t>55 * (D/4)</w:t>
      </w:r>
      <w:r w:rsidRPr="00235119">
        <w:rPr>
          <w:vertAlign w:val="superscript"/>
        </w:rPr>
        <w:t>1,05</w:t>
      </w:r>
    </w:p>
    <w:p w:rsidR="00A33A5A" w:rsidRPr="00235119" w:rsidRDefault="00A33A5A" w:rsidP="00A1486B"/>
    <w:p w:rsidR="00A33A5A" w:rsidRPr="00235119" w:rsidRDefault="00A33A5A" w:rsidP="00A1486B">
      <w:r w:rsidRPr="00235119">
        <w:t>Met W het vermogen van de pomp in kW b</w:t>
      </w:r>
      <w:r>
        <w:t>innen de range van 4 tot 700 kW,</w:t>
      </w:r>
    </w:p>
    <w:p w:rsidR="00A33A5A" w:rsidRPr="00235119" w:rsidRDefault="00A33A5A" w:rsidP="00A1486B">
      <w:r w:rsidRPr="00235119">
        <w:t>d</w:t>
      </w:r>
      <w:r w:rsidRPr="00E303E9">
        <w:rPr>
          <w:vertAlign w:val="subscript"/>
        </w:rPr>
        <w:t>p</w:t>
      </w:r>
      <w:r w:rsidRPr="00235119">
        <w:t xml:space="preserve"> de installatiediepte van de pomp</w:t>
      </w:r>
      <w:r>
        <w:t>,</w:t>
      </w:r>
    </w:p>
    <w:p w:rsidR="00A33A5A" w:rsidRPr="00235119" w:rsidRDefault="00A33A5A" w:rsidP="00A1486B">
      <w:r w:rsidRPr="00235119">
        <w:t>D de diameter van de productie</w:t>
      </w:r>
      <w:r>
        <w:t>buis</w:t>
      </w:r>
      <w:r w:rsidRPr="00235119">
        <w:t xml:space="preserve"> in inch (range 4” – 18 </w:t>
      </w:r>
      <w:r w:rsidRPr="00235119">
        <w:rPr>
          <w:vertAlign w:val="superscript"/>
        </w:rPr>
        <w:t>5</w:t>
      </w:r>
      <w:r w:rsidRPr="00235119">
        <w:t>/</w:t>
      </w:r>
      <w:r w:rsidRPr="00235119">
        <w:rPr>
          <w:vertAlign w:val="subscript"/>
        </w:rPr>
        <w:t>8</w:t>
      </w:r>
      <w:r w:rsidRPr="00235119">
        <w:t>”)</w:t>
      </w:r>
      <w:r>
        <w:t>,</w:t>
      </w:r>
    </w:p>
    <w:p w:rsidR="00A33A5A" w:rsidRPr="00235119" w:rsidRDefault="00A33A5A" w:rsidP="00A1486B">
      <w:proofErr w:type="spellStart"/>
      <w:r w:rsidRPr="00235119">
        <w:t>f</w:t>
      </w:r>
      <w:r w:rsidRPr="00E303E9">
        <w:rPr>
          <w:vertAlign w:val="subscript"/>
        </w:rPr>
        <w:t>erp</w:t>
      </w:r>
      <w:proofErr w:type="spellEnd"/>
      <w:r w:rsidRPr="00235119">
        <w:t xml:space="preserve"> de installatiefactor voor de pomp en de </w:t>
      </w:r>
      <w:r>
        <w:t>productiebuis,</w:t>
      </w:r>
    </w:p>
    <w:p w:rsidR="00A33A5A" w:rsidRDefault="00A33A5A" w:rsidP="00A1486B">
      <w:r w:rsidRPr="00235119">
        <w:t>f</w:t>
      </w:r>
      <w:r w:rsidRPr="00E303E9">
        <w:rPr>
          <w:vertAlign w:val="subscript"/>
        </w:rPr>
        <w:t>el</w:t>
      </w:r>
      <w:r w:rsidRPr="00235119">
        <w:t xml:space="preserve"> de installatiefactor voor de elektrische bekabeling en contr</w:t>
      </w:r>
      <w:r>
        <w:t>ole.</w:t>
      </w:r>
    </w:p>
    <w:p w:rsidR="00A33A5A" w:rsidRDefault="00A33A5A" w:rsidP="00A1486B"/>
    <w:p w:rsidR="00A33A5A" w:rsidRPr="00235119" w:rsidRDefault="00A33A5A" w:rsidP="00A1486B">
      <w:proofErr w:type="spellStart"/>
      <w:r w:rsidRPr="00235119">
        <w:t>f</w:t>
      </w:r>
      <w:r w:rsidRPr="00E303E9">
        <w:rPr>
          <w:vertAlign w:val="subscript"/>
        </w:rPr>
        <w:t>erp</w:t>
      </w:r>
      <w:proofErr w:type="spellEnd"/>
      <w:r w:rsidRPr="00235119">
        <w:t xml:space="preserve"> bedraagt 0,15. </w:t>
      </w:r>
      <w:proofErr w:type="spellStart"/>
      <w:r w:rsidRPr="00235119">
        <w:t>f</w:t>
      </w:r>
      <w:r w:rsidRPr="00E303E9">
        <w:rPr>
          <w:vertAlign w:val="subscript"/>
        </w:rPr>
        <w:t>i</w:t>
      </w:r>
      <w:proofErr w:type="spellEnd"/>
      <w:r w:rsidRPr="00235119">
        <w:t xml:space="preserve"> bedraagt 0,1</w:t>
      </w:r>
      <w:r>
        <w:t xml:space="preserve">. </w:t>
      </w:r>
      <w:r w:rsidRPr="00235119">
        <w:t>f</w:t>
      </w:r>
      <w:r w:rsidRPr="00E303E9">
        <w:rPr>
          <w:vertAlign w:val="subscript"/>
        </w:rPr>
        <w:t>el</w:t>
      </w:r>
      <w:r w:rsidRPr="00235119">
        <w:t xml:space="preserve"> bedraagt 0,1.</w:t>
      </w:r>
    </w:p>
    <w:p w:rsidR="00A33A5A" w:rsidRDefault="00A33A5A" w:rsidP="00A1486B"/>
    <w:p w:rsidR="00A33A5A" w:rsidRDefault="00A33A5A" w:rsidP="00A1486B"/>
    <w:p w:rsidR="00A33A5A" w:rsidRPr="006228D1" w:rsidRDefault="00A33A5A" w:rsidP="00A1486B">
      <w:pPr>
        <w:rPr>
          <w:b/>
        </w:rPr>
      </w:pPr>
      <w:r w:rsidRPr="006228D1">
        <w:rPr>
          <w:b/>
        </w:rPr>
        <w:t>Totale investering boringen</w:t>
      </w:r>
    </w:p>
    <w:p w:rsidR="00A33A5A" w:rsidRPr="00235119" w:rsidRDefault="00A33A5A" w:rsidP="00A1486B"/>
    <w:p w:rsidR="00A33A5A" w:rsidRPr="00235119" w:rsidRDefault="00A33A5A" w:rsidP="00A1486B">
      <w:r w:rsidRPr="00235119">
        <w:t>De tota</w:t>
      </w:r>
      <w:r>
        <w:t>a</w:t>
      </w:r>
      <w:r w:rsidRPr="00235119">
        <w:t xml:space="preserve">l </w:t>
      </w:r>
      <w:r>
        <w:t>investeringskost</w:t>
      </w:r>
      <w:r w:rsidRPr="00235119">
        <w:t xml:space="preserve"> voor de afgewerkte putten wordt berekend met de volgende formule:</w:t>
      </w:r>
    </w:p>
    <w:p w:rsidR="00A33A5A" w:rsidRPr="00235119" w:rsidRDefault="00A33A5A" w:rsidP="00A1486B"/>
    <w:p w:rsidR="00A33A5A" w:rsidRDefault="00A33A5A" w:rsidP="00A1486B">
      <w:proofErr w:type="spellStart"/>
      <w:r w:rsidRPr="00235119">
        <w:t>C</w:t>
      </w:r>
      <w:r w:rsidRPr="00E303E9">
        <w:rPr>
          <w:vertAlign w:val="subscript"/>
        </w:rPr>
        <w:t>bt</w:t>
      </w:r>
      <w:proofErr w:type="spellEnd"/>
      <w:r w:rsidRPr="00235119">
        <w:t xml:space="preserve"> = </w:t>
      </w:r>
      <w:r w:rsidRPr="003455BD">
        <w:rPr>
          <w:position w:val="-28"/>
        </w:rPr>
        <w:object w:dxaOrig="166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2pt;height:27.15pt" o:ole="">
            <v:imagedata r:id="rId13" o:title=""/>
          </v:shape>
          <o:OLEObject Type="Embed" ProgID="Equation.3" ShapeID="_x0000_i1025" DrawAspect="Content" ObjectID="_1582551777" r:id="rId14"/>
        </w:object>
      </w:r>
    </w:p>
    <w:p w:rsidR="00A33A5A" w:rsidRDefault="00A33A5A" w:rsidP="00A1486B"/>
    <w:p w:rsidR="00A33A5A" w:rsidRPr="00235119" w:rsidRDefault="00A33A5A" w:rsidP="00A1486B">
      <w:r>
        <w:t>Met i het aantal putten (minimaal 2: één productie- en een injectieput).</w:t>
      </w:r>
    </w:p>
    <w:p w:rsidR="00A33A5A" w:rsidRPr="00235119" w:rsidRDefault="00A33A5A" w:rsidP="00A1486B"/>
    <w:p w:rsidR="00A33A5A" w:rsidRPr="00235119" w:rsidRDefault="00A33A5A" w:rsidP="00A1486B">
      <w:pPr>
        <w:pStyle w:val="Heading2"/>
      </w:pPr>
      <w:r w:rsidRPr="00235119">
        <w:t>Pomphuis en warmtewisselaar</w:t>
      </w:r>
    </w:p>
    <w:p w:rsidR="00A33A5A" w:rsidRPr="00235119" w:rsidRDefault="00A33A5A" w:rsidP="00A1486B"/>
    <w:p w:rsidR="00A33A5A" w:rsidRDefault="00A33A5A" w:rsidP="00A1486B">
      <w:r>
        <w:t xml:space="preserve">De overdracht van de geothermische energie naar het verwarmingssysteem kan gebeuren door middel van een shell &amp; tube of een </w:t>
      </w:r>
      <w:r w:rsidR="006E2D94">
        <w:t>platen</w:t>
      </w:r>
      <w:r>
        <w:t xml:space="preserve">warmtewisselaar. Het kostenmodel voor shell &amp; tube warmtewisselaars is overgenomen van R. Smith, 2005. Chemical </w:t>
      </w:r>
      <w:proofErr w:type="spellStart"/>
      <w:r>
        <w:t>process</w:t>
      </w:r>
      <w:proofErr w:type="spellEnd"/>
      <w:r>
        <w:t xml:space="preserve"> design. </w:t>
      </w:r>
      <w:proofErr w:type="spellStart"/>
      <w:r>
        <w:t>Wiley</w:t>
      </w:r>
      <w:proofErr w:type="spellEnd"/>
      <w:r>
        <w:t xml:space="preserve">, New York. Het kostenmodel voor </w:t>
      </w:r>
      <w:r w:rsidR="006E2D94">
        <w:t>een platen</w:t>
      </w:r>
      <w:r>
        <w:t xml:space="preserve">warmtewisselaars is afkomstig van C. </w:t>
      </w:r>
      <w:proofErr w:type="spellStart"/>
      <w:r>
        <w:t>Haslego</w:t>
      </w:r>
      <w:proofErr w:type="spellEnd"/>
      <w:r>
        <w:t xml:space="preserve"> &amp; G. Polly, 2002. Compact heat </w:t>
      </w:r>
      <w:proofErr w:type="spellStart"/>
      <w:r>
        <w:t>exchangers</w:t>
      </w:r>
      <w:proofErr w:type="spellEnd"/>
      <w:r>
        <w:t>: part 1. CEP Magazine September 2002, p. 32-37.</w:t>
      </w:r>
    </w:p>
    <w:p w:rsidR="00A33A5A" w:rsidRDefault="00A33A5A" w:rsidP="00A1486B"/>
    <w:p w:rsidR="00A33A5A" w:rsidRDefault="00A33A5A" w:rsidP="00A1486B">
      <w:r>
        <w:t xml:space="preserve">De productkost voor een shell &amp; tube warmtewisselaar (in </w:t>
      </w:r>
      <w:proofErr w:type="spellStart"/>
      <w:r>
        <w:t>kEuro</w:t>
      </w:r>
      <w:proofErr w:type="spellEnd"/>
      <w:r>
        <w:t xml:space="preserve"> voor het jaar 2013) uitgevoerd in koolstofstaal wordt gegeven door:</w:t>
      </w:r>
    </w:p>
    <w:p w:rsidR="00A33A5A" w:rsidRDefault="00A33A5A" w:rsidP="00A1486B"/>
    <w:p w:rsidR="00A33A5A" w:rsidRDefault="00A33A5A" w:rsidP="00A1486B">
      <w:proofErr w:type="spellStart"/>
      <w:r>
        <w:t>C</w:t>
      </w:r>
      <w:r w:rsidRPr="00E303E9">
        <w:rPr>
          <w:vertAlign w:val="subscript"/>
        </w:rPr>
        <w:t>hXs</w:t>
      </w:r>
      <w:proofErr w:type="spellEnd"/>
      <w:r>
        <w:t xml:space="preserve"> = 35 * (A/80)</w:t>
      </w:r>
      <w:r w:rsidRPr="00544781">
        <w:rPr>
          <w:vertAlign w:val="superscript"/>
        </w:rPr>
        <w:t>0,68</w:t>
      </w:r>
    </w:p>
    <w:p w:rsidR="00A33A5A" w:rsidRDefault="00A33A5A" w:rsidP="00A1486B"/>
    <w:p w:rsidR="00A33A5A" w:rsidRDefault="00A33A5A" w:rsidP="00A1486B">
      <w:r>
        <w:t>Waarin A staat voor de het warmtewisselend oppervlak in m</w:t>
      </w:r>
      <w:r w:rsidRPr="00EF1F8C">
        <w:rPr>
          <w:vertAlign w:val="superscript"/>
        </w:rPr>
        <w:t>2</w:t>
      </w:r>
      <w:r>
        <w:t>. De formule is geldig binnen een bereik voor A van 80 tot 4.000 m</w:t>
      </w:r>
      <w:r w:rsidRPr="00E303E9">
        <w:rPr>
          <w:vertAlign w:val="superscript"/>
        </w:rPr>
        <w:t>2</w:t>
      </w:r>
      <w:r>
        <w:t>.</w:t>
      </w:r>
    </w:p>
    <w:p w:rsidR="00A33A5A" w:rsidRDefault="00A33A5A" w:rsidP="00A1486B"/>
    <w:p w:rsidR="00A33A5A" w:rsidRDefault="00A33A5A" w:rsidP="00A1486B">
      <w:r>
        <w:t xml:space="preserve">De productkost voor een </w:t>
      </w:r>
      <w:r w:rsidR="006E2D94">
        <w:t>platen</w:t>
      </w:r>
      <w:r>
        <w:t xml:space="preserve">warmtewisselaar (in </w:t>
      </w:r>
      <w:proofErr w:type="spellStart"/>
      <w:r>
        <w:t>kEuro</w:t>
      </w:r>
      <w:proofErr w:type="spellEnd"/>
      <w:r>
        <w:t>) wordt als volgt ingeschat:</w:t>
      </w:r>
    </w:p>
    <w:p w:rsidR="00A33A5A" w:rsidRDefault="00A33A5A" w:rsidP="00A1486B"/>
    <w:p w:rsidR="00A33A5A" w:rsidRDefault="00A33A5A" w:rsidP="00A1486B">
      <w:proofErr w:type="spellStart"/>
      <w:r>
        <w:t>C</w:t>
      </w:r>
      <w:r w:rsidRPr="00E303E9">
        <w:rPr>
          <w:vertAlign w:val="subscript"/>
        </w:rPr>
        <w:t>hXp</w:t>
      </w:r>
      <w:proofErr w:type="spellEnd"/>
      <w:r>
        <w:t xml:space="preserve"> = 0,770 * A</w:t>
      </w:r>
      <w:r w:rsidRPr="0073081E">
        <w:rPr>
          <w:vertAlign w:val="superscript"/>
        </w:rPr>
        <w:t>0,6907</w:t>
      </w:r>
      <w:r>
        <w:t xml:space="preserve"> </w:t>
      </w:r>
      <w:r>
        <w:tab/>
        <w:t>voor uitvoering in RVS 316</w:t>
      </w:r>
    </w:p>
    <w:p w:rsidR="00A33A5A" w:rsidRPr="00544781" w:rsidRDefault="00A33A5A" w:rsidP="00A1486B">
      <w:pPr>
        <w:rPr>
          <w:vertAlign w:val="subscript"/>
        </w:rPr>
      </w:pPr>
      <w:proofErr w:type="spellStart"/>
      <w:r>
        <w:t>C</w:t>
      </w:r>
      <w:r w:rsidRPr="00E303E9">
        <w:rPr>
          <w:vertAlign w:val="subscript"/>
        </w:rPr>
        <w:t>hXp</w:t>
      </w:r>
      <w:proofErr w:type="spellEnd"/>
      <w:r>
        <w:t xml:space="preserve"> = 0,857 *A</w:t>
      </w:r>
      <w:r w:rsidRPr="00544781">
        <w:rPr>
          <w:vertAlign w:val="superscript"/>
        </w:rPr>
        <w:t>0,7514</w:t>
      </w:r>
      <w:r>
        <w:rPr>
          <w:vertAlign w:val="subscript"/>
        </w:rPr>
        <w:tab/>
      </w:r>
      <w:r w:rsidRPr="00544781">
        <w:t>voor</w:t>
      </w:r>
      <w:r>
        <w:t xml:space="preserve"> uitvoering in Grade 1 titanium</w:t>
      </w:r>
    </w:p>
    <w:p w:rsidR="00A33A5A" w:rsidRDefault="00A33A5A" w:rsidP="00A1486B"/>
    <w:p w:rsidR="00A33A5A" w:rsidRDefault="00A33A5A" w:rsidP="00A1486B">
      <w:r>
        <w:t>Met A het warmtewisselend oppervlak in m</w:t>
      </w:r>
      <w:r w:rsidRPr="00EF1F8C">
        <w:rPr>
          <w:vertAlign w:val="superscript"/>
        </w:rPr>
        <w:t>2</w:t>
      </w:r>
      <w:r>
        <w:t>. De formule is geldig voor A groter dan 18 m</w:t>
      </w:r>
      <w:r w:rsidRPr="00180BB7">
        <w:rPr>
          <w:vertAlign w:val="superscript"/>
        </w:rPr>
        <w:t>2</w:t>
      </w:r>
      <w:r>
        <w:t>. Voor een warmtewisselend oppervlak van meer dan 210 m</w:t>
      </w:r>
      <w:r w:rsidRPr="00180BB7">
        <w:rPr>
          <w:vertAlign w:val="superscript"/>
        </w:rPr>
        <w:t>2</w:t>
      </w:r>
      <w:r>
        <w:t xml:space="preserve"> wordt meerdere parallelle warmtewisse</w:t>
      </w:r>
      <w:r>
        <w:softHyphen/>
        <w:t>laars geplaatst.</w:t>
      </w:r>
    </w:p>
    <w:p w:rsidR="00FD0345" w:rsidRDefault="00FD0345" w:rsidP="00A1486B"/>
    <w:p w:rsidR="00FD0345" w:rsidRDefault="00FD0345" w:rsidP="00A1486B">
      <w:r>
        <w:t>De grootte van de warmtewisselaar wordt berekend op basis van de log-gemiddelde temperatuur</w:t>
      </w:r>
      <w:r>
        <w:softHyphen/>
        <w:t>verschil over de warmtewisselaar en het vermogen:</w:t>
      </w:r>
    </w:p>
    <w:p w:rsidR="00FD0345" w:rsidRDefault="00FD0345" w:rsidP="00A1486B"/>
    <w:p w:rsidR="00FD0345" w:rsidRPr="00FD0345" w:rsidRDefault="00FD0345" w:rsidP="00FD0345">
      <m:oMathPara>
        <m:oMathParaPr>
          <m:jc m:val="left"/>
        </m:oMathParaPr>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U×F×LMTD</m:t>
              </m:r>
            </m:den>
          </m:f>
        </m:oMath>
      </m:oMathPara>
    </w:p>
    <w:p w:rsidR="00FD0345" w:rsidRDefault="00FD0345" w:rsidP="00FD0345"/>
    <w:p w:rsidR="00A33A5A" w:rsidRDefault="00FD0345" w:rsidP="00FD0345">
      <w:r>
        <w:t>Met U de warmteoverdrachts</w:t>
      </w:r>
      <w:r w:rsidRPr="00FD0345">
        <w:t>co</w:t>
      </w:r>
      <w:r>
        <w:t>ë</w:t>
      </w:r>
      <w:r w:rsidRPr="00FD0345">
        <w:t>ffici</w:t>
      </w:r>
      <w:r>
        <w:t>ë</w:t>
      </w:r>
      <w:r w:rsidRPr="00FD0345">
        <w:t>nt (W/m</w:t>
      </w:r>
      <w:r w:rsidRPr="00FD0345">
        <w:rPr>
          <w:vertAlign w:val="superscript"/>
        </w:rPr>
        <w:t>2</w:t>
      </w:r>
      <w:r w:rsidRPr="00FD0345">
        <w:t>.K)</w:t>
      </w:r>
      <w:r>
        <w:t xml:space="preserve">, F de log-gemiddelde </w:t>
      </w:r>
      <w:proofErr w:type="spellStart"/>
      <w:r>
        <w:t>temperatuur</w:t>
      </w:r>
      <w:r>
        <w:softHyphen/>
        <w:t>verschilcorrec</w:t>
      </w:r>
      <w:r>
        <w:softHyphen/>
        <w:t>tiecoëfficiënt</w:t>
      </w:r>
      <w:proofErr w:type="spellEnd"/>
      <w:r>
        <w:t xml:space="preserve"> (F = 1 voor cross-flow warmtewisselaars), V het vermogen (W) en LMTD het de log-gemiddelde temperatuur</w:t>
      </w:r>
      <w:r>
        <w:softHyphen/>
        <w:t>verschil (°C). Voor shell &amp; tube warmtewisselaars wordt U gelijk gesteld aan 1500 W/m</w:t>
      </w:r>
      <w:r w:rsidRPr="00FD0345">
        <w:rPr>
          <w:vertAlign w:val="superscript"/>
        </w:rPr>
        <w:t>2</w:t>
      </w:r>
      <w:r>
        <w:t>.K, voor platenwarmtewisselaars aan 5000 W/m</w:t>
      </w:r>
      <w:r w:rsidRPr="00FD0345">
        <w:rPr>
          <w:vertAlign w:val="superscript"/>
        </w:rPr>
        <w:t>2</w:t>
      </w:r>
      <w:r>
        <w:t>.K.</w:t>
      </w:r>
    </w:p>
    <w:p w:rsidR="00FD0345" w:rsidRDefault="00FD0345" w:rsidP="00FD0345"/>
    <w:p w:rsidR="00FD0345" w:rsidRPr="00FD0345" w:rsidRDefault="00FD0345" w:rsidP="00FD0345">
      <m:oMathPara>
        <m:oMathParaPr>
          <m:jc m:val="left"/>
        </m:oMathParaPr>
        <m:oMath>
          <m:r>
            <w:rPr>
              <w:rFonts w:ascii="Cambria Math" w:hAnsi="Cambria Math"/>
            </w:rPr>
            <m:t xml:space="preserve">LMTD= </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c,i</m:t>
                          </m:r>
                        </m:sub>
                      </m:sSub>
                    </m:e>
                  </m:d>
                </m:e>
              </m:d>
            </m:num>
            <m:den>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t>
                          </m:r>
                        </m:sub>
                      </m:sSub>
                    </m:num>
                    <m:den>
                      <m:sSub>
                        <m:sSubPr>
                          <m:ctrlPr>
                            <w:rPr>
                              <w:rFonts w:ascii="Cambria Math" w:hAnsi="Cambria Math"/>
                              <w:i/>
                            </w:rPr>
                          </m:ctrlPr>
                        </m:sSubPr>
                        <m:e>
                          <m:r>
                            <w:rPr>
                              <w:rFonts w:ascii="Cambria Math" w:hAnsi="Cambria Math"/>
                            </w:rPr>
                            <m:t>T</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t>
                          </m:r>
                        </m:sub>
                      </m:sSub>
                    </m:den>
                  </m:f>
                </m:e>
              </m:d>
            </m:den>
          </m:f>
        </m:oMath>
      </m:oMathPara>
    </w:p>
    <w:p w:rsidR="00FD0345" w:rsidRDefault="00FD0345" w:rsidP="00FD0345"/>
    <w:p w:rsidR="00FD0345" w:rsidRPr="00FD0345" w:rsidRDefault="00FD0345" w:rsidP="00FD0345">
      <w:r>
        <w:t xml:space="preserve">Waarin het </w:t>
      </w:r>
      <w:proofErr w:type="spellStart"/>
      <w:r>
        <w:t>subscript</w:t>
      </w:r>
      <w:proofErr w:type="spellEnd"/>
      <w:r>
        <w:t xml:space="preserve"> h verwijst naar de hoge temperatuurkant (voor een geothermiecentrale de </w:t>
      </w:r>
      <w:proofErr w:type="spellStart"/>
      <w:r>
        <w:t>brine</w:t>
      </w:r>
      <w:proofErr w:type="spellEnd"/>
      <w:r>
        <w:t xml:space="preserve">-zijde van de warmtewisselaar) en c naar de lage temperatuurkant. </w:t>
      </w:r>
      <w:r w:rsidR="00936803">
        <w:t>i verwijst naar de inputzijde en o naar de outputzijde.</w:t>
      </w:r>
    </w:p>
    <w:p w:rsidR="00FD0345" w:rsidRDefault="00FD0345" w:rsidP="00A1486B"/>
    <w:p w:rsidR="00A33A5A" w:rsidRDefault="00A33A5A" w:rsidP="00A1486B">
      <w:r>
        <w:t xml:space="preserve">Om de totale installatiekost te kennen moet de productkost vermeerderd worden met een factor die de plaatsing, aansluiting en behuizing dekt. In het gevallen waar andere materialen (zie </w:t>
      </w:r>
      <w:r>
        <w:fldChar w:fldCharType="begin"/>
      </w:r>
      <w:r>
        <w:instrText xml:space="preserve"> REF _Ref388943570 \h </w:instrText>
      </w:r>
      <w:r>
        <w:fldChar w:fldCharType="separate"/>
      </w:r>
      <w:r w:rsidR="00DC67A3">
        <w:t xml:space="preserve">Tabel </w:t>
      </w:r>
      <w:r w:rsidR="00DC67A3">
        <w:rPr>
          <w:noProof/>
        </w:rPr>
        <w:t>2</w:t>
      </w:r>
      <w:r>
        <w:fldChar w:fldCharType="end"/>
      </w:r>
      <w:r>
        <w:t xml:space="preserve">) gebruikt worden of bij verhoogde druk (zie </w:t>
      </w:r>
      <w:r>
        <w:fldChar w:fldCharType="begin"/>
      </w:r>
      <w:r>
        <w:instrText xml:space="preserve"> REF _Ref388944211 \h </w:instrText>
      </w:r>
      <w:r>
        <w:fldChar w:fldCharType="separate"/>
      </w:r>
      <w:r w:rsidR="00DC67A3">
        <w:t xml:space="preserve">Tabel </w:t>
      </w:r>
      <w:r w:rsidR="00DC67A3">
        <w:rPr>
          <w:noProof/>
        </w:rPr>
        <w:t>4</w:t>
      </w:r>
      <w:r>
        <w:fldChar w:fldCharType="end"/>
      </w:r>
      <w:r>
        <w:t xml:space="preserve">) of temperaturen (zie </w:t>
      </w:r>
      <w:r>
        <w:fldChar w:fldCharType="begin"/>
      </w:r>
      <w:r>
        <w:instrText xml:space="preserve"> REF _Ref388944226 \h </w:instrText>
      </w:r>
      <w:r>
        <w:fldChar w:fldCharType="separate"/>
      </w:r>
      <w:r w:rsidR="00DC67A3">
        <w:t xml:space="preserve">Tabel </w:t>
      </w:r>
      <w:r w:rsidR="00DC67A3">
        <w:rPr>
          <w:noProof/>
        </w:rPr>
        <w:t>5</w:t>
      </w:r>
      <w:r>
        <w:fldChar w:fldCharType="end"/>
      </w:r>
      <w:r>
        <w:t>) moeten bijkomende correctiefactoren toegepast worden. De totale installatiekost voor de warmtewisselaar wordt berekend via:</w:t>
      </w:r>
    </w:p>
    <w:p w:rsidR="00A33A5A" w:rsidRDefault="00A33A5A" w:rsidP="00A1486B"/>
    <w:p w:rsidR="00A33A5A" w:rsidRPr="00180BB7" w:rsidRDefault="00A33A5A" w:rsidP="00A1486B">
      <w:proofErr w:type="spellStart"/>
      <w:r w:rsidRPr="00180BB7">
        <w:t>C</w:t>
      </w:r>
      <w:r w:rsidRPr="00180BB7">
        <w:rPr>
          <w:vertAlign w:val="subscript"/>
        </w:rPr>
        <w:t>hXt</w:t>
      </w:r>
      <w:proofErr w:type="spellEnd"/>
      <w:r w:rsidRPr="00180BB7">
        <w:t xml:space="preserve"> = </w:t>
      </w:r>
      <w:proofErr w:type="spellStart"/>
      <w:r w:rsidRPr="00180BB7">
        <w:t>C</w:t>
      </w:r>
      <w:r w:rsidRPr="00180BB7">
        <w:rPr>
          <w:vertAlign w:val="subscript"/>
        </w:rPr>
        <w:t>hX</w:t>
      </w:r>
      <w:proofErr w:type="spellEnd"/>
      <w:r w:rsidRPr="00180BB7">
        <w:t xml:space="preserve"> * </w:t>
      </w:r>
      <w:proofErr w:type="spellStart"/>
      <w:r w:rsidRPr="00180BB7">
        <w:t>f</w:t>
      </w:r>
      <w:r w:rsidRPr="00180BB7">
        <w:rPr>
          <w:vertAlign w:val="subscript"/>
        </w:rPr>
        <w:t>m</w:t>
      </w:r>
      <w:proofErr w:type="spellEnd"/>
      <w:r w:rsidRPr="00180BB7">
        <w:t xml:space="preserve"> * </w:t>
      </w:r>
      <w:proofErr w:type="spellStart"/>
      <w:r w:rsidRPr="00180BB7">
        <w:t>f</w:t>
      </w:r>
      <w:r w:rsidRPr="00180BB7">
        <w:rPr>
          <w:vertAlign w:val="subscript"/>
        </w:rPr>
        <w:t>p</w:t>
      </w:r>
      <w:proofErr w:type="spellEnd"/>
      <w:r w:rsidRPr="00180BB7">
        <w:t xml:space="preserve"> * f</w:t>
      </w:r>
      <w:r w:rsidRPr="00180BB7">
        <w:rPr>
          <w:vertAlign w:val="subscript"/>
        </w:rPr>
        <w:t>t</w:t>
      </w:r>
      <w:r w:rsidRPr="00180BB7">
        <w:t xml:space="preserve"> * </w:t>
      </w:r>
      <w:proofErr w:type="spellStart"/>
      <w:r w:rsidRPr="00180BB7">
        <w:t>f</w:t>
      </w:r>
      <w:r w:rsidRPr="00180BB7">
        <w:rPr>
          <w:vertAlign w:val="subscript"/>
        </w:rPr>
        <w:t>oi</w:t>
      </w:r>
      <w:proofErr w:type="spellEnd"/>
    </w:p>
    <w:p w:rsidR="00A33A5A" w:rsidRPr="00180BB7" w:rsidRDefault="00A33A5A" w:rsidP="00A1486B"/>
    <w:p w:rsidR="00A33A5A" w:rsidRDefault="00A33A5A" w:rsidP="00A1486B">
      <w:r>
        <w:t xml:space="preserve">Met </w:t>
      </w:r>
      <w:proofErr w:type="spellStart"/>
      <w:r>
        <w:t>C</w:t>
      </w:r>
      <w:r w:rsidRPr="00180BB7">
        <w:rPr>
          <w:vertAlign w:val="subscript"/>
        </w:rPr>
        <w:t>hX</w:t>
      </w:r>
      <w:proofErr w:type="spellEnd"/>
      <w:r>
        <w:t xml:space="preserve"> de productkost voor een shell &amp; tube of frame &amp; </w:t>
      </w:r>
      <w:proofErr w:type="spellStart"/>
      <w:r>
        <w:t>plate</w:t>
      </w:r>
      <w:proofErr w:type="spellEnd"/>
      <w:r>
        <w:t xml:space="preserve"> warmtewisselaar. </w:t>
      </w:r>
      <w:proofErr w:type="spellStart"/>
      <w:r>
        <w:t>f</w:t>
      </w:r>
      <w:r w:rsidRPr="00180BB7">
        <w:rPr>
          <w:vertAlign w:val="subscript"/>
        </w:rPr>
        <w:t>m</w:t>
      </w:r>
      <w:proofErr w:type="spellEnd"/>
      <w:r>
        <w:t xml:space="preserve">, </w:t>
      </w:r>
      <w:proofErr w:type="spellStart"/>
      <w:r>
        <w:t>f</w:t>
      </w:r>
      <w:r w:rsidRPr="00180BB7">
        <w:rPr>
          <w:vertAlign w:val="subscript"/>
        </w:rPr>
        <w:t>p</w:t>
      </w:r>
      <w:proofErr w:type="spellEnd"/>
      <w:r>
        <w:t xml:space="preserve"> en f</w:t>
      </w:r>
      <w:r w:rsidRPr="00180BB7">
        <w:rPr>
          <w:vertAlign w:val="subscript"/>
        </w:rPr>
        <w:t>t</w:t>
      </w:r>
      <w:r>
        <w:t xml:space="preserve"> zijn de respectievelijke correctiefactoren voor afwijkende materiaalkeuze, druk en temperatuur. </w:t>
      </w:r>
      <w:proofErr w:type="spellStart"/>
      <w:r>
        <w:t>f</w:t>
      </w:r>
      <w:r>
        <w:rPr>
          <w:vertAlign w:val="subscript"/>
        </w:rPr>
        <w:t>oi</w:t>
      </w:r>
      <w:proofErr w:type="spellEnd"/>
      <w:r>
        <w:t xml:space="preserve"> is de ontwerp- en installatiefactor en omvat een reeks kosten die verbonden zijn met het ontwerpen en het installeren van de warmtewisselaar (</w:t>
      </w:r>
      <w:r>
        <w:fldChar w:fldCharType="begin"/>
      </w:r>
      <w:r>
        <w:instrText xml:space="preserve"> REF _Ref388944431 \h </w:instrText>
      </w:r>
      <w:r>
        <w:fldChar w:fldCharType="separate"/>
      </w:r>
      <w:r w:rsidR="00DC67A3">
        <w:t xml:space="preserve">Tabel </w:t>
      </w:r>
      <w:r w:rsidR="00DC67A3">
        <w:rPr>
          <w:noProof/>
        </w:rPr>
        <w:t>3</w:t>
      </w:r>
      <w:r>
        <w:fldChar w:fldCharType="end"/>
      </w:r>
      <w:r>
        <w:t xml:space="preserve">). </w:t>
      </w:r>
      <w:proofErr w:type="spellStart"/>
      <w:r>
        <w:t>f</w:t>
      </w:r>
      <w:r w:rsidRPr="00180BB7">
        <w:rPr>
          <w:vertAlign w:val="subscript"/>
        </w:rPr>
        <w:t>oi</w:t>
      </w:r>
      <w:proofErr w:type="spellEnd"/>
      <w:r>
        <w:t xml:space="preserve"> wordt als volgt berekend:</w:t>
      </w:r>
    </w:p>
    <w:p w:rsidR="00A33A5A" w:rsidRDefault="00A33A5A" w:rsidP="00A1486B"/>
    <w:p w:rsidR="00A33A5A" w:rsidRPr="00512E70" w:rsidRDefault="00A33A5A" w:rsidP="00A1486B">
      <w:proofErr w:type="spellStart"/>
      <w:r w:rsidRPr="00512E70">
        <w:t>f</w:t>
      </w:r>
      <w:r w:rsidRPr="00512E70">
        <w:rPr>
          <w:vertAlign w:val="subscript"/>
        </w:rPr>
        <w:t>i</w:t>
      </w:r>
      <w:proofErr w:type="spellEnd"/>
      <w:r w:rsidRPr="00512E70">
        <w:t xml:space="preserve"> = (1 + </w:t>
      </w:r>
      <w:proofErr w:type="spellStart"/>
      <w:r w:rsidRPr="00512E70">
        <w:t>f</w:t>
      </w:r>
      <w:r w:rsidRPr="00512E70">
        <w:rPr>
          <w:vertAlign w:val="subscript"/>
        </w:rPr>
        <w:t>erx</w:t>
      </w:r>
      <w:proofErr w:type="spellEnd"/>
      <w:r w:rsidRPr="00512E70">
        <w:t xml:space="preserve"> + f</w:t>
      </w:r>
      <w:r w:rsidRPr="00512E70">
        <w:rPr>
          <w:vertAlign w:val="subscript"/>
        </w:rPr>
        <w:t>a</w:t>
      </w:r>
      <w:r w:rsidRPr="00512E70">
        <w:t xml:space="preserve"> + f</w:t>
      </w:r>
      <w:r w:rsidRPr="00512E70">
        <w:rPr>
          <w:vertAlign w:val="subscript"/>
        </w:rPr>
        <w:t>ix</w:t>
      </w:r>
      <w:r w:rsidRPr="00512E70">
        <w:t xml:space="preserve"> + f</w:t>
      </w:r>
      <w:r w:rsidRPr="00512E70">
        <w:rPr>
          <w:vertAlign w:val="subscript"/>
        </w:rPr>
        <w:t>el</w:t>
      </w:r>
      <w:r w:rsidRPr="00512E70">
        <w:t xml:space="preserve">  +</w:t>
      </w:r>
      <w:proofErr w:type="spellStart"/>
      <w:r w:rsidRPr="00512E70">
        <w:t>f</w:t>
      </w:r>
      <w:r w:rsidRPr="00512E70">
        <w:rPr>
          <w:vertAlign w:val="subscript"/>
        </w:rPr>
        <w:t>c</w:t>
      </w:r>
      <w:proofErr w:type="spellEnd"/>
      <w:r w:rsidRPr="00512E70">
        <w:t xml:space="preserve"> + </w:t>
      </w:r>
      <w:proofErr w:type="spellStart"/>
      <w:r w:rsidRPr="00512E70">
        <w:t>f</w:t>
      </w:r>
      <w:r w:rsidRPr="00512E70">
        <w:rPr>
          <w:vertAlign w:val="subscript"/>
        </w:rPr>
        <w:t>s</w:t>
      </w:r>
      <w:proofErr w:type="spellEnd"/>
      <w:r w:rsidRPr="00512E70">
        <w:t xml:space="preserve"> + </w:t>
      </w:r>
      <w:proofErr w:type="spellStart"/>
      <w:r w:rsidRPr="00512E70">
        <w:t>f</w:t>
      </w:r>
      <w:r w:rsidRPr="00512E70">
        <w:rPr>
          <w:vertAlign w:val="subscript"/>
        </w:rPr>
        <w:t>l</w:t>
      </w:r>
      <w:proofErr w:type="spellEnd"/>
      <w:r w:rsidRPr="00512E70">
        <w:t xml:space="preserve">) * (1 + </w:t>
      </w:r>
      <w:proofErr w:type="spellStart"/>
      <w:r w:rsidRPr="00512E70">
        <w:t>f</w:t>
      </w:r>
      <w:r w:rsidRPr="00512E70">
        <w:rPr>
          <w:vertAlign w:val="subscript"/>
        </w:rPr>
        <w:t>de</w:t>
      </w:r>
      <w:proofErr w:type="spellEnd"/>
      <w:r w:rsidRPr="00512E70">
        <w:t xml:space="preserve"> + </w:t>
      </w:r>
      <w:proofErr w:type="spellStart"/>
      <w:r w:rsidRPr="00512E70">
        <w:t>f</w:t>
      </w:r>
      <w:r w:rsidRPr="00512E70">
        <w:rPr>
          <w:vertAlign w:val="subscript"/>
        </w:rPr>
        <w:t>x</w:t>
      </w:r>
      <w:proofErr w:type="spellEnd"/>
      <w:r w:rsidRPr="00512E70">
        <w:t>)</w:t>
      </w:r>
    </w:p>
    <w:p w:rsidR="00A33A5A" w:rsidRPr="00512E70" w:rsidRDefault="00A33A5A" w:rsidP="00A1486B"/>
    <w:p w:rsidR="00A33A5A" w:rsidRPr="00180BB7" w:rsidRDefault="00A33A5A" w:rsidP="00A1486B">
      <w:pPr>
        <w:pStyle w:val="Caption"/>
      </w:pPr>
      <w:bookmarkStart w:id="2" w:name="_Ref388944431"/>
      <w:r>
        <w:t xml:space="preserve">Tabel </w:t>
      </w:r>
      <w:r>
        <w:fldChar w:fldCharType="begin"/>
      </w:r>
      <w:r>
        <w:instrText xml:space="preserve"> SEQ Tabel \* ARABIC </w:instrText>
      </w:r>
      <w:r>
        <w:fldChar w:fldCharType="separate"/>
      </w:r>
      <w:r w:rsidR="00DC67A3">
        <w:rPr>
          <w:noProof/>
        </w:rPr>
        <w:t>3</w:t>
      </w:r>
      <w:r>
        <w:fldChar w:fldCharType="end"/>
      </w:r>
      <w:bookmarkEnd w:id="2"/>
      <w:r>
        <w:t xml:space="preserve">: </w:t>
      </w:r>
      <w:r w:rsidRPr="00180BB7">
        <w:t>Parameters voor het berekenen van de ontwerp- en insta</w:t>
      </w:r>
      <w:r>
        <w:t>llatiefactor (</w:t>
      </w:r>
      <w:proofErr w:type="spellStart"/>
      <w:r>
        <w:t>f</w:t>
      </w:r>
      <w:r w:rsidRPr="00180BB7">
        <w:rPr>
          <w:vertAlign w:val="subscript"/>
        </w:rPr>
        <w:t>oi</w:t>
      </w:r>
      <w:proofErr w:type="spellEnd"/>
      <w:r>
        <w:t>)</w:t>
      </w:r>
    </w:p>
    <w:tbl>
      <w:tblPr>
        <w:tblStyle w:val="MediumShading1-Accent2"/>
        <w:tblW w:w="0" w:type="auto"/>
        <w:tblInd w:w="1101" w:type="dxa"/>
        <w:tblLook w:val="04A0" w:firstRow="1" w:lastRow="0" w:firstColumn="1" w:lastColumn="0" w:noHBand="0" w:noVBand="1"/>
      </w:tblPr>
      <w:tblGrid>
        <w:gridCol w:w="1101"/>
        <w:gridCol w:w="4252"/>
        <w:gridCol w:w="1418"/>
      </w:tblGrid>
      <w:tr w:rsidR="00A33A5A" w:rsidRPr="002519E7" w:rsidTr="00A14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r w:rsidRPr="002519E7">
              <w:t>Factor</w:t>
            </w:r>
          </w:p>
        </w:tc>
        <w:tc>
          <w:tcPr>
            <w:tcW w:w="4252" w:type="dxa"/>
          </w:tcPr>
          <w:p w:rsidR="00A33A5A" w:rsidRPr="002519E7" w:rsidRDefault="00EF1F8C" w:rsidP="00A1486B">
            <w:pPr>
              <w:cnfStyle w:val="100000000000" w:firstRow="1" w:lastRow="0" w:firstColumn="0" w:lastColumn="0" w:oddVBand="0" w:evenVBand="0" w:oddHBand="0" w:evenHBand="0" w:firstRowFirstColumn="0" w:firstRowLastColumn="0" w:lastRowFirstColumn="0" w:lastRowLastColumn="0"/>
            </w:pPr>
            <w:r w:rsidRPr="002519E7">
              <w:t>O</w:t>
            </w:r>
            <w:r w:rsidR="00A33A5A" w:rsidRPr="002519E7">
              <w:t>mschrijving</w:t>
            </w:r>
          </w:p>
        </w:tc>
        <w:tc>
          <w:tcPr>
            <w:tcW w:w="1418" w:type="dxa"/>
          </w:tcPr>
          <w:p w:rsidR="00A33A5A" w:rsidRPr="002519E7" w:rsidRDefault="00A33A5A" w:rsidP="00A1486B">
            <w:pPr>
              <w:jc w:val="right"/>
              <w:cnfStyle w:val="100000000000" w:firstRow="1" w:lastRow="0" w:firstColumn="0" w:lastColumn="0" w:oddVBand="0" w:evenVBand="0" w:oddHBand="0" w:evenHBand="0" w:firstRowFirstColumn="0" w:firstRowLastColumn="0" w:lastRowFirstColumn="0" w:lastRowLastColumn="0"/>
            </w:pPr>
            <w:r w:rsidRPr="002519E7">
              <w:t>waarde</w:t>
            </w:r>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pPr>
              <w:rPr>
                <w:b w:val="0"/>
              </w:rPr>
            </w:pPr>
            <w:proofErr w:type="spellStart"/>
            <w:r w:rsidRPr="002519E7">
              <w:rPr>
                <w:b w:val="0"/>
              </w:rPr>
              <w:t>f</w:t>
            </w:r>
            <w:r w:rsidRPr="00180BB7">
              <w:rPr>
                <w:b w:val="0"/>
                <w:vertAlign w:val="subscript"/>
              </w:rPr>
              <w:t>er</w:t>
            </w:r>
            <w:r>
              <w:rPr>
                <w:b w:val="0"/>
                <w:vertAlign w:val="subscript"/>
              </w:rPr>
              <w:t>x</w:t>
            </w:r>
            <w:proofErr w:type="spellEnd"/>
          </w:p>
        </w:tc>
        <w:tc>
          <w:tcPr>
            <w:tcW w:w="4252" w:type="dxa"/>
          </w:tcPr>
          <w:p w:rsidR="00A33A5A" w:rsidRPr="002519E7" w:rsidRDefault="00EF1F8C" w:rsidP="00A1486B">
            <w:pPr>
              <w:cnfStyle w:val="000000100000" w:firstRow="0" w:lastRow="0" w:firstColumn="0" w:lastColumn="0" w:oddVBand="0" w:evenVBand="0" w:oddHBand="1" w:evenHBand="0" w:firstRowFirstColumn="0" w:firstRowLastColumn="0" w:lastRowFirstColumn="0" w:lastRowLastColumn="0"/>
            </w:pPr>
            <w:r w:rsidRPr="002519E7">
              <w:t>O</w:t>
            </w:r>
            <w:r w:rsidR="00A33A5A" w:rsidRPr="002519E7">
              <w:t>prichting</w:t>
            </w:r>
          </w:p>
        </w:tc>
        <w:tc>
          <w:tcPr>
            <w:tcW w:w="1418" w:type="dxa"/>
          </w:tcPr>
          <w:p w:rsidR="00A33A5A" w:rsidRPr="002519E7" w:rsidRDefault="00A33A5A" w:rsidP="00A1486B">
            <w:pPr>
              <w:jc w:val="right"/>
              <w:cnfStyle w:val="000000100000" w:firstRow="0" w:lastRow="0" w:firstColumn="0" w:lastColumn="0" w:oddVBand="0" w:evenVBand="0" w:oddHBand="1" w:evenHBand="0" w:firstRowFirstColumn="0" w:firstRowLastColumn="0" w:lastRowFirstColumn="0" w:lastRowLastColumn="0"/>
            </w:pPr>
            <w:r w:rsidRPr="002519E7">
              <w:t>0.3</w:t>
            </w:r>
          </w:p>
        </w:tc>
      </w:tr>
      <w:tr w:rsidR="00A33A5A" w:rsidRPr="002519E7"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pPr>
              <w:rPr>
                <w:b w:val="0"/>
              </w:rPr>
            </w:pPr>
            <w:r w:rsidRPr="002519E7">
              <w:rPr>
                <w:b w:val="0"/>
              </w:rPr>
              <w:t>f</w:t>
            </w:r>
            <w:r w:rsidRPr="00180BB7">
              <w:rPr>
                <w:b w:val="0"/>
                <w:vertAlign w:val="subscript"/>
              </w:rPr>
              <w:t>a</w:t>
            </w:r>
          </w:p>
        </w:tc>
        <w:tc>
          <w:tcPr>
            <w:tcW w:w="4252" w:type="dxa"/>
          </w:tcPr>
          <w:p w:rsidR="00A33A5A" w:rsidRPr="002519E7" w:rsidRDefault="00EF1F8C" w:rsidP="00A1486B">
            <w:pPr>
              <w:cnfStyle w:val="000000010000" w:firstRow="0" w:lastRow="0" w:firstColumn="0" w:lastColumn="0" w:oddVBand="0" w:evenVBand="0" w:oddHBand="0" w:evenHBand="1" w:firstRowFirstColumn="0" w:firstRowLastColumn="0" w:lastRowFirstColumn="0" w:lastRowLastColumn="0"/>
            </w:pPr>
            <w:r w:rsidRPr="002519E7">
              <w:t>A</w:t>
            </w:r>
            <w:r w:rsidR="00A33A5A" w:rsidRPr="002519E7">
              <w:t>ansluitingen</w:t>
            </w:r>
          </w:p>
        </w:tc>
        <w:tc>
          <w:tcPr>
            <w:tcW w:w="1418" w:type="dxa"/>
          </w:tcPr>
          <w:p w:rsidR="00A33A5A" w:rsidRPr="002519E7" w:rsidRDefault="00A33A5A" w:rsidP="00A1486B">
            <w:pPr>
              <w:jc w:val="right"/>
              <w:cnfStyle w:val="000000010000" w:firstRow="0" w:lastRow="0" w:firstColumn="0" w:lastColumn="0" w:oddVBand="0" w:evenVBand="0" w:oddHBand="0" w:evenHBand="1" w:firstRowFirstColumn="0" w:firstRowLastColumn="0" w:lastRowFirstColumn="0" w:lastRowLastColumn="0"/>
            </w:pPr>
            <w:r w:rsidRPr="002519E7">
              <w:t>0.8</w:t>
            </w:r>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pPr>
              <w:rPr>
                <w:b w:val="0"/>
              </w:rPr>
            </w:pPr>
            <w:r w:rsidRPr="002519E7">
              <w:rPr>
                <w:b w:val="0"/>
              </w:rPr>
              <w:t>f</w:t>
            </w:r>
            <w:r w:rsidRPr="00180BB7">
              <w:rPr>
                <w:b w:val="0"/>
                <w:vertAlign w:val="subscript"/>
              </w:rPr>
              <w:t>ix</w:t>
            </w:r>
          </w:p>
        </w:tc>
        <w:tc>
          <w:tcPr>
            <w:tcW w:w="4252"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controle- en regeltechniek</w:t>
            </w:r>
          </w:p>
        </w:tc>
        <w:tc>
          <w:tcPr>
            <w:tcW w:w="1418" w:type="dxa"/>
          </w:tcPr>
          <w:p w:rsidR="00A33A5A" w:rsidRPr="002519E7" w:rsidRDefault="00A33A5A" w:rsidP="00A1486B">
            <w:pPr>
              <w:jc w:val="right"/>
              <w:cnfStyle w:val="000000100000" w:firstRow="0" w:lastRow="0" w:firstColumn="0" w:lastColumn="0" w:oddVBand="0" w:evenVBand="0" w:oddHBand="1" w:evenHBand="0" w:firstRowFirstColumn="0" w:firstRowLastColumn="0" w:lastRowFirstColumn="0" w:lastRowLastColumn="0"/>
            </w:pPr>
            <w:r w:rsidRPr="002519E7">
              <w:t>0.3</w:t>
            </w:r>
          </w:p>
        </w:tc>
      </w:tr>
      <w:tr w:rsidR="00A33A5A" w:rsidRPr="002519E7"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pPr>
              <w:rPr>
                <w:b w:val="0"/>
              </w:rPr>
            </w:pPr>
            <w:r w:rsidRPr="002519E7">
              <w:rPr>
                <w:b w:val="0"/>
              </w:rPr>
              <w:t>f</w:t>
            </w:r>
            <w:r w:rsidRPr="00180BB7">
              <w:rPr>
                <w:b w:val="0"/>
                <w:vertAlign w:val="subscript"/>
              </w:rPr>
              <w:t>el</w:t>
            </w:r>
          </w:p>
        </w:tc>
        <w:tc>
          <w:tcPr>
            <w:tcW w:w="4252"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elektriciteit</w:t>
            </w:r>
          </w:p>
        </w:tc>
        <w:tc>
          <w:tcPr>
            <w:tcW w:w="1418" w:type="dxa"/>
          </w:tcPr>
          <w:p w:rsidR="00A33A5A" w:rsidRPr="002519E7" w:rsidRDefault="00A33A5A" w:rsidP="00A1486B">
            <w:pPr>
              <w:jc w:val="right"/>
              <w:cnfStyle w:val="000000010000" w:firstRow="0" w:lastRow="0" w:firstColumn="0" w:lastColumn="0" w:oddVBand="0" w:evenVBand="0" w:oddHBand="0" w:evenHBand="1" w:firstRowFirstColumn="0" w:firstRowLastColumn="0" w:lastRowFirstColumn="0" w:lastRowLastColumn="0"/>
            </w:pPr>
            <w:r w:rsidRPr="002519E7">
              <w:t>0.1</w:t>
            </w:r>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pPr>
              <w:rPr>
                <w:b w:val="0"/>
              </w:rPr>
            </w:pPr>
            <w:proofErr w:type="spellStart"/>
            <w:r>
              <w:rPr>
                <w:b w:val="0"/>
              </w:rPr>
              <w:t>f</w:t>
            </w:r>
            <w:r w:rsidRPr="00180BB7">
              <w:rPr>
                <w:b w:val="0"/>
                <w:vertAlign w:val="subscript"/>
              </w:rPr>
              <w:t>c</w:t>
            </w:r>
            <w:proofErr w:type="spellEnd"/>
          </w:p>
        </w:tc>
        <w:tc>
          <w:tcPr>
            <w:tcW w:w="4252"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civiele werken</w:t>
            </w:r>
          </w:p>
        </w:tc>
        <w:tc>
          <w:tcPr>
            <w:tcW w:w="1418" w:type="dxa"/>
          </w:tcPr>
          <w:p w:rsidR="00A33A5A" w:rsidRPr="002519E7" w:rsidRDefault="00A33A5A" w:rsidP="00A1486B">
            <w:pPr>
              <w:jc w:val="right"/>
              <w:cnfStyle w:val="000000100000" w:firstRow="0" w:lastRow="0" w:firstColumn="0" w:lastColumn="0" w:oddVBand="0" w:evenVBand="0" w:oddHBand="1" w:evenHBand="0" w:firstRowFirstColumn="0" w:firstRowLastColumn="0" w:lastRowFirstColumn="0" w:lastRowLastColumn="0"/>
            </w:pPr>
            <w:r w:rsidRPr="002519E7">
              <w:t>0.3</w:t>
            </w:r>
          </w:p>
        </w:tc>
      </w:tr>
      <w:tr w:rsidR="00A33A5A" w:rsidRPr="002519E7"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pPr>
              <w:rPr>
                <w:b w:val="0"/>
              </w:rPr>
            </w:pPr>
            <w:proofErr w:type="spellStart"/>
            <w:r w:rsidRPr="002519E7">
              <w:rPr>
                <w:b w:val="0"/>
              </w:rPr>
              <w:t>f</w:t>
            </w:r>
            <w:r w:rsidRPr="00180BB7">
              <w:rPr>
                <w:b w:val="0"/>
                <w:vertAlign w:val="subscript"/>
              </w:rPr>
              <w:t>s</w:t>
            </w:r>
            <w:proofErr w:type="spellEnd"/>
          </w:p>
        </w:tc>
        <w:tc>
          <w:tcPr>
            <w:tcW w:w="4252"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r w:rsidRPr="002519E7">
              <w:t>fundering en behuizing</w:t>
            </w:r>
          </w:p>
        </w:tc>
        <w:tc>
          <w:tcPr>
            <w:tcW w:w="1418" w:type="dxa"/>
          </w:tcPr>
          <w:p w:rsidR="00A33A5A" w:rsidRPr="002519E7" w:rsidRDefault="00A33A5A" w:rsidP="00A1486B">
            <w:pPr>
              <w:jc w:val="right"/>
              <w:cnfStyle w:val="000000010000" w:firstRow="0" w:lastRow="0" w:firstColumn="0" w:lastColumn="0" w:oddVBand="0" w:evenVBand="0" w:oddHBand="0" w:evenHBand="1" w:firstRowFirstColumn="0" w:firstRowLastColumn="0" w:lastRowFirstColumn="0" w:lastRowLastColumn="0"/>
            </w:pPr>
            <w:r w:rsidRPr="002519E7">
              <w:t>0.2</w:t>
            </w:r>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pPr>
              <w:rPr>
                <w:b w:val="0"/>
              </w:rPr>
            </w:pPr>
            <w:proofErr w:type="spellStart"/>
            <w:r w:rsidRPr="002519E7">
              <w:rPr>
                <w:b w:val="0"/>
              </w:rPr>
              <w:t>f</w:t>
            </w:r>
            <w:r w:rsidRPr="00180BB7">
              <w:rPr>
                <w:b w:val="0"/>
                <w:vertAlign w:val="subscript"/>
              </w:rPr>
              <w:t>l</w:t>
            </w:r>
            <w:proofErr w:type="spellEnd"/>
          </w:p>
        </w:tc>
        <w:tc>
          <w:tcPr>
            <w:tcW w:w="4252"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isolatie en schilderwerk</w:t>
            </w:r>
          </w:p>
        </w:tc>
        <w:tc>
          <w:tcPr>
            <w:tcW w:w="1418" w:type="dxa"/>
          </w:tcPr>
          <w:p w:rsidR="00A33A5A" w:rsidRPr="002519E7" w:rsidRDefault="00A33A5A" w:rsidP="00A1486B">
            <w:pPr>
              <w:jc w:val="right"/>
              <w:cnfStyle w:val="000000100000" w:firstRow="0" w:lastRow="0" w:firstColumn="0" w:lastColumn="0" w:oddVBand="0" w:evenVBand="0" w:oddHBand="1" w:evenHBand="0" w:firstRowFirstColumn="0" w:firstRowLastColumn="0" w:lastRowFirstColumn="0" w:lastRowLastColumn="0"/>
            </w:pPr>
            <w:r w:rsidRPr="002519E7">
              <w:t>0.1</w:t>
            </w:r>
          </w:p>
        </w:tc>
      </w:tr>
      <w:tr w:rsidR="00A33A5A" w:rsidRPr="002519E7"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pPr>
              <w:rPr>
                <w:b w:val="0"/>
              </w:rPr>
            </w:pPr>
            <w:r w:rsidRPr="002519E7">
              <w:rPr>
                <w:b w:val="0"/>
              </w:rPr>
              <w:lastRenderedPageBreak/>
              <w:t>Som</w:t>
            </w:r>
          </w:p>
        </w:tc>
        <w:tc>
          <w:tcPr>
            <w:tcW w:w="4252"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p>
        </w:tc>
        <w:tc>
          <w:tcPr>
            <w:tcW w:w="1418" w:type="dxa"/>
          </w:tcPr>
          <w:p w:rsidR="00A33A5A" w:rsidRPr="002519E7" w:rsidRDefault="00A33A5A" w:rsidP="00A1486B">
            <w:pPr>
              <w:jc w:val="right"/>
              <w:cnfStyle w:val="000000010000" w:firstRow="0" w:lastRow="0" w:firstColumn="0" w:lastColumn="0" w:oddVBand="0" w:evenVBand="0" w:oddHBand="0" w:evenHBand="1" w:firstRowFirstColumn="0" w:firstRowLastColumn="0" w:lastRowFirstColumn="0" w:lastRowLastColumn="0"/>
            </w:pPr>
            <w:r w:rsidRPr="002519E7">
              <w:t>2,1</w:t>
            </w:r>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pPr>
              <w:rPr>
                <w:b w:val="0"/>
              </w:rPr>
            </w:pPr>
            <w:proofErr w:type="spellStart"/>
            <w:r w:rsidRPr="002519E7">
              <w:rPr>
                <w:b w:val="0"/>
              </w:rPr>
              <w:t>f</w:t>
            </w:r>
            <w:r w:rsidRPr="00180BB7">
              <w:rPr>
                <w:b w:val="0"/>
                <w:vertAlign w:val="subscript"/>
              </w:rPr>
              <w:t>de</w:t>
            </w:r>
            <w:proofErr w:type="spellEnd"/>
          </w:p>
        </w:tc>
        <w:tc>
          <w:tcPr>
            <w:tcW w:w="4252"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ontwerp en engineering</w:t>
            </w:r>
          </w:p>
        </w:tc>
        <w:tc>
          <w:tcPr>
            <w:tcW w:w="1418" w:type="dxa"/>
          </w:tcPr>
          <w:p w:rsidR="00A33A5A" w:rsidRPr="002519E7" w:rsidRDefault="00A33A5A" w:rsidP="00A1486B">
            <w:pPr>
              <w:jc w:val="right"/>
              <w:cnfStyle w:val="000000100000" w:firstRow="0" w:lastRow="0" w:firstColumn="0" w:lastColumn="0" w:oddVBand="0" w:evenVBand="0" w:oddHBand="1" w:evenHBand="0" w:firstRowFirstColumn="0" w:firstRowLastColumn="0" w:lastRowFirstColumn="0" w:lastRowLastColumn="0"/>
            </w:pPr>
            <w:r w:rsidRPr="002519E7">
              <w:t>0.3</w:t>
            </w:r>
          </w:p>
        </w:tc>
      </w:tr>
      <w:tr w:rsidR="00A33A5A" w:rsidRPr="002519E7"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pPr>
              <w:rPr>
                <w:b w:val="0"/>
              </w:rPr>
            </w:pPr>
            <w:proofErr w:type="spellStart"/>
            <w:r w:rsidRPr="002519E7">
              <w:rPr>
                <w:b w:val="0"/>
              </w:rPr>
              <w:t>f</w:t>
            </w:r>
            <w:r w:rsidRPr="00180BB7">
              <w:rPr>
                <w:b w:val="0"/>
                <w:vertAlign w:val="subscript"/>
              </w:rPr>
              <w:t>x</w:t>
            </w:r>
            <w:proofErr w:type="spellEnd"/>
          </w:p>
        </w:tc>
        <w:tc>
          <w:tcPr>
            <w:tcW w:w="4252" w:type="dxa"/>
          </w:tcPr>
          <w:p w:rsidR="00A33A5A" w:rsidRPr="002519E7" w:rsidRDefault="00A33A5A" w:rsidP="00A1486B">
            <w:pPr>
              <w:cnfStyle w:val="000000010000" w:firstRow="0" w:lastRow="0" w:firstColumn="0" w:lastColumn="0" w:oddVBand="0" w:evenVBand="0" w:oddHBand="0" w:evenHBand="1" w:firstRowFirstColumn="0" w:firstRowLastColumn="0" w:lastRowFirstColumn="0" w:lastRowLastColumn="0"/>
            </w:pPr>
            <w:proofErr w:type="spellStart"/>
            <w:r w:rsidRPr="002519E7">
              <w:t>contingeny</w:t>
            </w:r>
            <w:proofErr w:type="spellEnd"/>
          </w:p>
        </w:tc>
        <w:tc>
          <w:tcPr>
            <w:tcW w:w="1418" w:type="dxa"/>
          </w:tcPr>
          <w:p w:rsidR="00A33A5A" w:rsidRPr="002519E7" w:rsidRDefault="00A33A5A" w:rsidP="00A1486B">
            <w:pPr>
              <w:jc w:val="right"/>
              <w:cnfStyle w:val="000000010000" w:firstRow="0" w:lastRow="0" w:firstColumn="0" w:lastColumn="0" w:oddVBand="0" w:evenVBand="0" w:oddHBand="0" w:evenHBand="1" w:firstRowFirstColumn="0" w:firstRowLastColumn="0" w:lastRowFirstColumn="0" w:lastRowLastColumn="0"/>
            </w:pPr>
            <w:r w:rsidRPr="002519E7">
              <w:t>0,1</w:t>
            </w:r>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A5A" w:rsidRPr="002519E7" w:rsidRDefault="00A33A5A" w:rsidP="00A1486B">
            <w:pPr>
              <w:rPr>
                <w:b w:val="0"/>
              </w:rPr>
            </w:pPr>
            <w:proofErr w:type="spellStart"/>
            <w:r w:rsidRPr="002519E7">
              <w:rPr>
                <w:b w:val="0"/>
              </w:rPr>
              <w:t>f</w:t>
            </w:r>
            <w:r w:rsidRPr="00180BB7">
              <w:rPr>
                <w:b w:val="0"/>
                <w:vertAlign w:val="subscript"/>
              </w:rPr>
              <w:t>oi</w:t>
            </w:r>
            <w:proofErr w:type="spellEnd"/>
          </w:p>
        </w:tc>
        <w:tc>
          <w:tcPr>
            <w:tcW w:w="4252"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ontwerp- en installatiefactor</w:t>
            </w:r>
          </w:p>
        </w:tc>
        <w:tc>
          <w:tcPr>
            <w:tcW w:w="1418" w:type="dxa"/>
          </w:tcPr>
          <w:p w:rsidR="00A33A5A" w:rsidRPr="002519E7" w:rsidRDefault="00A33A5A" w:rsidP="00A1486B">
            <w:pPr>
              <w:jc w:val="right"/>
              <w:cnfStyle w:val="000000100000" w:firstRow="0" w:lastRow="0" w:firstColumn="0" w:lastColumn="0" w:oddVBand="0" w:evenVBand="0" w:oddHBand="1" w:evenHBand="0" w:firstRowFirstColumn="0" w:firstRowLastColumn="0" w:lastRowFirstColumn="0" w:lastRowLastColumn="0"/>
            </w:pPr>
            <w:r w:rsidRPr="002519E7">
              <w:t>2,94</w:t>
            </w:r>
          </w:p>
        </w:tc>
      </w:tr>
    </w:tbl>
    <w:p w:rsidR="00A33A5A" w:rsidRPr="00331C69" w:rsidRDefault="00A33A5A" w:rsidP="00A1486B"/>
    <w:p w:rsidR="00A33A5A" w:rsidRDefault="00A33A5A" w:rsidP="00A1486B">
      <w:pPr>
        <w:pStyle w:val="Caption"/>
      </w:pPr>
      <w:bookmarkStart w:id="3" w:name="_Ref388944211"/>
      <w:r>
        <w:t xml:space="preserve">Tabel </w:t>
      </w:r>
      <w:r>
        <w:fldChar w:fldCharType="begin"/>
      </w:r>
      <w:r>
        <w:instrText xml:space="preserve"> SEQ Tabel \* ARABIC </w:instrText>
      </w:r>
      <w:r>
        <w:fldChar w:fldCharType="separate"/>
      </w:r>
      <w:r w:rsidR="00DC67A3">
        <w:rPr>
          <w:noProof/>
        </w:rPr>
        <w:t>4</w:t>
      </w:r>
      <w:r>
        <w:fldChar w:fldCharType="end"/>
      </w:r>
      <w:bookmarkEnd w:id="3"/>
      <w:r>
        <w:t xml:space="preserve">: Waardes voor </w:t>
      </w:r>
      <w:proofErr w:type="spellStart"/>
      <w:r>
        <w:t>f</w:t>
      </w:r>
      <w:r w:rsidRPr="00030FED">
        <w:rPr>
          <w:vertAlign w:val="subscript"/>
        </w:rPr>
        <w:t>p</w:t>
      </w:r>
      <w:proofErr w:type="spellEnd"/>
    </w:p>
    <w:tbl>
      <w:tblPr>
        <w:tblStyle w:val="MediumShading1-Accent2"/>
        <w:tblW w:w="0" w:type="auto"/>
        <w:tblInd w:w="2660" w:type="dxa"/>
        <w:tblLook w:val="04A0" w:firstRow="1" w:lastRow="0" w:firstColumn="1" w:lastColumn="0" w:noHBand="0" w:noVBand="1"/>
      </w:tblPr>
      <w:tblGrid>
        <w:gridCol w:w="2551"/>
        <w:gridCol w:w="1134"/>
      </w:tblGrid>
      <w:tr w:rsidR="00A33A5A" w:rsidRPr="002519E7" w:rsidTr="00A14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A33A5A" w:rsidRPr="002519E7" w:rsidRDefault="00A33A5A" w:rsidP="00A1486B">
            <w:r w:rsidRPr="002519E7">
              <w:t>ontwerpdruk (bar)</w:t>
            </w:r>
          </w:p>
        </w:tc>
        <w:tc>
          <w:tcPr>
            <w:tcW w:w="1134" w:type="dxa"/>
          </w:tcPr>
          <w:p w:rsidR="00A33A5A" w:rsidRPr="002519E7" w:rsidRDefault="00A33A5A" w:rsidP="00A1486B">
            <w:pPr>
              <w:jc w:val="right"/>
              <w:cnfStyle w:val="100000000000" w:firstRow="1" w:lastRow="0" w:firstColumn="0" w:lastColumn="0" w:oddVBand="0" w:evenVBand="0" w:oddHBand="0" w:evenHBand="0" w:firstRowFirstColumn="0" w:firstRowLastColumn="0" w:lastRowFirstColumn="0" w:lastRowLastColumn="0"/>
            </w:pPr>
            <w:proofErr w:type="spellStart"/>
            <w:r w:rsidRPr="002519E7">
              <w:t>f</w:t>
            </w:r>
            <w:r w:rsidRPr="00180BB7">
              <w:rPr>
                <w:vertAlign w:val="subscript"/>
              </w:rPr>
              <w:t>p</w:t>
            </w:r>
            <w:proofErr w:type="spellEnd"/>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A33A5A" w:rsidRPr="002519E7" w:rsidRDefault="00A33A5A" w:rsidP="00A1486B">
            <w:pPr>
              <w:rPr>
                <w:b w:val="0"/>
              </w:rPr>
            </w:pPr>
            <w:r w:rsidRPr="002519E7">
              <w:rPr>
                <w:b w:val="0"/>
              </w:rPr>
              <w:t>1 – 7</w:t>
            </w:r>
          </w:p>
        </w:tc>
        <w:tc>
          <w:tcPr>
            <w:tcW w:w="1134" w:type="dxa"/>
          </w:tcPr>
          <w:p w:rsidR="00A33A5A" w:rsidRPr="002519E7" w:rsidRDefault="00A33A5A" w:rsidP="00A1486B">
            <w:pPr>
              <w:jc w:val="right"/>
              <w:cnfStyle w:val="000000100000" w:firstRow="0" w:lastRow="0" w:firstColumn="0" w:lastColumn="0" w:oddVBand="0" w:evenVBand="0" w:oddHBand="1" w:evenHBand="0" w:firstRowFirstColumn="0" w:firstRowLastColumn="0" w:lastRowFirstColumn="0" w:lastRowLastColumn="0"/>
            </w:pPr>
            <w:r w:rsidRPr="002519E7">
              <w:t>1,0</w:t>
            </w:r>
          </w:p>
        </w:tc>
      </w:tr>
      <w:tr w:rsidR="00A33A5A" w:rsidRPr="002519E7"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A33A5A" w:rsidRPr="002519E7" w:rsidRDefault="00A33A5A" w:rsidP="00A1486B">
            <w:pPr>
              <w:rPr>
                <w:b w:val="0"/>
              </w:rPr>
            </w:pPr>
            <w:r w:rsidRPr="002519E7">
              <w:rPr>
                <w:b w:val="0"/>
              </w:rPr>
              <w:t>7 – 50</w:t>
            </w:r>
          </w:p>
        </w:tc>
        <w:tc>
          <w:tcPr>
            <w:tcW w:w="1134" w:type="dxa"/>
          </w:tcPr>
          <w:p w:rsidR="00A33A5A" w:rsidRPr="002519E7" w:rsidRDefault="00A33A5A" w:rsidP="00A1486B">
            <w:pPr>
              <w:jc w:val="right"/>
              <w:cnfStyle w:val="000000010000" w:firstRow="0" w:lastRow="0" w:firstColumn="0" w:lastColumn="0" w:oddVBand="0" w:evenVBand="0" w:oddHBand="0" w:evenHBand="1" w:firstRowFirstColumn="0" w:firstRowLastColumn="0" w:lastRowFirstColumn="0" w:lastRowLastColumn="0"/>
            </w:pPr>
            <w:r w:rsidRPr="002519E7">
              <w:t>1,5</w:t>
            </w:r>
          </w:p>
        </w:tc>
      </w:tr>
    </w:tbl>
    <w:p w:rsidR="00A33A5A" w:rsidRDefault="00A33A5A" w:rsidP="00A1486B"/>
    <w:p w:rsidR="00A33A5A" w:rsidRDefault="00A33A5A" w:rsidP="00A1486B">
      <w:pPr>
        <w:pStyle w:val="Caption"/>
      </w:pPr>
      <w:bookmarkStart w:id="4" w:name="_Ref388944226"/>
      <w:r>
        <w:t xml:space="preserve">Tabel </w:t>
      </w:r>
      <w:r>
        <w:fldChar w:fldCharType="begin"/>
      </w:r>
      <w:r>
        <w:instrText xml:space="preserve"> SEQ Tabel \* ARABIC </w:instrText>
      </w:r>
      <w:r>
        <w:fldChar w:fldCharType="separate"/>
      </w:r>
      <w:r w:rsidR="00DC67A3">
        <w:rPr>
          <w:noProof/>
        </w:rPr>
        <w:t>5</w:t>
      </w:r>
      <w:r>
        <w:fldChar w:fldCharType="end"/>
      </w:r>
      <w:bookmarkEnd w:id="4"/>
      <w:r>
        <w:t>: Waardes voor f</w:t>
      </w:r>
      <w:r w:rsidRPr="00030FED">
        <w:rPr>
          <w:vertAlign w:val="subscript"/>
        </w:rPr>
        <w:t>t</w:t>
      </w:r>
    </w:p>
    <w:tbl>
      <w:tblPr>
        <w:tblStyle w:val="MediumShading1-Accent2"/>
        <w:tblW w:w="0" w:type="auto"/>
        <w:tblInd w:w="2660" w:type="dxa"/>
        <w:tblLook w:val="04A0" w:firstRow="1" w:lastRow="0" w:firstColumn="1" w:lastColumn="0" w:noHBand="0" w:noVBand="1"/>
      </w:tblPr>
      <w:tblGrid>
        <w:gridCol w:w="2268"/>
        <w:gridCol w:w="1417"/>
      </w:tblGrid>
      <w:tr w:rsidR="00A33A5A" w:rsidRPr="002519E7" w:rsidTr="00A14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33A5A" w:rsidRPr="002519E7" w:rsidRDefault="00A33A5A" w:rsidP="00A1486B">
            <w:r w:rsidRPr="002519E7">
              <w:t>temperatuur (°C)</w:t>
            </w:r>
          </w:p>
        </w:tc>
        <w:tc>
          <w:tcPr>
            <w:tcW w:w="1417" w:type="dxa"/>
          </w:tcPr>
          <w:p w:rsidR="00A33A5A" w:rsidRPr="002519E7" w:rsidRDefault="00A33A5A" w:rsidP="00A1486B">
            <w:pPr>
              <w:cnfStyle w:val="100000000000" w:firstRow="1" w:lastRow="0" w:firstColumn="0" w:lastColumn="0" w:oddVBand="0" w:evenVBand="0" w:oddHBand="0" w:evenHBand="0" w:firstRowFirstColumn="0" w:firstRowLastColumn="0" w:lastRowFirstColumn="0" w:lastRowLastColumn="0"/>
            </w:pPr>
            <w:r w:rsidRPr="002519E7">
              <w:t>ft</w:t>
            </w:r>
          </w:p>
        </w:tc>
      </w:tr>
      <w:tr w:rsidR="00A33A5A" w:rsidRPr="002519E7" w:rsidTr="00A14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33A5A" w:rsidRPr="002519E7" w:rsidRDefault="00A33A5A" w:rsidP="00A1486B">
            <w:pPr>
              <w:rPr>
                <w:b w:val="0"/>
              </w:rPr>
            </w:pPr>
            <w:r w:rsidRPr="002519E7">
              <w:rPr>
                <w:b w:val="0"/>
              </w:rPr>
              <w:t>0 – 100</w:t>
            </w:r>
          </w:p>
        </w:tc>
        <w:tc>
          <w:tcPr>
            <w:tcW w:w="1417" w:type="dxa"/>
          </w:tcPr>
          <w:p w:rsidR="00A33A5A" w:rsidRPr="002519E7" w:rsidRDefault="00A33A5A" w:rsidP="00A1486B">
            <w:pPr>
              <w:cnfStyle w:val="000000100000" w:firstRow="0" w:lastRow="0" w:firstColumn="0" w:lastColumn="0" w:oddVBand="0" w:evenVBand="0" w:oddHBand="1" w:evenHBand="0" w:firstRowFirstColumn="0" w:firstRowLastColumn="0" w:lastRowFirstColumn="0" w:lastRowLastColumn="0"/>
            </w:pPr>
            <w:r w:rsidRPr="002519E7">
              <w:t>1,0</w:t>
            </w:r>
          </w:p>
        </w:tc>
      </w:tr>
      <w:tr w:rsidR="00A33A5A" w:rsidRPr="00331C69" w:rsidTr="00A14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33A5A" w:rsidRPr="002519E7" w:rsidRDefault="00A33A5A" w:rsidP="00A1486B">
            <w:pPr>
              <w:rPr>
                <w:b w:val="0"/>
              </w:rPr>
            </w:pPr>
            <w:r w:rsidRPr="002519E7">
              <w:rPr>
                <w:b w:val="0"/>
              </w:rPr>
              <w:t>100 – 300</w:t>
            </w:r>
          </w:p>
        </w:tc>
        <w:tc>
          <w:tcPr>
            <w:tcW w:w="1417" w:type="dxa"/>
          </w:tcPr>
          <w:p w:rsidR="00A33A5A" w:rsidRPr="00331C69" w:rsidRDefault="00A33A5A" w:rsidP="00A1486B">
            <w:pPr>
              <w:cnfStyle w:val="000000010000" w:firstRow="0" w:lastRow="0" w:firstColumn="0" w:lastColumn="0" w:oddVBand="0" w:evenVBand="0" w:oddHBand="0" w:evenHBand="1" w:firstRowFirstColumn="0" w:firstRowLastColumn="0" w:lastRowFirstColumn="0" w:lastRowLastColumn="0"/>
            </w:pPr>
            <w:r w:rsidRPr="002519E7">
              <w:t>1,6</w:t>
            </w:r>
          </w:p>
        </w:tc>
      </w:tr>
    </w:tbl>
    <w:p w:rsidR="00A33A5A" w:rsidRDefault="00A33A5A" w:rsidP="000D7636"/>
    <w:p w:rsidR="00626A66" w:rsidRDefault="006E2D94" w:rsidP="00626A66">
      <w:pPr>
        <w:pStyle w:val="Heading2"/>
      </w:pPr>
      <w:r>
        <w:t>Elektriciteitsproductie</w:t>
      </w:r>
    </w:p>
    <w:p w:rsidR="00626A66" w:rsidRDefault="00626A66" w:rsidP="00626A66"/>
    <w:p w:rsidR="000B2DA3" w:rsidRDefault="00626A66" w:rsidP="00626A66">
      <w:r>
        <w:t>Voor installaties van minder dan 1.</w:t>
      </w:r>
      <w:r w:rsidR="00247474">
        <w:t>50</w:t>
      </w:r>
      <w:r>
        <w:t>0 kW wordt een specifieke kost 3.750 Euro/</w:t>
      </w:r>
      <w:proofErr w:type="spellStart"/>
      <w:r>
        <w:t>kW</w:t>
      </w:r>
      <w:r w:rsidRPr="00626A66">
        <w:rPr>
          <w:vertAlign w:val="subscript"/>
        </w:rPr>
        <w:t>e</w:t>
      </w:r>
      <w:proofErr w:type="spellEnd"/>
      <w:r>
        <w:t xml:space="preserve"> gehanteerd. We gaan er van uit dat kleine </w:t>
      </w:r>
      <w:r w:rsidR="00936803">
        <w:t xml:space="preserve">installaties </w:t>
      </w:r>
      <w:proofErr w:type="spellStart"/>
      <w:r w:rsidR="00936803">
        <w:t>skid</w:t>
      </w:r>
      <w:proofErr w:type="spellEnd"/>
      <w:r w:rsidR="00936803">
        <w:t xml:space="preserve">-gemonteerd </w:t>
      </w:r>
      <w:r>
        <w:t>aangeleverd worden, wat de kosten zou moeten drukken.</w:t>
      </w:r>
      <w:r w:rsidR="000B2DA3">
        <w:t xml:space="preserve"> </w:t>
      </w:r>
      <w:r>
        <w:t>Voor installaties met een netto output van 1.</w:t>
      </w:r>
      <w:r w:rsidR="00247474">
        <w:t>50</w:t>
      </w:r>
      <w:r>
        <w:t>0 kW of meer wordt de specifieke investeringskost wordt berekend op basis van het netto elektrische vermogen.</w:t>
      </w:r>
    </w:p>
    <w:p w:rsidR="000B2DA3" w:rsidRDefault="000B2DA3" w:rsidP="00626A66"/>
    <w:p w:rsidR="000B2DA3" w:rsidRDefault="000B2DA3" w:rsidP="00626A66"/>
    <w:p w:rsidR="000B2DA3" w:rsidRDefault="000B2DA3" w:rsidP="00626A66">
      <w:pPr>
        <w:rPr>
          <w:b/>
        </w:rPr>
      </w:pPr>
      <w:r w:rsidRPr="000B2DA3">
        <w:rPr>
          <w:b/>
        </w:rPr>
        <w:t>Luchtgekoelde binaire cyclus</w:t>
      </w:r>
    </w:p>
    <w:p w:rsidR="000B2DA3" w:rsidRPr="000B2DA3" w:rsidRDefault="000B2DA3" w:rsidP="00626A66">
      <w:pPr>
        <w:rPr>
          <w:b/>
        </w:rPr>
      </w:pPr>
    </w:p>
    <w:p w:rsidR="00A51162" w:rsidRDefault="001F365D" w:rsidP="00626A66">
      <w:r>
        <w:t xml:space="preserve">De investeringskost </w:t>
      </w:r>
      <w:r w:rsidR="000B2DA3">
        <w:t>voor een luchtgekoelde binaire cyclus is gebaseerd op d</w:t>
      </w:r>
      <w:r w:rsidR="00626A66">
        <w:t xml:space="preserve">e specifieke </w:t>
      </w:r>
      <w:proofErr w:type="spellStart"/>
      <w:r w:rsidR="00626A66">
        <w:t>investerings</w:t>
      </w:r>
      <w:r>
        <w:softHyphen/>
      </w:r>
      <w:r w:rsidR="00626A66">
        <w:t>kost</w:t>
      </w:r>
      <w:proofErr w:type="spellEnd"/>
      <w:r w:rsidR="00626A66">
        <w:t xml:space="preserve"> </w:t>
      </w:r>
      <w:r>
        <w:t>(</w:t>
      </w:r>
      <w:proofErr w:type="spellStart"/>
      <w:r>
        <w:t>kEuro</w:t>
      </w:r>
      <w:proofErr w:type="spellEnd"/>
      <w:r>
        <w:t>/</w:t>
      </w:r>
      <w:proofErr w:type="spellStart"/>
      <w:r w:rsidR="00140A16">
        <w:t>M</w:t>
      </w:r>
      <w:r>
        <w:t>We</w:t>
      </w:r>
      <w:proofErr w:type="spellEnd"/>
      <w:r>
        <w:t xml:space="preserve">) </w:t>
      </w:r>
      <w:r w:rsidR="00626A66">
        <w:t>voor een eenvoudige</w:t>
      </w:r>
      <w:r w:rsidR="000B2DA3">
        <w:t xml:space="preserve"> (enkelvoudige druk)</w:t>
      </w:r>
      <w:r w:rsidR="00936803">
        <w:t>, luchtgekoelde</w:t>
      </w:r>
      <w:r w:rsidR="00626A66">
        <w:t xml:space="preserve"> </w:t>
      </w:r>
      <w:r w:rsidR="000B2DA3">
        <w:t>binaire cyclus</w:t>
      </w:r>
      <w:r w:rsidR="00626A66">
        <w:t xml:space="preserve"> met </w:t>
      </w:r>
      <w:proofErr w:type="spellStart"/>
      <w:r w:rsidR="00626A66">
        <w:t>recupe</w:t>
      </w:r>
      <w:r w:rsidR="000B2DA3">
        <w:softHyphen/>
      </w:r>
      <w:r w:rsidR="00626A66">
        <w:t>rator</w:t>
      </w:r>
      <w:proofErr w:type="spellEnd"/>
      <w:r w:rsidR="00626A66">
        <w:t xml:space="preserve"> en </w:t>
      </w:r>
      <w:proofErr w:type="spellStart"/>
      <w:r w:rsidR="00626A66">
        <w:t>isobutaan</w:t>
      </w:r>
      <w:proofErr w:type="spellEnd"/>
      <w:r w:rsidR="00626A66">
        <w:t xml:space="preserve"> als werkingsmedium die geven wordt in </w:t>
      </w:r>
      <w:r w:rsidR="00A51162">
        <w:t>[</w:t>
      </w:r>
      <w:bookmarkStart w:id="5" w:name="_Ref401149956"/>
      <w:r w:rsidR="00A51162" w:rsidRPr="00626A66">
        <w:rPr>
          <w:rStyle w:val="EndnoteReference"/>
          <w:vertAlign w:val="baseline"/>
        </w:rPr>
        <w:endnoteReference w:id="1"/>
      </w:r>
      <w:bookmarkEnd w:id="5"/>
      <w:r w:rsidR="00A51162">
        <w:t>].</w:t>
      </w:r>
      <w:r w:rsidR="006E2D94">
        <w:t xml:space="preserve"> De correlatie is gebaseerd op een systee</w:t>
      </w:r>
      <w:r w:rsidR="000B2DA3">
        <w:t>moptimalisatie over een tempera</w:t>
      </w:r>
      <w:r w:rsidR="006E2D94">
        <w:t>tuurbereik van 100 tot 150°C en een netto vermogen van 2 tot 10 </w:t>
      </w:r>
      <w:proofErr w:type="spellStart"/>
      <w:r w:rsidR="006E2D94">
        <w:t>MW</w:t>
      </w:r>
      <w:r w:rsidR="006E2D94" w:rsidRPr="006E2D94">
        <w:rPr>
          <w:vertAlign w:val="subscript"/>
        </w:rPr>
        <w:t>e</w:t>
      </w:r>
      <w:proofErr w:type="spellEnd"/>
      <w:r w:rsidR="006E2D94">
        <w:t>.</w:t>
      </w:r>
    </w:p>
    <w:p w:rsidR="00B50CA1" w:rsidRDefault="00B50CA1" w:rsidP="00626A66"/>
    <w:p w:rsidR="00B50CA1" w:rsidRPr="00B50CA1" w:rsidRDefault="001246DB" w:rsidP="00626A66">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bin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kW</m:t>
                  </m:r>
                </m:e>
                <m:sub>
                  <m:r>
                    <w:rPr>
                      <w:rFonts w:ascii="Cambria Math" w:hAnsi="Cambria Math"/>
                    </w:rPr>
                    <m:t>e</m:t>
                  </m:r>
                </m:sub>
                <m:sup>
                  <m:r>
                    <w:rPr>
                      <w:rFonts w:ascii="Cambria Math" w:hAnsi="Cambria Math"/>
                    </w:rPr>
                    <m:t>net</m:t>
                  </m:r>
                </m:sup>
              </m:sSubSup>
            </m:num>
            <m:den>
              <m:r>
                <w:rPr>
                  <w:rFonts w:ascii="Cambria Math" w:hAnsi="Cambria Math"/>
                </w:rPr>
                <m:t>1000</m:t>
              </m:r>
            </m:den>
          </m:f>
          <m:r>
            <w:rPr>
              <w:rFonts w:ascii="Cambria Math" w:hAnsi="Cambria Math"/>
            </w:rPr>
            <m:t xml:space="preserve"> ×8,29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kW</m:t>
                          </m:r>
                        </m:e>
                        <m:sub>
                          <m:r>
                            <w:rPr>
                              <w:rFonts w:ascii="Cambria Math" w:hAnsi="Cambria Math"/>
                            </w:rPr>
                            <m:t>e</m:t>
                          </m:r>
                        </m:sub>
                        <m:sup>
                          <m:r>
                            <w:rPr>
                              <w:rFonts w:ascii="Cambria Math" w:hAnsi="Cambria Math"/>
                            </w:rPr>
                            <m:t>net</m:t>
                          </m:r>
                        </m:sup>
                      </m:sSubSup>
                    </m:num>
                    <m:den>
                      <m:r>
                        <w:rPr>
                          <w:rFonts w:ascii="Cambria Math" w:hAnsi="Cambria Math"/>
                        </w:rPr>
                        <m:t>1000</m:t>
                      </m:r>
                    </m:den>
                  </m:f>
                </m:e>
              </m:d>
            </m:e>
            <m:sup>
              <m:r>
                <w:rPr>
                  <w:rFonts w:ascii="Cambria Math" w:hAnsi="Cambria Math"/>
                </w:rPr>
                <m:t>-0,4417</m:t>
              </m:r>
            </m:sup>
          </m:sSup>
        </m:oMath>
      </m:oMathPara>
    </w:p>
    <w:p w:rsidR="00B50CA1" w:rsidRDefault="00B50CA1" w:rsidP="00626A66"/>
    <w:p w:rsidR="00A51162" w:rsidRPr="00B50CA1" w:rsidRDefault="001246DB" w:rsidP="00626A66">
      <m:oMathPara>
        <m:oMathParaPr>
          <m:jc m:val="left"/>
        </m:oMathParaPr>
        <m:oMath>
          <m:sSubSup>
            <m:sSubSupPr>
              <m:ctrlPr>
                <w:rPr>
                  <w:rFonts w:ascii="Cambria Math" w:hAnsi="Cambria Math"/>
                  <w:i/>
                </w:rPr>
              </m:ctrlPr>
            </m:sSubSupPr>
            <m:e>
              <m:r>
                <w:rPr>
                  <w:rFonts w:ascii="Cambria Math" w:hAnsi="Cambria Math"/>
                </w:rPr>
                <m:t>kW</m:t>
              </m:r>
            </m:e>
            <m:sub>
              <m:r>
                <w:rPr>
                  <w:rFonts w:ascii="Cambria Math" w:hAnsi="Cambria Math"/>
                </w:rPr>
                <m:t>e</m:t>
              </m:r>
            </m:sub>
            <m:sup>
              <m:r>
                <w:rPr>
                  <w:rFonts w:ascii="Cambria Math" w:hAnsi="Cambria Math"/>
                </w:rPr>
                <m:t>net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cp</m:t>
                  </m:r>
                </m:e>
                <m:sub>
                  <m:r>
                    <w:rPr>
                      <w:rFonts w:ascii="Cambria Math" w:hAnsi="Cambria Math"/>
                    </w: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b,o</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b</m:t>
                      </m:r>
                    </m:sub>
                  </m:sSub>
                </m:e>
              </m:acc>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en</m:t>
                  </m:r>
                </m:sub>
                <m:sup>
                  <m:r>
                    <w:rPr>
                      <w:rFonts w:ascii="Cambria Math" w:hAnsi="Cambria Math"/>
                    </w:rPr>
                    <m:t>cycle</m:t>
                  </m:r>
                </m:sup>
              </m:sSubSup>
            </m:num>
            <m:den>
              <m:r>
                <w:rPr>
                  <w:rFonts w:ascii="Cambria Math" w:hAnsi="Cambria Math"/>
                </w:rPr>
                <m:t>1000 ×100</m:t>
              </m:r>
            </m:den>
          </m:f>
        </m:oMath>
      </m:oMathPara>
    </w:p>
    <w:p w:rsidR="00B50CA1" w:rsidRDefault="00B50CA1" w:rsidP="00626A66"/>
    <w:p w:rsidR="00B50CA1" w:rsidRPr="00B50CA1" w:rsidRDefault="001246DB" w:rsidP="00626A66">
      <m:oMathPara>
        <m:oMathParaPr>
          <m:jc m:val="left"/>
        </m:oMathParaPr>
        <m:oMath>
          <m:sSubSup>
            <m:sSubSupPr>
              <m:ctrlPr>
                <w:rPr>
                  <w:rFonts w:ascii="Cambria Math" w:hAnsi="Cambria Math"/>
                  <w:i/>
                </w:rPr>
              </m:ctrlPr>
            </m:sSubSupPr>
            <m:e>
              <m:r>
                <w:rPr>
                  <w:rFonts w:ascii="Cambria Math" w:hAnsi="Cambria Math"/>
                </w:rPr>
                <m:t>γ</m:t>
              </m:r>
            </m:e>
            <m:sub>
              <m:r>
                <w:rPr>
                  <w:rFonts w:ascii="Cambria Math" w:hAnsi="Cambria Math"/>
                </w:rPr>
                <m:t>en</m:t>
              </m:r>
            </m:sub>
            <m:sup>
              <m:r>
                <w:rPr>
                  <w:rFonts w:ascii="Cambria Math" w:hAnsi="Cambria Math"/>
                </w:rPr>
                <m:t>cycle</m:t>
              </m:r>
            </m:sup>
          </m:sSubSup>
          <m:r>
            <w:rPr>
              <w:rFonts w:ascii="Cambria Math" w:hAnsi="Cambria Math"/>
            </w:rPr>
            <m:t>= -5,182×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b,i</m:t>
              </m:r>
            </m:sub>
            <m:sup>
              <m:r>
                <w:rPr>
                  <w:rFonts w:ascii="Cambria Math" w:hAnsi="Cambria Math"/>
                </w:rPr>
                <m:t>2</m:t>
              </m:r>
            </m:sup>
          </m:sSubSup>
          <m:r>
            <w:rPr>
              <w:rFonts w:ascii="Cambria Math" w:hAnsi="Cambria Math"/>
            </w:rPr>
            <m:t xml:space="preserve">+0,2307 × </m:t>
          </m:r>
          <m:sSub>
            <m:sSubPr>
              <m:ctrlPr>
                <w:rPr>
                  <w:rFonts w:ascii="Cambria Math" w:hAnsi="Cambria Math"/>
                  <w:i/>
                </w:rPr>
              </m:ctrlPr>
            </m:sSubPr>
            <m:e>
              <m:r>
                <w:rPr>
                  <w:rFonts w:ascii="Cambria Math" w:hAnsi="Cambria Math"/>
                </w:rPr>
                <m:t>T</m:t>
              </m:r>
            </m:e>
            <m:sub>
              <m:r>
                <w:rPr>
                  <w:rFonts w:ascii="Cambria Math" w:hAnsi="Cambria Math"/>
                </w:rPr>
                <m:t>b,i</m:t>
              </m:r>
            </m:sub>
          </m:sSub>
          <m:r>
            <w:rPr>
              <w:rFonts w:ascii="Cambria Math" w:hAnsi="Cambria Math"/>
            </w:rPr>
            <m:t>-10,71</m:t>
          </m:r>
        </m:oMath>
      </m:oMathPara>
    </w:p>
    <w:p w:rsidR="00B50CA1" w:rsidRDefault="00B50CA1" w:rsidP="00626A66"/>
    <w:p w:rsidR="00A51162" w:rsidRDefault="00B50CA1" w:rsidP="00626A66">
      <w:r>
        <w:t>Met</w:t>
      </w:r>
      <w:r w:rsidR="006E2D94">
        <w:t xml:space="preserve"> </w:t>
      </w:r>
      <w:proofErr w:type="spellStart"/>
      <w:r w:rsidR="006E2D94">
        <w:t>T</w:t>
      </w:r>
      <w:r w:rsidR="006E2D94" w:rsidRPr="006E2D94">
        <w:rPr>
          <w:vertAlign w:val="subscript"/>
        </w:rPr>
        <w:t>b,i</w:t>
      </w:r>
      <w:proofErr w:type="spellEnd"/>
      <w:r w:rsidR="00691E1E">
        <w:t xml:space="preserve"> de inputtemperatuur en </w:t>
      </w:r>
      <w:proofErr w:type="spellStart"/>
      <w:r w:rsidR="006E2D94">
        <w:t>T</w:t>
      </w:r>
      <w:r w:rsidR="006E2D94" w:rsidRPr="006E2D94">
        <w:rPr>
          <w:vertAlign w:val="subscript"/>
        </w:rPr>
        <w:t>b,o</w:t>
      </w:r>
      <w:proofErr w:type="spellEnd"/>
      <w:r w:rsidR="006E2D94">
        <w:t xml:space="preserve"> de</w:t>
      </w:r>
      <w:r w:rsidR="00691E1E">
        <w:t xml:space="preserve"> outputtemperatuur van de </w:t>
      </w:r>
      <w:proofErr w:type="spellStart"/>
      <w:r w:rsidR="00691E1E">
        <w:t>brine</w:t>
      </w:r>
      <w:proofErr w:type="spellEnd"/>
      <w:r w:rsidR="00691E1E">
        <w:t xml:space="preserve"> (beide in °C). </w:t>
      </w:r>
      <w:proofErr w:type="spellStart"/>
      <w:r w:rsidR="00691E1E">
        <w:t>cp</w:t>
      </w:r>
      <w:r w:rsidR="00691E1E" w:rsidRPr="00691E1E">
        <w:rPr>
          <w:vertAlign w:val="subscript"/>
        </w:rPr>
        <w:t>b</w:t>
      </w:r>
      <w:proofErr w:type="spellEnd"/>
      <w:r w:rsidR="00691E1E">
        <w:t xml:space="preserve"> staat voor de specifieke warmte van de </w:t>
      </w:r>
      <w:proofErr w:type="spellStart"/>
      <w:r w:rsidR="00691E1E">
        <w:t>brine</w:t>
      </w:r>
      <w:proofErr w:type="spellEnd"/>
      <w:r w:rsidR="00691E1E">
        <w:t xml:space="preserve"> (in J/</w:t>
      </w:r>
      <w:proofErr w:type="spellStart"/>
      <w:r w:rsidR="00691E1E">
        <w:t>kg.°C</w:t>
      </w:r>
      <w:proofErr w:type="spellEnd"/>
      <w:r w:rsidR="00691E1E">
        <w:t>) en wordt berekend volgens de formule geven in [</w:t>
      </w:r>
      <w:r w:rsidR="00691E1E" w:rsidRPr="00691E1E">
        <w:rPr>
          <w:rStyle w:val="EndnoteReference"/>
          <w:vertAlign w:val="baseline"/>
        </w:rPr>
        <w:endnoteReference w:id="2"/>
      </w:r>
      <w:r w:rsidR="00691E1E">
        <w:t>].</w:t>
      </w:r>
    </w:p>
    <w:p w:rsidR="00B50CA1" w:rsidRDefault="00B50CA1" w:rsidP="00626A66"/>
    <w:p w:rsidR="006E2D94" w:rsidRDefault="006E2D94" w:rsidP="00626A66">
      <w:proofErr w:type="spellStart"/>
      <w:r>
        <w:t>C</w:t>
      </w:r>
      <w:r w:rsidR="000B2DA3">
        <w:rPr>
          <w:vertAlign w:val="subscript"/>
        </w:rPr>
        <w:t>bin</w:t>
      </w:r>
      <w:proofErr w:type="spellEnd"/>
      <w:r w:rsidR="00B30E64">
        <w:t xml:space="preserve"> is uitgedrukt in </w:t>
      </w:r>
      <w:proofErr w:type="spellStart"/>
      <w:r w:rsidR="00B30E64">
        <w:t>kEuro</w:t>
      </w:r>
      <w:proofErr w:type="spellEnd"/>
      <w:r w:rsidR="00B30E64">
        <w:t xml:space="preserve"> en is gebaseerd op kostfunctie</w:t>
      </w:r>
      <w:r w:rsidR="00936803">
        <w:t>s</w:t>
      </w:r>
      <w:r w:rsidR="00B30E64">
        <w:t xml:space="preserve"> voor de verschillende onderdelen van een binaire elektriciteitsplant die herrekend werden naar het jaar 2013. </w:t>
      </w:r>
      <m:oMath>
        <m:sSubSup>
          <m:sSubSupPr>
            <m:ctrlPr>
              <w:rPr>
                <w:rFonts w:ascii="Cambria Math" w:hAnsi="Cambria Math"/>
                <w:i/>
              </w:rPr>
            </m:ctrlPr>
          </m:sSubSupPr>
          <m:e>
            <m:r>
              <w:rPr>
                <w:rFonts w:ascii="Cambria Math" w:hAnsi="Cambria Math"/>
              </w:rPr>
              <m:t>kW</m:t>
            </m:r>
          </m:e>
          <m:sub>
            <m:r>
              <w:rPr>
                <w:rFonts w:ascii="Cambria Math" w:hAnsi="Cambria Math"/>
              </w:rPr>
              <m:t>e</m:t>
            </m:r>
          </m:sub>
          <m:sup>
            <m:r>
              <w:rPr>
                <w:rFonts w:ascii="Cambria Math" w:hAnsi="Cambria Math"/>
              </w:rPr>
              <m:t>net</m:t>
            </m:r>
          </m:sup>
        </m:sSubSup>
      </m:oMath>
      <w:r w:rsidR="00B30E64" w:rsidRPr="00B30E64">
        <w:rPr>
          <w:vertAlign w:val="subscript"/>
        </w:rPr>
        <w:t xml:space="preserve"> </w:t>
      </w:r>
      <w:r w:rsidR="00B30E64">
        <w:t>is het net netto elektri</w:t>
      </w:r>
      <w:r w:rsidR="00B30E64">
        <w:softHyphen/>
        <w:t xml:space="preserve">sche vermogen van de binaire plant in </w:t>
      </w:r>
      <w:proofErr w:type="spellStart"/>
      <w:r w:rsidR="00B30E64">
        <w:t>kW</w:t>
      </w:r>
      <w:r w:rsidR="00B30E64" w:rsidRPr="00B30E64">
        <w:rPr>
          <w:vertAlign w:val="subscript"/>
        </w:rPr>
        <w:t>e</w:t>
      </w:r>
      <w:proofErr w:type="spellEnd"/>
      <w:r w:rsidR="00B30E64">
        <w:t xml:space="preserve"> en </w:t>
      </w:r>
      <m:oMath>
        <m:sSubSup>
          <m:sSubSupPr>
            <m:ctrlPr>
              <w:rPr>
                <w:rFonts w:ascii="Cambria Math" w:hAnsi="Cambria Math"/>
                <w:i/>
              </w:rPr>
            </m:ctrlPr>
          </m:sSubSupPr>
          <m:e>
            <m:r>
              <w:rPr>
                <w:rFonts w:ascii="Cambria Math" w:hAnsi="Cambria Math"/>
              </w:rPr>
              <m:t>γ</m:t>
            </m:r>
          </m:e>
          <m:sub>
            <m:r>
              <w:rPr>
                <w:rFonts w:ascii="Cambria Math" w:hAnsi="Cambria Math"/>
              </w:rPr>
              <m:t>en</m:t>
            </m:r>
          </m:sub>
          <m:sup>
            <m:r>
              <w:rPr>
                <w:rFonts w:ascii="Cambria Math" w:hAnsi="Cambria Math"/>
              </w:rPr>
              <m:t>cycle</m:t>
            </m:r>
          </m:sup>
        </m:sSubSup>
      </m:oMath>
      <w:r w:rsidR="00B30E64">
        <w:t xml:space="preserve"> is de energetische cyclusefficiëntie in %</w:t>
      </w:r>
      <w:r w:rsidR="00936803">
        <w:t>.</w:t>
      </w:r>
    </w:p>
    <w:p w:rsidR="00626A66" w:rsidRDefault="00626A66" w:rsidP="00626A66">
      <w:r>
        <w:lastRenderedPageBreak/>
        <w:t xml:space="preserve">De systeemoptimalisatie uitgevoerd in </w:t>
      </w:r>
      <w:r w:rsidR="00A51162">
        <w:t>[</w:t>
      </w:r>
      <w:r w:rsidR="00A51162">
        <w:fldChar w:fldCharType="begin"/>
      </w:r>
      <w:r w:rsidR="00A51162">
        <w:instrText xml:space="preserve"> NOTEREF _Ref401149956 \h </w:instrText>
      </w:r>
      <w:r w:rsidR="00A51162">
        <w:fldChar w:fldCharType="separate"/>
      </w:r>
      <w:r w:rsidR="00DC67A3">
        <w:t>1</w:t>
      </w:r>
      <w:r w:rsidR="00A51162">
        <w:fldChar w:fldCharType="end"/>
      </w:r>
      <w:r w:rsidR="00A51162">
        <w:t>] leert dat</w:t>
      </w:r>
      <w:r w:rsidR="000B2DA3">
        <w:t xml:space="preserve"> een dergelijke binaire cyclus de </w:t>
      </w:r>
      <w:proofErr w:type="spellStart"/>
      <w:r w:rsidR="000B2DA3">
        <w:t>brine</w:t>
      </w:r>
      <w:proofErr w:type="spellEnd"/>
      <w:r w:rsidR="000B2DA3">
        <w:t xml:space="preserve"> af</w:t>
      </w:r>
      <w:r w:rsidR="00A51162">
        <w:t xml:space="preserve">koelt tot ca. 65°C. Dit laat een parallelschakeling toe van de </w:t>
      </w:r>
      <w:r w:rsidR="000B2DA3">
        <w:t>binaire cyclus</w:t>
      </w:r>
      <w:r w:rsidR="00A51162">
        <w:t xml:space="preserve"> met warmtelevering op 65 - 45°C.</w:t>
      </w:r>
    </w:p>
    <w:p w:rsidR="00626A66" w:rsidRDefault="00626A66" w:rsidP="00626A66"/>
    <w:p w:rsidR="0019379B" w:rsidRDefault="0019379B" w:rsidP="00626A66">
      <w:r>
        <w:t>Om een geleidelijke overgang tussen beide kostenmodel te verkrijgen werd de investeringskost voor installatie tot 1.500 kW aangepast:</w:t>
      </w:r>
    </w:p>
    <w:p w:rsidR="0019379B" w:rsidRPr="000B2DA3" w:rsidRDefault="0019379B" w:rsidP="00626A66">
      <w:pPr>
        <w:rPr>
          <w:rFonts w:ascii="Cambria Math" w:hAnsi="Cambria Math"/>
        </w:rPr>
      </w:pPr>
      <w:r>
        <w:t xml:space="preserve"> </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bin</m:t>
              </m:r>
            </m:sub>
          </m:sSub>
          <m:r>
            <w:rPr>
              <w:rFonts w:ascii="Cambria Math" w:hAnsi="Cambria Math"/>
            </w:rPr>
            <m:t>=4250×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kW</m:t>
                          </m:r>
                        </m:e>
                        <m:sub>
                          <m:r>
                            <w:rPr>
                              <w:rFonts w:ascii="Cambria Math" w:hAnsi="Cambria Math"/>
                            </w:rPr>
                            <m:t>e</m:t>
                          </m:r>
                        </m:sub>
                        <m:sup>
                          <m:r>
                            <w:rPr>
                              <w:rFonts w:ascii="Cambria Math" w:hAnsi="Cambria Math"/>
                            </w:rPr>
                            <m:t>net</m:t>
                          </m:r>
                        </m:sup>
                      </m:sSubSup>
                    </m:num>
                    <m:den>
                      <m:r>
                        <w:rPr>
                          <w:rFonts w:ascii="Cambria Math" w:hAnsi="Cambria Math"/>
                        </w:rPr>
                        <m:t>1000</m:t>
                      </m:r>
                    </m:den>
                  </m:f>
                </m:e>
              </m:d>
            </m:e>
            <m:sup>
              <m:r>
                <w:rPr>
                  <w:rFonts w:ascii="Cambria Math" w:hAnsi="Cambria Math"/>
                </w:rPr>
                <m:t>1,375</m:t>
              </m:r>
            </m:sup>
          </m:sSup>
          <m:r>
            <m:rPr>
              <m:sty m:val="p"/>
            </m:rPr>
            <w:rPr>
              <w:rFonts w:ascii="Cambria Math" w:hAnsi="Cambria Math"/>
            </w:rPr>
            <w:br/>
          </m:r>
        </m:oMath>
      </m:oMathPara>
    </w:p>
    <w:p w:rsidR="000B2DA3" w:rsidRPr="000B2DA3" w:rsidRDefault="000B2DA3" w:rsidP="00626A66">
      <w:pPr>
        <w:rPr>
          <w:rFonts w:ascii="Cambria Math" w:hAnsi="Cambria Math"/>
        </w:rPr>
      </w:pPr>
    </w:p>
    <w:p w:rsidR="000B2DA3" w:rsidRPr="000B2DA3" w:rsidRDefault="000B2DA3" w:rsidP="00626A66">
      <w:pPr>
        <w:rPr>
          <w:rFonts w:ascii="Cambria Math" w:hAnsi="Cambria Math"/>
          <w:b/>
        </w:rPr>
      </w:pPr>
      <w:r w:rsidRPr="000B2DA3">
        <w:rPr>
          <w:rFonts w:ascii="Cambria Math" w:hAnsi="Cambria Math"/>
          <w:b/>
        </w:rPr>
        <w:t>Watergekoelde binaire cyclus</w:t>
      </w:r>
    </w:p>
    <w:p w:rsidR="000B2DA3" w:rsidRDefault="000B2DA3" w:rsidP="00626A66">
      <w:pPr>
        <w:rPr>
          <w:rFonts w:ascii="Cambria Math" w:hAnsi="Cambria Math"/>
        </w:rPr>
      </w:pPr>
    </w:p>
    <w:p w:rsidR="000B2DA3" w:rsidRDefault="000B2DA3" w:rsidP="000B2DA3">
      <w:r>
        <w:t xml:space="preserve">De investeringskost voor een binaire cyclus die gekoeld wordt met een natte koeltoren is gebaseerd op de specifieke investeringskost voor een eenvoudige (enkelvoudige druk), watergekoelde binaire cyclus met </w:t>
      </w:r>
      <w:proofErr w:type="spellStart"/>
      <w:r>
        <w:t>isobutaan</w:t>
      </w:r>
      <w:proofErr w:type="spellEnd"/>
      <w:r>
        <w:t xml:space="preserve"> als werkingsmedium die geven wordt in [</w:t>
      </w:r>
      <w:r w:rsidRPr="000B2DA3">
        <w:rPr>
          <w:rStyle w:val="EndnoteReference"/>
          <w:vertAlign w:val="baseline"/>
        </w:rPr>
        <w:endnoteReference w:id="3"/>
      </w:r>
      <w:r>
        <w:t>]. De correlatie is gebaseerd op een systeemoptimalisatie over een temperatuurbereik van 100 tot 150°C en een netto vermogen van 2 tot 10 </w:t>
      </w:r>
      <w:proofErr w:type="spellStart"/>
      <w:r>
        <w:t>MW</w:t>
      </w:r>
      <w:r w:rsidRPr="006E2D94">
        <w:rPr>
          <w:vertAlign w:val="subscript"/>
        </w:rPr>
        <w:t>e</w:t>
      </w:r>
      <w:proofErr w:type="spellEnd"/>
      <w:r>
        <w:t>.</w:t>
      </w:r>
    </w:p>
    <w:p w:rsidR="000B2DA3" w:rsidRDefault="000B2DA3" w:rsidP="000B2DA3"/>
    <w:p w:rsidR="000B2DA3" w:rsidRPr="00B50CA1" w:rsidRDefault="001246DB" w:rsidP="000B2DA3">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bin</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kW</m:t>
                  </m:r>
                </m:e>
                <m:sub>
                  <m:r>
                    <w:rPr>
                      <w:rFonts w:ascii="Cambria Math" w:hAnsi="Cambria Math"/>
                    </w:rPr>
                    <m:t>e</m:t>
                  </m:r>
                </m:sub>
                <m:sup>
                  <m:r>
                    <w:rPr>
                      <w:rFonts w:ascii="Cambria Math" w:hAnsi="Cambria Math"/>
                    </w:rPr>
                    <m:t>net</m:t>
                  </m:r>
                </m:sup>
              </m:sSubSup>
            </m:num>
            <m:den>
              <m:r>
                <w:rPr>
                  <w:rFonts w:ascii="Cambria Math" w:hAnsi="Cambria Math"/>
                </w:rPr>
                <m:t>1000</m:t>
              </m:r>
            </m:den>
          </m:f>
          <m:r>
            <w:rPr>
              <w:rFonts w:ascii="Cambria Math" w:hAnsi="Cambria Math"/>
            </w:rPr>
            <m:t>×6,5×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kW</m:t>
                          </m:r>
                        </m:e>
                        <m:sub>
                          <m:r>
                            <w:rPr>
                              <w:rFonts w:ascii="Cambria Math" w:hAnsi="Cambria Math"/>
                            </w:rPr>
                            <m:t>e</m:t>
                          </m:r>
                        </m:sub>
                        <m:sup>
                          <m:r>
                            <w:rPr>
                              <w:rFonts w:ascii="Cambria Math" w:hAnsi="Cambria Math"/>
                            </w:rPr>
                            <m:t>net</m:t>
                          </m:r>
                        </m:sup>
                      </m:sSubSup>
                    </m:num>
                    <m:den>
                      <m:r>
                        <w:rPr>
                          <w:rFonts w:ascii="Cambria Math" w:hAnsi="Cambria Math"/>
                        </w:rPr>
                        <m:t>1000</m:t>
                      </m:r>
                    </m:den>
                  </m:f>
                </m:e>
              </m:d>
            </m:e>
            <m:sup>
              <m:r>
                <w:rPr>
                  <w:rFonts w:ascii="Cambria Math" w:hAnsi="Cambria Math"/>
                </w:rPr>
                <m:t>-0,8</m:t>
              </m:r>
            </m:sup>
          </m:sSup>
        </m:oMath>
      </m:oMathPara>
    </w:p>
    <w:p w:rsidR="000B2DA3" w:rsidRDefault="000B2DA3" w:rsidP="000B2DA3"/>
    <w:p w:rsidR="000B2DA3" w:rsidRPr="00B50CA1" w:rsidRDefault="001246DB" w:rsidP="000B2DA3">
      <m:oMathPara>
        <m:oMathParaPr>
          <m:jc m:val="left"/>
        </m:oMathParaPr>
        <m:oMath>
          <m:sSubSup>
            <m:sSubSupPr>
              <m:ctrlPr>
                <w:rPr>
                  <w:rFonts w:ascii="Cambria Math" w:hAnsi="Cambria Math"/>
                  <w:i/>
                </w:rPr>
              </m:ctrlPr>
            </m:sSubSupPr>
            <m:e>
              <m:r>
                <w:rPr>
                  <w:rFonts w:ascii="Cambria Math" w:hAnsi="Cambria Math"/>
                </w:rPr>
                <m:t>kW</m:t>
              </m:r>
            </m:e>
            <m:sub>
              <m:r>
                <w:rPr>
                  <w:rFonts w:ascii="Cambria Math" w:hAnsi="Cambria Math"/>
                </w:rPr>
                <m:t>e</m:t>
              </m:r>
            </m:sub>
            <m:sup>
              <m:r>
                <w:rPr>
                  <w:rFonts w:ascii="Cambria Math" w:hAnsi="Cambria Math"/>
                </w:rPr>
                <m:t>net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cp</m:t>
                  </m:r>
                </m:e>
                <m:sub>
                  <m:r>
                    <w:rPr>
                      <w:rFonts w:ascii="Cambria Math" w:hAnsi="Cambria Math"/>
                    </w: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b,o</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b</m:t>
                      </m:r>
                    </m:sub>
                  </m:sSub>
                </m:e>
              </m:acc>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en</m:t>
                  </m:r>
                </m:sub>
                <m:sup>
                  <m:r>
                    <w:rPr>
                      <w:rFonts w:ascii="Cambria Math" w:hAnsi="Cambria Math"/>
                    </w:rPr>
                    <m:t>cycle</m:t>
                  </m:r>
                </m:sup>
              </m:sSubSup>
            </m:num>
            <m:den>
              <m:r>
                <w:rPr>
                  <w:rFonts w:ascii="Cambria Math" w:hAnsi="Cambria Math"/>
                </w:rPr>
                <m:t>1000 ×100</m:t>
              </m:r>
            </m:den>
          </m:f>
        </m:oMath>
      </m:oMathPara>
    </w:p>
    <w:p w:rsidR="000B2DA3" w:rsidRDefault="000B2DA3" w:rsidP="000B2DA3"/>
    <w:p w:rsidR="000B2DA3" w:rsidRPr="00B50CA1" w:rsidRDefault="001246DB" w:rsidP="000B2DA3">
      <m:oMathPara>
        <m:oMathParaPr>
          <m:jc m:val="left"/>
        </m:oMathParaPr>
        <m:oMath>
          <m:sSubSup>
            <m:sSubSupPr>
              <m:ctrlPr>
                <w:rPr>
                  <w:rFonts w:ascii="Cambria Math" w:hAnsi="Cambria Math"/>
                  <w:i/>
                </w:rPr>
              </m:ctrlPr>
            </m:sSubSupPr>
            <m:e>
              <m:r>
                <w:rPr>
                  <w:rFonts w:ascii="Cambria Math" w:hAnsi="Cambria Math"/>
                </w:rPr>
                <m:t>γ</m:t>
              </m:r>
            </m:e>
            <m:sub>
              <m:r>
                <w:rPr>
                  <w:rFonts w:ascii="Cambria Math" w:hAnsi="Cambria Math"/>
                </w:rPr>
                <m:t>en</m:t>
              </m:r>
            </m:sub>
            <m:sup>
              <m:r>
                <w:rPr>
                  <w:rFonts w:ascii="Cambria Math" w:hAnsi="Cambria Math"/>
                </w:rPr>
                <m:t>cycle</m:t>
              </m:r>
            </m:sup>
          </m:sSubSup>
          <m:r>
            <w:rPr>
              <w:rFonts w:ascii="Cambria Math" w:hAnsi="Cambria Math"/>
            </w:rPr>
            <m:t>= 8,434×</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b,i</m:t>
              </m:r>
            </m:sub>
          </m:sSub>
          <m:r>
            <w:rPr>
              <w:rFonts w:ascii="Cambria Math" w:hAnsi="Cambria Math"/>
            </w:rPr>
            <m:t>-0,4457</m:t>
          </m:r>
        </m:oMath>
      </m:oMathPara>
    </w:p>
    <w:p w:rsidR="000B2DA3" w:rsidRDefault="000B2DA3" w:rsidP="00626A66">
      <w:pPr>
        <w:rPr>
          <w:rFonts w:ascii="Cambria Math" w:hAnsi="Cambria Math"/>
        </w:rPr>
      </w:pPr>
    </w:p>
    <w:p w:rsidR="000B2DA3" w:rsidRDefault="000B2DA3" w:rsidP="000B2DA3">
      <w:r>
        <w:t xml:space="preserve">Met </w:t>
      </w:r>
      <w:proofErr w:type="spellStart"/>
      <w:r>
        <w:t>T</w:t>
      </w:r>
      <w:r w:rsidRPr="006E2D94">
        <w:rPr>
          <w:vertAlign w:val="subscript"/>
        </w:rPr>
        <w:t>b,i</w:t>
      </w:r>
      <w:proofErr w:type="spellEnd"/>
      <w:r>
        <w:t xml:space="preserve"> de inputtemperatuur en </w:t>
      </w:r>
      <w:proofErr w:type="spellStart"/>
      <w:r>
        <w:t>T</w:t>
      </w:r>
      <w:r w:rsidRPr="006E2D94">
        <w:rPr>
          <w:vertAlign w:val="subscript"/>
        </w:rPr>
        <w:t>b,o</w:t>
      </w:r>
      <w:proofErr w:type="spellEnd"/>
      <w:r>
        <w:t xml:space="preserve"> de outputtemperatuur van de </w:t>
      </w:r>
      <w:proofErr w:type="spellStart"/>
      <w:r>
        <w:t>brine</w:t>
      </w:r>
      <w:proofErr w:type="spellEnd"/>
      <w:r>
        <w:t xml:space="preserve"> (beide in °C). </w:t>
      </w:r>
      <w:proofErr w:type="spellStart"/>
      <w:r>
        <w:t>cp</w:t>
      </w:r>
      <w:r w:rsidRPr="00691E1E">
        <w:rPr>
          <w:vertAlign w:val="subscript"/>
        </w:rPr>
        <w:t>b</w:t>
      </w:r>
      <w:proofErr w:type="spellEnd"/>
      <w:r>
        <w:t xml:space="preserve"> staat voor de specifieke warmte van de </w:t>
      </w:r>
      <w:proofErr w:type="spellStart"/>
      <w:r>
        <w:t>brine</w:t>
      </w:r>
      <w:proofErr w:type="spellEnd"/>
      <w:r>
        <w:t xml:space="preserve"> (in J/</w:t>
      </w:r>
      <w:proofErr w:type="spellStart"/>
      <w:r>
        <w:t>kg.°C</w:t>
      </w:r>
      <w:proofErr w:type="spellEnd"/>
      <w:r>
        <w:t>) en wordt berekend volgens de formule geven in [</w:t>
      </w:r>
      <w:r w:rsidRPr="00691E1E">
        <w:rPr>
          <w:rStyle w:val="EndnoteReference"/>
          <w:vertAlign w:val="baseline"/>
        </w:rPr>
        <w:endnoteReference w:id="4"/>
      </w:r>
      <w:r>
        <w:t>].</w:t>
      </w:r>
    </w:p>
    <w:p w:rsidR="000B2DA3" w:rsidRDefault="000B2DA3" w:rsidP="000B2DA3"/>
    <w:p w:rsidR="000B2DA3" w:rsidRDefault="000B2DA3" w:rsidP="00626A66">
      <w:proofErr w:type="spellStart"/>
      <w:r>
        <w:t>C</w:t>
      </w:r>
      <w:r>
        <w:rPr>
          <w:vertAlign w:val="subscript"/>
        </w:rPr>
        <w:t>bin</w:t>
      </w:r>
      <w:proofErr w:type="spellEnd"/>
      <w:r>
        <w:t xml:space="preserve"> is uitgedrukt in </w:t>
      </w:r>
      <w:proofErr w:type="spellStart"/>
      <w:r>
        <w:t>kEuro</w:t>
      </w:r>
      <w:proofErr w:type="spellEnd"/>
      <w:r>
        <w:t xml:space="preserve"> en is gebaseerd op kostfuncties voor de verschillende onderdelen van een binaire elektriciteitsplant die herrekend werden naar het jaar 2013. </w:t>
      </w:r>
      <m:oMath>
        <m:sSubSup>
          <m:sSubSupPr>
            <m:ctrlPr>
              <w:rPr>
                <w:rFonts w:ascii="Cambria Math" w:hAnsi="Cambria Math"/>
                <w:i/>
              </w:rPr>
            </m:ctrlPr>
          </m:sSubSupPr>
          <m:e>
            <m:r>
              <w:rPr>
                <w:rFonts w:ascii="Cambria Math" w:hAnsi="Cambria Math"/>
              </w:rPr>
              <m:t>kW</m:t>
            </m:r>
          </m:e>
          <m:sub>
            <m:r>
              <w:rPr>
                <w:rFonts w:ascii="Cambria Math" w:hAnsi="Cambria Math"/>
              </w:rPr>
              <m:t>e</m:t>
            </m:r>
          </m:sub>
          <m:sup>
            <m:r>
              <w:rPr>
                <w:rFonts w:ascii="Cambria Math" w:hAnsi="Cambria Math"/>
              </w:rPr>
              <m:t>net</m:t>
            </m:r>
          </m:sup>
        </m:sSubSup>
      </m:oMath>
      <w:r w:rsidRPr="00B30E64">
        <w:rPr>
          <w:vertAlign w:val="subscript"/>
        </w:rPr>
        <w:t xml:space="preserve"> </w:t>
      </w:r>
      <w:r>
        <w:t>is het net netto elektri</w:t>
      </w:r>
      <w:r>
        <w:softHyphen/>
        <w:t xml:space="preserve">sche vermogen van de binaire plant in </w:t>
      </w:r>
      <w:proofErr w:type="spellStart"/>
      <w:r>
        <w:t>kW</w:t>
      </w:r>
      <w:r w:rsidRPr="00B30E64">
        <w:rPr>
          <w:vertAlign w:val="subscript"/>
        </w:rPr>
        <w:t>e</w:t>
      </w:r>
      <w:proofErr w:type="spellEnd"/>
      <w:r>
        <w:t xml:space="preserve"> en </w:t>
      </w:r>
      <m:oMath>
        <m:sSubSup>
          <m:sSubSupPr>
            <m:ctrlPr>
              <w:rPr>
                <w:rFonts w:ascii="Cambria Math" w:hAnsi="Cambria Math"/>
                <w:i/>
              </w:rPr>
            </m:ctrlPr>
          </m:sSubSupPr>
          <m:e>
            <m:r>
              <w:rPr>
                <w:rFonts w:ascii="Cambria Math" w:hAnsi="Cambria Math"/>
              </w:rPr>
              <m:t>γ</m:t>
            </m:r>
          </m:e>
          <m:sub>
            <m:r>
              <w:rPr>
                <w:rFonts w:ascii="Cambria Math" w:hAnsi="Cambria Math"/>
              </w:rPr>
              <m:t>en</m:t>
            </m:r>
          </m:sub>
          <m:sup>
            <m:r>
              <w:rPr>
                <w:rFonts w:ascii="Cambria Math" w:hAnsi="Cambria Math"/>
              </w:rPr>
              <m:t>cycle</m:t>
            </m:r>
          </m:sup>
        </m:sSubSup>
      </m:oMath>
      <w:r>
        <w:t xml:space="preserve"> is de energetische cyclusefficiëntie in %.</w:t>
      </w:r>
    </w:p>
    <w:p w:rsidR="000B2DA3" w:rsidRDefault="000B2DA3" w:rsidP="00626A66"/>
    <w:p w:rsidR="000B2DA3" w:rsidRDefault="000B2DA3" w:rsidP="00626A66">
      <w:r>
        <w:t>De systeemoptimalisatie uitgevoerd in [</w:t>
      </w:r>
      <w:r>
        <w:fldChar w:fldCharType="begin"/>
      </w:r>
      <w:r>
        <w:instrText xml:space="preserve"> NOTEREF _Ref401149956 \h </w:instrText>
      </w:r>
      <w:r>
        <w:fldChar w:fldCharType="separate"/>
      </w:r>
      <w:r>
        <w:t>1</w:t>
      </w:r>
      <w:r>
        <w:fldChar w:fldCharType="end"/>
      </w:r>
      <w:r>
        <w:t xml:space="preserve">] leert dat een dergelijke binaire cyclus de </w:t>
      </w:r>
      <w:proofErr w:type="spellStart"/>
      <w:r>
        <w:t>brine</w:t>
      </w:r>
      <w:proofErr w:type="spellEnd"/>
      <w:r>
        <w:t xml:space="preserve"> afkoelt tot ca. 60°C.</w:t>
      </w:r>
    </w:p>
    <w:p w:rsidR="000B2DA3" w:rsidRDefault="000B2DA3" w:rsidP="00626A66"/>
    <w:p w:rsidR="000B2DA3" w:rsidRPr="000B2DA3" w:rsidRDefault="000B2DA3" w:rsidP="00626A66">
      <w:pPr>
        <w:rPr>
          <w:rFonts w:ascii="Cambria Math" w:hAnsi="Cambria Math"/>
        </w:rPr>
      </w:pPr>
    </w:p>
    <w:p w:rsidR="00612E9A" w:rsidRDefault="00612E9A" w:rsidP="00612E9A">
      <w:pPr>
        <w:pStyle w:val="Heading3"/>
      </w:pPr>
      <w:r>
        <w:t>Bepaling van het massadebiet</w:t>
      </w:r>
      <w:r w:rsidR="00281244">
        <w:t xml:space="preserve"> en de productietemperatuur</w:t>
      </w:r>
    </w:p>
    <w:p w:rsidR="00612E9A" w:rsidRDefault="00612E9A" w:rsidP="00626A66"/>
    <w:p w:rsidR="00281244" w:rsidRDefault="00281244" w:rsidP="00281244">
      <w:proofErr w:type="spellStart"/>
      <w:r>
        <w:t>T</w:t>
      </w:r>
      <w:r w:rsidRPr="00A1486B">
        <w:rPr>
          <w:vertAlign w:val="subscript"/>
        </w:rPr>
        <w:t>b,i</w:t>
      </w:r>
      <w:proofErr w:type="spellEnd"/>
      <w:r>
        <w:t xml:space="preserve"> wordt opgehaald uit de temperatuurkaart voor de top van de Kolenkalk. </w:t>
      </w:r>
      <w:r w:rsidR="000B2DA3">
        <w:t>I</w:t>
      </w:r>
      <w:r>
        <w:t xml:space="preserve">n Daar </w:t>
      </w:r>
      <w:r w:rsidR="00936803">
        <w:t>deze kaart</w:t>
      </w:r>
      <w:r>
        <w:t xml:space="preserve"> geen </w:t>
      </w:r>
      <w:r w:rsidR="00936803">
        <w:t>rekening houdt</w:t>
      </w:r>
      <w:r>
        <w:t xml:space="preserve"> met de dikte van Kolenkalk</w:t>
      </w:r>
      <w:r w:rsidR="00D7088A">
        <w:t xml:space="preserve"> en met </w:t>
      </w:r>
      <w:proofErr w:type="spellStart"/>
      <w:r w:rsidR="00D7088A">
        <w:t>temperatuursverliezen</w:t>
      </w:r>
      <w:proofErr w:type="spellEnd"/>
      <w:r w:rsidR="00D7088A">
        <w:t xml:space="preserve"> in de productieput</w:t>
      </w:r>
      <w:r>
        <w:t xml:space="preserve">, </w:t>
      </w:r>
      <w:r w:rsidR="00D7088A">
        <w:t xml:space="preserve">dient afgelezen </w:t>
      </w:r>
      <w:r w:rsidR="00936803">
        <w:t xml:space="preserve">temperatuur </w:t>
      </w:r>
      <w:r w:rsidR="00D7088A">
        <w:t>gecorrigeerd te worden</w:t>
      </w:r>
      <w:r>
        <w:t xml:space="preserve"> om het massadebiet te bepalen.</w:t>
      </w:r>
      <w:r w:rsidR="00D7088A">
        <w:t xml:space="preserve"> De correctie kan berekend worden op basis van de dikte van de Kolenkalk op een bepaalde plaats, de lengte en het ontwerp van de productieput en het volumedebiet. Gemiddeld ligt de </w:t>
      </w:r>
      <w:r w:rsidR="0070195B">
        <w:t>productietemperatuur 5 tot 10% hoger dan de waarde die afgelezen wordt uit de temperatuurkaart. Dit is vooral te wijten aan de dikte van de Kolenkalk, die in Kempen varieert van enkele honderden meters tot ruim 800 m.</w:t>
      </w:r>
      <w:r>
        <w:t xml:space="preserve"> </w:t>
      </w:r>
      <w:r w:rsidR="0070195B">
        <w:t>Als benadering wordt de volgende</w:t>
      </w:r>
      <w:r>
        <w:t xml:space="preserve"> correctiefunctie </w:t>
      </w:r>
      <w:r w:rsidR="0070195B">
        <w:t>gebruikt</w:t>
      </w:r>
      <w:r>
        <w:t>:</w:t>
      </w:r>
    </w:p>
    <w:p w:rsidR="00281244" w:rsidRDefault="00281244" w:rsidP="00281244"/>
    <w:p w:rsidR="00281244" w:rsidRDefault="001246DB" w:rsidP="00281244">
      <m:oMathPara>
        <m:oMath>
          <m:sSub>
            <m:sSubPr>
              <m:ctrlPr>
                <w:rPr>
                  <w:rFonts w:ascii="Cambria Math" w:hAnsi="Cambria Math"/>
                  <w:i/>
                </w:rPr>
              </m:ctrlPr>
            </m:sSubPr>
            <m:e>
              <m:r>
                <w:rPr>
                  <w:rFonts w:ascii="Cambria Math" w:hAnsi="Cambria Math"/>
                </w:rPr>
                <m:t>T</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tk</m:t>
              </m:r>
            </m:sub>
          </m:sSub>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tK</m:t>
              </m:r>
            </m:sub>
            <m:sup>
              <m:r>
                <w:rPr>
                  <w:rFonts w:ascii="Cambria Math" w:hAnsi="Cambria Math"/>
                </w:rPr>
                <m:t>2</m:t>
              </m:r>
            </m:sup>
          </m:sSubSup>
          <m:r>
            <w:rPr>
              <w:rFonts w:ascii="Cambria Math" w:hAnsi="Cambria Math"/>
            </w:rPr>
            <m:t>+0,311×</m:t>
          </m:r>
          <m:sSub>
            <m:sSubPr>
              <m:ctrlPr>
                <w:rPr>
                  <w:rFonts w:ascii="Cambria Math" w:hAnsi="Cambria Math"/>
                  <w:i/>
                </w:rPr>
              </m:ctrlPr>
            </m:sSubPr>
            <m:e>
              <m:r>
                <w:rPr>
                  <w:rFonts w:ascii="Cambria Math" w:hAnsi="Cambria Math"/>
                </w:rPr>
                <m:t>T</m:t>
              </m:r>
            </m:e>
            <m:sub>
              <m:r>
                <w:rPr>
                  <w:rFonts w:ascii="Cambria Math" w:hAnsi="Cambria Math"/>
                </w:rPr>
                <m:t>tk</m:t>
              </m:r>
            </m:sub>
          </m:sSub>
          <m:r>
            <w:rPr>
              <w:rFonts w:ascii="Cambria Math" w:hAnsi="Cambria Math"/>
            </w:rPr>
            <m:t>-3,62</m:t>
          </m:r>
        </m:oMath>
      </m:oMathPara>
    </w:p>
    <w:p w:rsidR="00281244" w:rsidRDefault="00281244" w:rsidP="00281244"/>
    <w:p w:rsidR="00D7088A" w:rsidRDefault="00D7088A" w:rsidP="00281244">
      <w:r>
        <w:t xml:space="preserve">Waarin </w:t>
      </w:r>
      <m:oMath>
        <m:sSubSup>
          <m:sSubSupPr>
            <m:ctrlPr>
              <w:rPr>
                <w:rFonts w:ascii="Cambria Math" w:hAnsi="Cambria Math"/>
                <w:i/>
              </w:rPr>
            </m:ctrlPr>
          </m:sSubSupPr>
          <m:e>
            <m:r>
              <w:rPr>
                <w:rFonts w:ascii="Cambria Math" w:hAnsi="Cambria Math"/>
              </w:rPr>
              <m:t>T</m:t>
            </m:r>
          </m:e>
          <m:sub>
            <m:r>
              <w:rPr>
                <w:rFonts w:ascii="Cambria Math" w:hAnsi="Cambria Math"/>
              </w:rPr>
              <m:t>tK</m:t>
            </m:r>
          </m:sub>
          <m:sup>
            <m:r>
              <w:rPr>
                <w:rFonts w:ascii="Cambria Math" w:hAnsi="Cambria Math"/>
              </w:rPr>
              <m:t>2</m:t>
            </m:r>
          </m:sup>
        </m:sSubSup>
      </m:oMath>
      <w:r>
        <w:t xml:space="preserve"> staat voor de temperatuur aan de top van de Kolenkalk (°C).</w:t>
      </w:r>
    </w:p>
    <w:p w:rsidR="00D7088A" w:rsidRDefault="00D7088A" w:rsidP="00281244"/>
    <w:p w:rsidR="0070195B" w:rsidRDefault="0070195B" w:rsidP="00281244"/>
    <w:p w:rsidR="00612E9A" w:rsidRDefault="00612E9A" w:rsidP="00626A66">
      <w:r>
        <w:t xml:space="preserve">Het massadebiet van de </w:t>
      </w:r>
      <w:proofErr w:type="spellStart"/>
      <w:r>
        <w:t>brine</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sub>
        </m:sSub>
      </m:oMath>
      <w:r w:rsidR="00936803">
        <w:t xml:space="preserve"> in kg/s</w:t>
      </w:r>
      <w:r>
        <w:t>) wordt berekend uit het vermogen van een geothermische doublet en de temperatuur van het geproduceerde water:</w:t>
      </w:r>
    </w:p>
    <w:p w:rsidR="00936803" w:rsidRDefault="00936803" w:rsidP="00626A66"/>
    <w:p w:rsidR="00612E9A" w:rsidRDefault="001246DB" w:rsidP="00626A6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th</m:t>
                  </m:r>
                </m:sub>
              </m:sSub>
              <m:r>
                <w:rPr>
                  <w:rFonts w:ascii="Cambria Math" w:hAnsi="Cambria Math"/>
                </w:rPr>
                <m:t>×1000000</m:t>
              </m:r>
            </m:num>
            <m:den>
              <m:d>
                <m:dPr>
                  <m:ctrlPr>
                    <w:rPr>
                      <w:rFonts w:ascii="Cambria Math" w:hAnsi="Cambria Math"/>
                      <w:i/>
                    </w:rPr>
                  </m:ctrlPr>
                </m:dPr>
                <m:e>
                  <m:sSub>
                    <m:sSubPr>
                      <m:ctrlPr>
                        <w:rPr>
                          <w:rFonts w:ascii="Cambria Math" w:hAnsi="Cambria Math"/>
                          <w:i/>
                        </w:rPr>
                      </m:ctrlPr>
                    </m:sSubPr>
                    <m:e>
                      <m:r>
                        <w:rPr>
                          <w:rFonts w:ascii="Cambria Math" w:hAnsi="Cambria Math"/>
                        </w:rPr>
                        <m:t>cp</m:t>
                      </m:r>
                    </m:e>
                    <m:sub>
                      <m:r>
                        <w:rPr>
                          <w:rFonts w:ascii="Cambria Math" w:hAnsi="Cambria Math"/>
                        </w:rPr>
                        <m:t>b</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b,i</m:t>
                          </m:r>
                        </m:sub>
                      </m:sSub>
                      <m:r>
                        <w:rPr>
                          <w:rFonts w:ascii="Cambria Math" w:hAnsi="Cambria Math"/>
                        </w:rPr>
                        <m:t>-40°C</m:t>
                      </m:r>
                    </m:e>
                  </m:d>
                </m:e>
              </m:d>
            </m:den>
          </m:f>
        </m:oMath>
      </m:oMathPara>
    </w:p>
    <w:p w:rsidR="00612E9A" w:rsidRDefault="00612E9A" w:rsidP="00612E9A"/>
    <w:p w:rsidR="00691E1E" w:rsidRDefault="00612E9A" w:rsidP="00612E9A">
      <w:r>
        <w:t xml:space="preserve">Waarin </w:t>
      </w:r>
      <w:proofErr w:type="spellStart"/>
      <w:r>
        <w:t>MW</w:t>
      </w:r>
      <w:r w:rsidRPr="00612E9A">
        <w:rPr>
          <w:vertAlign w:val="subscript"/>
        </w:rPr>
        <w:t>th</w:t>
      </w:r>
      <w:proofErr w:type="spellEnd"/>
      <w:r>
        <w:t xml:space="preserve"> staat voor het thermisch vermogen van het doublet</w:t>
      </w:r>
      <w:r w:rsidR="00691E1E">
        <w:t xml:space="preserve"> (in MW), </w:t>
      </w:r>
      <w:proofErr w:type="spellStart"/>
      <w:r w:rsidR="00A1486B">
        <w:t>T</w:t>
      </w:r>
      <w:r w:rsidR="00A1486B" w:rsidRPr="00A1486B">
        <w:rPr>
          <w:vertAlign w:val="subscript"/>
        </w:rPr>
        <w:t>b,i</w:t>
      </w:r>
      <w:proofErr w:type="spellEnd"/>
      <w:r w:rsidR="00A1486B">
        <w:t xml:space="preserve"> voor temperatuur van de opgepompte </w:t>
      </w:r>
      <w:proofErr w:type="spellStart"/>
      <w:r w:rsidR="00A1486B">
        <w:t>brine</w:t>
      </w:r>
      <w:proofErr w:type="spellEnd"/>
      <w:r w:rsidR="00691E1E">
        <w:t xml:space="preserve"> (in °C) en </w:t>
      </w:r>
      <w:proofErr w:type="spellStart"/>
      <w:r w:rsidR="00691E1E">
        <w:t>cp</w:t>
      </w:r>
      <w:r w:rsidR="00691E1E" w:rsidRPr="00691E1E">
        <w:rPr>
          <w:vertAlign w:val="subscript"/>
        </w:rPr>
        <w:t>b</w:t>
      </w:r>
      <w:proofErr w:type="spellEnd"/>
      <w:r w:rsidR="00691E1E">
        <w:t xml:space="preserve"> voor de specifieke warmte van de </w:t>
      </w:r>
      <w:proofErr w:type="spellStart"/>
      <w:r w:rsidR="00691E1E">
        <w:t>brine</w:t>
      </w:r>
      <w:proofErr w:type="spellEnd"/>
      <w:r w:rsidR="00691E1E">
        <w:t xml:space="preserve"> (in J/</w:t>
      </w:r>
      <w:proofErr w:type="spellStart"/>
      <w:r w:rsidR="00691E1E">
        <w:t>kg.K</w:t>
      </w:r>
      <w:proofErr w:type="spellEnd"/>
      <w:r w:rsidR="00691E1E">
        <w:t>).</w:t>
      </w:r>
    </w:p>
    <w:p w:rsidR="00A1486B" w:rsidRDefault="00A1486B" w:rsidP="00612E9A"/>
    <w:p w:rsidR="00A1486B" w:rsidRDefault="00612E9A" w:rsidP="00612E9A">
      <w:proofErr w:type="spellStart"/>
      <w:r>
        <w:t>MW</w:t>
      </w:r>
      <w:r w:rsidRPr="00612E9A">
        <w:rPr>
          <w:vertAlign w:val="subscript"/>
        </w:rPr>
        <w:t>th</w:t>
      </w:r>
      <w:r w:rsidR="00A1486B" w:rsidRPr="00A1486B">
        <w:rPr>
          <w:vertAlign w:val="subscript"/>
        </w:rPr>
        <w:t>i</w:t>
      </w:r>
      <w:proofErr w:type="spellEnd"/>
      <w:r w:rsidR="00A1486B">
        <w:t xml:space="preserve"> </w:t>
      </w:r>
      <w:r w:rsidR="00936803">
        <w:t xml:space="preserve">(in MW) </w:t>
      </w:r>
      <w:r>
        <w:t>word</w:t>
      </w:r>
      <w:r w:rsidR="00A1486B">
        <w:t>t</w:t>
      </w:r>
      <w:r>
        <w:t xml:space="preserve"> </w:t>
      </w:r>
      <w:r w:rsidR="00A1486B">
        <w:t xml:space="preserve">berekend op basis van </w:t>
      </w:r>
      <w:r>
        <w:t>de dieptekaart</w:t>
      </w:r>
      <w:r w:rsidR="00A1486B">
        <w:t xml:space="preserve"> voor de top van de Kolenkalk:</w:t>
      </w:r>
    </w:p>
    <w:p w:rsidR="00A1486B" w:rsidRDefault="00A1486B" w:rsidP="00612E9A"/>
    <w:p w:rsidR="00A1486B" w:rsidRDefault="001246DB" w:rsidP="00A1486B">
      <w:pPr>
        <w:tabs>
          <w:tab w:val="left" w:pos="5670"/>
        </w:tabs>
        <w:jc w:val="left"/>
      </w:pPr>
      <m:oMath>
        <m:sSub>
          <m:sSubPr>
            <m:ctrlPr>
              <w:rPr>
                <w:rFonts w:ascii="Cambria Math" w:hAnsi="Cambria Math"/>
                <w:i/>
              </w:rPr>
            </m:ctrlPr>
          </m:sSubPr>
          <m:e>
            <m:r>
              <w:rPr>
                <w:rFonts w:ascii="Cambria Math" w:hAnsi="Cambria Math"/>
              </w:rPr>
              <m:t>MW</m:t>
            </m:r>
          </m:e>
          <m:sub>
            <m:r>
              <w:rPr>
                <w:rFonts w:ascii="Cambria Math" w:hAnsi="Cambria Math"/>
              </w:rPr>
              <m:t>th</m:t>
            </m:r>
          </m:sub>
        </m:sSub>
        <m:r>
          <w:rPr>
            <w:rFonts w:ascii="Cambria Math" w:hAnsi="Cambria Math"/>
          </w:rPr>
          <m:t>=-1,82×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-1,58×</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×d-4,68</m:t>
        </m:r>
      </m:oMath>
      <w:r w:rsidR="00A1486B">
        <w:tab/>
        <w:t>voor het p50-vermogen</w:t>
      </w:r>
    </w:p>
    <w:p w:rsidR="00A1486B" w:rsidRPr="00A1486B" w:rsidRDefault="001246DB" w:rsidP="00A1486B">
      <w:pPr>
        <w:tabs>
          <w:tab w:val="left" w:pos="5670"/>
        </w:tabs>
      </w:pPr>
      <m:oMath>
        <m:sSub>
          <m:sSubPr>
            <m:ctrlPr>
              <w:rPr>
                <w:rFonts w:ascii="Cambria Math" w:hAnsi="Cambria Math"/>
                <w:i/>
              </w:rPr>
            </m:ctrlPr>
          </m:sSubPr>
          <m:e>
            <m:r>
              <w:rPr>
                <w:rFonts w:ascii="Cambria Math" w:hAnsi="Cambria Math"/>
              </w:rPr>
              <m:t>MW</m:t>
            </m:r>
          </m:e>
          <m:sub>
            <m:r>
              <w:rPr>
                <w:rFonts w:ascii="Cambria Math" w:hAnsi="Cambria Math"/>
              </w:rPr>
              <m:t>th</m:t>
            </m:r>
          </m:sub>
        </m:sSub>
        <m:r>
          <w:rPr>
            <w:rFonts w:ascii="Cambria Math" w:hAnsi="Cambria Math"/>
          </w:rPr>
          <m:t>=-1,75×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-1,27×</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×d-1,74</m:t>
        </m:r>
      </m:oMath>
      <w:r w:rsidR="00A1486B">
        <w:tab/>
        <w:t>voor het p70 vermogen</w:t>
      </w:r>
    </w:p>
    <w:p w:rsidR="00A1486B" w:rsidRDefault="00A1486B" w:rsidP="00A1486B">
      <w:pPr>
        <w:tabs>
          <w:tab w:val="left" w:pos="5670"/>
        </w:tabs>
        <w:jc w:val="left"/>
      </w:pPr>
    </w:p>
    <w:p w:rsidR="00691E1E" w:rsidRDefault="00691E1E" w:rsidP="00A1486B">
      <w:pPr>
        <w:tabs>
          <w:tab w:val="left" w:pos="5670"/>
        </w:tabs>
        <w:jc w:val="left"/>
      </w:pPr>
      <w:r>
        <w:t xml:space="preserve">Waarin d staat voor de diepte t.o.v. </w:t>
      </w:r>
      <w:r w:rsidR="009D2C2D">
        <w:t>TAW</w:t>
      </w:r>
      <w:r>
        <w:t>(</w:t>
      </w:r>
      <w:r w:rsidR="009D2C2D">
        <w:t xml:space="preserve">in m, </w:t>
      </w:r>
      <w:r>
        <w:t>negatieve waarde).</w:t>
      </w:r>
      <w:r w:rsidR="00512E70">
        <w:t xml:space="preserve"> De kaarten werden opgesteld voor een retourtemperatuur van 40°C.</w:t>
      </w:r>
    </w:p>
    <w:p w:rsidR="001F6323" w:rsidRDefault="001F6323" w:rsidP="00A1486B">
      <w:pPr>
        <w:tabs>
          <w:tab w:val="left" w:pos="5670"/>
        </w:tabs>
        <w:jc w:val="left"/>
      </w:pPr>
    </w:p>
    <w:p w:rsidR="00626A66" w:rsidRDefault="00DA2FF4" w:rsidP="00DA2FF4">
      <w:pPr>
        <w:pStyle w:val="Heading2"/>
      </w:pPr>
      <w:r>
        <w:t>Operationele kosten</w:t>
      </w:r>
    </w:p>
    <w:p w:rsidR="00DA2FF4" w:rsidRPr="00DA2FF4" w:rsidRDefault="00DA2FF4" w:rsidP="00DA2FF4"/>
    <w:p w:rsidR="00DA2FF4" w:rsidRDefault="00DA2FF4" w:rsidP="00626A66">
      <w:r>
        <w:t>De aannames voor de operationele kosten zijn weergeven in onderstaande tabel.</w:t>
      </w:r>
    </w:p>
    <w:p w:rsidR="00DA2FF4" w:rsidRDefault="00DA2FF4" w:rsidP="00626A66"/>
    <w:p w:rsidR="003B2713" w:rsidRDefault="003B2713" w:rsidP="003B2713">
      <w:pPr>
        <w:pStyle w:val="Caption"/>
      </w:pPr>
      <w:r>
        <w:t xml:space="preserve">Tabel </w:t>
      </w:r>
      <w:r>
        <w:fldChar w:fldCharType="begin"/>
      </w:r>
      <w:r>
        <w:instrText xml:space="preserve"> SEQ Tabel \* ARABIC </w:instrText>
      </w:r>
      <w:r>
        <w:fldChar w:fldCharType="separate"/>
      </w:r>
      <w:r w:rsidR="00DC67A3">
        <w:rPr>
          <w:noProof/>
        </w:rPr>
        <w:t>6</w:t>
      </w:r>
      <w:r>
        <w:fldChar w:fldCharType="end"/>
      </w:r>
      <w:r>
        <w:t>: Aannames voor het berekenen van de operationele kosten van een geothermische centrale</w:t>
      </w:r>
    </w:p>
    <w:tbl>
      <w:tblPr>
        <w:tblStyle w:val="MediumShading1-Accent2"/>
        <w:tblW w:w="0" w:type="auto"/>
        <w:tblLook w:val="04A0" w:firstRow="1" w:lastRow="0" w:firstColumn="1" w:lastColumn="0" w:noHBand="0" w:noVBand="1"/>
      </w:tblPr>
      <w:tblGrid>
        <w:gridCol w:w="3227"/>
        <w:gridCol w:w="3969"/>
        <w:gridCol w:w="2016"/>
      </w:tblGrid>
      <w:tr w:rsidR="00DA2FF4" w:rsidTr="00483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A2FF4" w:rsidRDefault="00DA2FF4" w:rsidP="00626A66">
            <w:r>
              <w:t>Post</w:t>
            </w:r>
          </w:p>
        </w:tc>
        <w:tc>
          <w:tcPr>
            <w:tcW w:w="3969" w:type="dxa"/>
          </w:tcPr>
          <w:p w:rsidR="00DA2FF4" w:rsidRDefault="00483EED" w:rsidP="00626A66">
            <w:pPr>
              <w:cnfStyle w:val="100000000000" w:firstRow="1" w:lastRow="0" w:firstColumn="0" w:lastColumn="0" w:oddVBand="0" w:evenVBand="0" w:oddHBand="0" w:evenHBand="0" w:firstRowFirstColumn="0" w:firstRowLastColumn="0" w:lastRowFirstColumn="0" w:lastRowLastColumn="0"/>
            </w:pPr>
            <w:r>
              <w:t>Formule</w:t>
            </w:r>
          </w:p>
        </w:tc>
        <w:tc>
          <w:tcPr>
            <w:tcW w:w="2016" w:type="dxa"/>
          </w:tcPr>
          <w:p w:rsidR="00DA2FF4" w:rsidRDefault="00483EED" w:rsidP="00626A66">
            <w:pPr>
              <w:cnfStyle w:val="100000000000" w:firstRow="1" w:lastRow="0" w:firstColumn="0" w:lastColumn="0" w:oddVBand="0" w:evenVBand="0" w:oddHBand="0" w:evenHBand="0" w:firstRowFirstColumn="0" w:firstRowLastColumn="0" w:lastRowFirstColumn="0" w:lastRowLastColumn="0"/>
            </w:pPr>
            <w:r>
              <w:t>Parameters</w:t>
            </w:r>
          </w:p>
        </w:tc>
      </w:tr>
      <w:tr w:rsidR="00DA2FF4" w:rsidTr="0048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A2FF4" w:rsidRPr="00483EED" w:rsidRDefault="00DA2FF4" w:rsidP="00483EED">
            <w:pPr>
              <w:spacing w:before="60" w:after="60"/>
              <w:rPr>
                <w:b w:val="0"/>
              </w:rPr>
            </w:pPr>
            <w:r w:rsidRPr="00483EED">
              <w:rPr>
                <w:b w:val="0"/>
              </w:rPr>
              <w:t>Onderhoud boringen</w:t>
            </w:r>
          </w:p>
        </w:tc>
        <w:tc>
          <w:tcPr>
            <w:tcW w:w="3969" w:type="dxa"/>
          </w:tcPr>
          <w:p w:rsidR="00DA2FF4" w:rsidRDefault="00DA2FF4" w:rsidP="00483EED">
            <w:pPr>
              <w:spacing w:before="60" w:after="60"/>
              <w:cnfStyle w:val="000000100000" w:firstRow="0" w:lastRow="0" w:firstColumn="0" w:lastColumn="0" w:oddVBand="0" w:evenVBand="0" w:oddHBand="1" w:evenHBand="0" w:firstRowFirstColumn="0" w:firstRowLastColumn="0" w:lastRowFirstColumn="0" w:lastRowLastColumn="0"/>
            </w:pPr>
            <w:r>
              <w:t>1,5% van de investeringskost</w:t>
            </w:r>
            <w:r w:rsidR="00AB0C87">
              <w:t xml:space="preserve"> (</w:t>
            </w:r>
            <w:proofErr w:type="spellStart"/>
            <w:r w:rsidR="00AB0C87">
              <w:t>C</w:t>
            </w:r>
            <w:r w:rsidR="00AB0C87" w:rsidRPr="00AB0C87">
              <w:rPr>
                <w:vertAlign w:val="subscript"/>
              </w:rPr>
              <w:t>b</w:t>
            </w:r>
            <w:proofErr w:type="spellEnd"/>
            <w:r w:rsidR="00AB0C87">
              <w:t xml:space="preserve"> + C</w:t>
            </w:r>
            <w:r w:rsidR="00AB0C87" w:rsidRPr="00AB0C87">
              <w:rPr>
                <w:vertAlign w:val="subscript"/>
              </w:rPr>
              <w:t>c</w:t>
            </w:r>
            <w:r w:rsidR="00AB0C87">
              <w:t>)</w:t>
            </w:r>
          </w:p>
        </w:tc>
        <w:tc>
          <w:tcPr>
            <w:tcW w:w="2016" w:type="dxa"/>
          </w:tcPr>
          <w:p w:rsidR="00DA2FF4" w:rsidRDefault="00DA2FF4" w:rsidP="00483EED">
            <w:pPr>
              <w:spacing w:before="60" w:after="60"/>
              <w:cnfStyle w:val="000000100000" w:firstRow="0" w:lastRow="0" w:firstColumn="0" w:lastColumn="0" w:oddVBand="0" w:evenVBand="0" w:oddHBand="1" w:evenHBand="0" w:firstRowFirstColumn="0" w:firstRowLastColumn="0" w:lastRowFirstColumn="0" w:lastRowLastColumn="0"/>
            </w:pPr>
          </w:p>
        </w:tc>
      </w:tr>
      <w:tr w:rsidR="00DA2FF4" w:rsidTr="00483E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A2FF4" w:rsidRPr="00483EED" w:rsidRDefault="00DA2FF4" w:rsidP="00483EED">
            <w:pPr>
              <w:spacing w:before="60" w:after="60"/>
              <w:rPr>
                <w:b w:val="0"/>
              </w:rPr>
            </w:pPr>
            <w:r w:rsidRPr="00483EED">
              <w:rPr>
                <w:b w:val="0"/>
              </w:rPr>
              <w:t>Onderhoud bronpompen</w:t>
            </w:r>
          </w:p>
        </w:tc>
        <w:tc>
          <w:tcPr>
            <w:tcW w:w="3969" w:type="dxa"/>
          </w:tcPr>
          <w:p w:rsidR="00DA2FF4" w:rsidRDefault="00DA2FF4" w:rsidP="00483EED">
            <w:pPr>
              <w:spacing w:before="60" w:after="60"/>
              <w:cnfStyle w:val="000000010000" w:firstRow="0" w:lastRow="0" w:firstColumn="0" w:lastColumn="0" w:oddVBand="0" w:evenVBand="0" w:oddHBand="0" w:evenHBand="1" w:firstRowFirstColumn="0" w:firstRowLastColumn="0" w:lastRowFirstColumn="0" w:lastRowLastColumn="0"/>
            </w:pPr>
            <w:r>
              <w:t>10% van de investeringskost</w:t>
            </w:r>
            <w:r w:rsidR="00AB0C87">
              <w:t xml:space="preserve"> (</w:t>
            </w:r>
            <w:proofErr w:type="spellStart"/>
            <w:r w:rsidR="00AB0C87">
              <w:t>C</w:t>
            </w:r>
            <w:r w:rsidR="00AB0C87" w:rsidRPr="00AB0C87">
              <w:rPr>
                <w:vertAlign w:val="subscript"/>
              </w:rPr>
              <w:t>pt</w:t>
            </w:r>
            <w:proofErr w:type="spellEnd"/>
            <w:r w:rsidR="00AB0C87">
              <w:t>)</w:t>
            </w:r>
          </w:p>
        </w:tc>
        <w:tc>
          <w:tcPr>
            <w:tcW w:w="2016" w:type="dxa"/>
          </w:tcPr>
          <w:p w:rsidR="00DA2FF4" w:rsidRDefault="00DA2FF4" w:rsidP="00483EED">
            <w:pPr>
              <w:spacing w:before="60" w:after="60"/>
              <w:cnfStyle w:val="000000010000" w:firstRow="0" w:lastRow="0" w:firstColumn="0" w:lastColumn="0" w:oddVBand="0" w:evenVBand="0" w:oddHBand="0" w:evenHBand="1" w:firstRowFirstColumn="0" w:firstRowLastColumn="0" w:lastRowFirstColumn="0" w:lastRowLastColumn="0"/>
            </w:pPr>
          </w:p>
        </w:tc>
      </w:tr>
      <w:tr w:rsidR="00DA2FF4" w:rsidTr="0048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A2FF4" w:rsidRPr="00483EED" w:rsidRDefault="00DA2FF4" w:rsidP="000B2DA3">
            <w:pPr>
              <w:spacing w:before="60" w:after="60"/>
              <w:rPr>
                <w:b w:val="0"/>
              </w:rPr>
            </w:pPr>
            <w:r w:rsidRPr="00483EED">
              <w:rPr>
                <w:b w:val="0"/>
              </w:rPr>
              <w:t xml:space="preserve">Onderhoud </w:t>
            </w:r>
            <w:r w:rsidR="003D30CA">
              <w:rPr>
                <w:b w:val="0"/>
              </w:rPr>
              <w:t>binaire cyclu</w:t>
            </w:r>
            <w:r w:rsidR="000B2DA3">
              <w:rPr>
                <w:b w:val="0"/>
              </w:rPr>
              <w:t>s</w:t>
            </w:r>
          </w:p>
        </w:tc>
        <w:tc>
          <w:tcPr>
            <w:tcW w:w="3969" w:type="dxa"/>
          </w:tcPr>
          <w:p w:rsidR="00DA2FF4" w:rsidRDefault="00AB0C87" w:rsidP="000B2DA3">
            <w:pPr>
              <w:spacing w:before="60" w:after="60"/>
              <w:cnfStyle w:val="000000100000" w:firstRow="0" w:lastRow="0" w:firstColumn="0" w:lastColumn="0" w:oddVBand="0" w:evenVBand="0" w:oddHBand="1" w:evenHBand="0" w:firstRowFirstColumn="0" w:firstRowLastColumn="0" w:lastRowFirstColumn="0" w:lastRowLastColumn="0"/>
            </w:pPr>
            <w:r>
              <w:t>2,5% van de investeringskost (</w:t>
            </w:r>
            <w:proofErr w:type="spellStart"/>
            <w:r>
              <w:t>C</w:t>
            </w:r>
            <w:r w:rsidR="000B2DA3">
              <w:rPr>
                <w:vertAlign w:val="subscript"/>
              </w:rPr>
              <w:t>bin</w:t>
            </w:r>
            <w:proofErr w:type="spellEnd"/>
            <w:r>
              <w:t>)</w:t>
            </w:r>
          </w:p>
        </w:tc>
        <w:tc>
          <w:tcPr>
            <w:tcW w:w="2016" w:type="dxa"/>
          </w:tcPr>
          <w:p w:rsidR="00DA2FF4" w:rsidRDefault="00DA2FF4" w:rsidP="00483EED">
            <w:pPr>
              <w:spacing w:before="60" w:after="60"/>
              <w:cnfStyle w:val="000000100000" w:firstRow="0" w:lastRow="0" w:firstColumn="0" w:lastColumn="0" w:oddVBand="0" w:evenVBand="0" w:oddHBand="1" w:evenHBand="0" w:firstRowFirstColumn="0" w:firstRowLastColumn="0" w:lastRowFirstColumn="0" w:lastRowLastColumn="0"/>
            </w:pPr>
          </w:p>
        </w:tc>
      </w:tr>
      <w:tr w:rsidR="00DA2FF4" w:rsidTr="00483E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A2FF4" w:rsidRPr="00483EED" w:rsidRDefault="00DA2FF4" w:rsidP="00483EED">
            <w:pPr>
              <w:spacing w:before="60" w:after="60"/>
              <w:rPr>
                <w:b w:val="0"/>
              </w:rPr>
            </w:pPr>
            <w:r w:rsidRPr="00483EED">
              <w:rPr>
                <w:b w:val="0"/>
              </w:rPr>
              <w:t>Onderhoud warmtewisselaars</w:t>
            </w:r>
          </w:p>
        </w:tc>
        <w:tc>
          <w:tcPr>
            <w:tcW w:w="3969" w:type="dxa"/>
          </w:tcPr>
          <w:p w:rsidR="00DA2FF4" w:rsidRDefault="00AB0C87" w:rsidP="00483EED">
            <w:pPr>
              <w:spacing w:before="60" w:after="60"/>
              <w:cnfStyle w:val="000000010000" w:firstRow="0" w:lastRow="0" w:firstColumn="0" w:lastColumn="0" w:oddVBand="0" w:evenVBand="0" w:oddHBand="0" w:evenHBand="1" w:firstRowFirstColumn="0" w:firstRowLastColumn="0" w:lastRowFirstColumn="0" w:lastRowLastColumn="0"/>
            </w:pPr>
            <w:r>
              <w:t>2% van de investeringskost (</w:t>
            </w:r>
            <w:proofErr w:type="spellStart"/>
            <w:r w:rsidRPr="00180BB7">
              <w:t>C</w:t>
            </w:r>
            <w:r w:rsidRPr="00180BB7">
              <w:rPr>
                <w:vertAlign w:val="subscript"/>
              </w:rPr>
              <w:t>hXt</w:t>
            </w:r>
            <w:proofErr w:type="spellEnd"/>
            <w:r w:rsidRPr="00AB0C87">
              <w:t>)</w:t>
            </w:r>
          </w:p>
        </w:tc>
        <w:tc>
          <w:tcPr>
            <w:tcW w:w="2016" w:type="dxa"/>
          </w:tcPr>
          <w:p w:rsidR="00DA2FF4" w:rsidRDefault="00DA2FF4" w:rsidP="00483EED">
            <w:pPr>
              <w:spacing w:before="60" w:after="60"/>
              <w:cnfStyle w:val="000000010000" w:firstRow="0" w:lastRow="0" w:firstColumn="0" w:lastColumn="0" w:oddVBand="0" w:evenVBand="0" w:oddHBand="0" w:evenHBand="1" w:firstRowFirstColumn="0" w:firstRowLastColumn="0" w:lastRowFirstColumn="0" w:lastRowLastColumn="0"/>
            </w:pPr>
          </w:p>
        </w:tc>
      </w:tr>
      <w:tr w:rsidR="000B2DA3" w:rsidRPr="000B2DA3" w:rsidTr="0048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0B2DA3" w:rsidRPr="000B2DA3" w:rsidRDefault="000B2DA3" w:rsidP="00483EED">
            <w:pPr>
              <w:spacing w:before="60" w:after="60"/>
              <w:rPr>
                <w:b w:val="0"/>
              </w:rPr>
            </w:pPr>
            <w:r>
              <w:rPr>
                <w:b w:val="0"/>
              </w:rPr>
              <w:t>Waterverbruik</w:t>
            </w:r>
            <w:r w:rsidR="00EB3D76">
              <w:rPr>
                <w:b w:val="0"/>
              </w:rPr>
              <w:t xml:space="preserve"> (m</w:t>
            </w:r>
            <w:r w:rsidR="00EB3D76" w:rsidRPr="00EB3D76">
              <w:rPr>
                <w:b w:val="0"/>
                <w:vertAlign w:val="superscript"/>
              </w:rPr>
              <w:t>3</w:t>
            </w:r>
            <w:r w:rsidR="00EB3D76">
              <w:rPr>
                <w:b w:val="0"/>
              </w:rPr>
              <w:t xml:space="preserve">/y) </w:t>
            </w:r>
            <w:r>
              <w:rPr>
                <w:b w:val="0"/>
              </w:rPr>
              <w:t>*</w:t>
            </w:r>
          </w:p>
        </w:tc>
        <w:tc>
          <w:tcPr>
            <w:tcW w:w="3969" w:type="dxa"/>
          </w:tcPr>
          <w:p w:rsidR="000B2DA3" w:rsidRPr="000B2DA3" w:rsidRDefault="000B2DA3" w:rsidP="00EB3D76">
            <w:pPr>
              <w:spacing w:before="60" w:after="60"/>
              <w:cnfStyle w:val="000000100000" w:firstRow="0" w:lastRow="0" w:firstColumn="0" w:lastColumn="0" w:oddVBand="0" w:evenVBand="0" w:oddHBand="1" w:evenHBand="0" w:firstRowFirstColumn="0" w:firstRowLastColumn="0" w:lastRowFirstColumn="0" w:lastRowLastColumn="0"/>
            </w:pPr>
            <w:r>
              <w:t>-</w:t>
            </w:r>
            <w:r w:rsidR="00EB3D76">
              <w:t>2</w:t>
            </w:r>
            <w:r w:rsidR="00A51982">
              <w:t>000</w:t>
            </w:r>
            <w:r>
              <w:t xml:space="preserve"> x MW</w:t>
            </w:r>
            <w:r w:rsidRPr="000B2DA3">
              <w:rPr>
                <w:vertAlign w:val="subscript"/>
              </w:rPr>
              <w:t>e</w:t>
            </w:r>
            <w:r w:rsidRPr="000B2DA3">
              <w:rPr>
                <w:vertAlign w:val="superscript"/>
              </w:rPr>
              <w:t>2</w:t>
            </w:r>
            <w:r>
              <w:t xml:space="preserve"> + </w:t>
            </w:r>
            <w:r w:rsidR="00EB3D76">
              <w:t>52</w:t>
            </w:r>
            <w:r w:rsidR="00A51982">
              <w:t>0</w:t>
            </w:r>
            <w:r>
              <w:t xml:space="preserve">00 x </w:t>
            </w:r>
            <w:proofErr w:type="spellStart"/>
            <w:r>
              <w:t>MW</w:t>
            </w:r>
            <w:r w:rsidRPr="000B2DA3">
              <w:rPr>
                <w:vertAlign w:val="subscript"/>
              </w:rPr>
              <w:t>e</w:t>
            </w:r>
            <w:proofErr w:type="spellEnd"/>
            <w:r>
              <w:t xml:space="preserve"> + </w:t>
            </w:r>
            <w:r w:rsidR="00EB3D76">
              <w:t>4</w:t>
            </w:r>
            <w:r w:rsidR="00A51982">
              <w:t>00000</w:t>
            </w:r>
          </w:p>
        </w:tc>
        <w:tc>
          <w:tcPr>
            <w:tcW w:w="2016" w:type="dxa"/>
          </w:tcPr>
          <w:p w:rsidR="000B2DA3" w:rsidRPr="000B2DA3" w:rsidRDefault="00EB3D76" w:rsidP="00483EED">
            <w:pPr>
              <w:spacing w:before="60" w:after="60"/>
              <w:cnfStyle w:val="000000100000" w:firstRow="0" w:lastRow="0" w:firstColumn="0" w:lastColumn="0" w:oddVBand="0" w:evenVBand="0" w:oddHBand="1" w:evenHBand="0" w:firstRowFirstColumn="0" w:firstRowLastColumn="0" w:lastRowFirstColumn="0" w:lastRowLastColumn="0"/>
            </w:pPr>
            <w:r>
              <w:t>0,5 Euro/m</w:t>
            </w:r>
            <w:r w:rsidRPr="00EB3D76">
              <w:rPr>
                <w:vertAlign w:val="superscript"/>
              </w:rPr>
              <w:t>3</w:t>
            </w:r>
          </w:p>
        </w:tc>
      </w:tr>
      <w:tr w:rsidR="00DA2FF4" w:rsidTr="00483E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A2FF4" w:rsidRPr="00483EED" w:rsidRDefault="00DA2FF4" w:rsidP="00483EED">
            <w:pPr>
              <w:spacing w:before="60" w:after="60"/>
              <w:rPr>
                <w:b w:val="0"/>
              </w:rPr>
            </w:pPr>
            <w:r w:rsidRPr="00483EED">
              <w:rPr>
                <w:b w:val="0"/>
              </w:rPr>
              <w:t>Andere vaste kosten</w:t>
            </w:r>
          </w:p>
        </w:tc>
        <w:tc>
          <w:tcPr>
            <w:tcW w:w="3969" w:type="dxa"/>
          </w:tcPr>
          <w:p w:rsidR="00DA2FF4" w:rsidRDefault="00AB0C87" w:rsidP="00483EED">
            <w:pPr>
              <w:spacing w:before="60" w:after="60"/>
              <w:cnfStyle w:val="000000010000" w:firstRow="0" w:lastRow="0" w:firstColumn="0" w:lastColumn="0" w:oddVBand="0" w:evenVBand="0" w:oddHBand="0" w:evenHBand="1" w:firstRowFirstColumn="0" w:firstRowLastColumn="0" w:lastRowFirstColumn="0" w:lastRowLastColumn="0"/>
            </w:pPr>
            <w:r>
              <w:t>100.000 Euro</w:t>
            </w:r>
          </w:p>
        </w:tc>
        <w:tc>
          <w:tcPr>
            <w:tcW w:w="2016" w:type="dxa"/>
          </w:tcPr>
          <w:p w:rsidR="00DA2FF4" w:rsidRDefault="00DA2FF4" w:rsidP="00483EED">
            <w:pPr>
              <w:spacing w:before="60" w:after="60"/>
              <w:cnfStyle w:val="000000010000" w:firstRow="0" w:lastRow="0" w:firstColumn="0" w:lastColumn="0" w:oddVBand="0" w:evenVBand="0" w:oddHBand="0" w:evenHBand="1" w:firstRowFirstColumn="0" w:firstRowLastColumn="0" w:lastRowFirstColumn="0" w:lastRowLastColumn="0"/>
            </w:pPr>
          </w:p>
        </w:tc>
      </w:tr>
      <w:tr w:rsidR="00DA2FF4" w:rsidTr="0048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A2FF4" w:rsidRPr="00483EED" w:rsidRDefault="00DA2FF4" w:rsidP="00483EED">
            <w:pPr>
              <w:spacing w:before="60" w:after="60"/>
              <w:rPr>
                <w:b w:val="0"/>
              </w:rPr>
            </w:pPr>
            <w:r w:rsidRPr="00483EED">
              <w:rPr>
                <w:b w:val="0"/>
              </w:rPr>
              <w:t>Personeelskosten</w:t>
            </w:r>
            <w:r w:rsidR="00EB3D76">
              <w:rPr>
                <w:b w:val="0"/>
              </w:rPr>
              <w:t xml:space="preserve"> (VTE)</w:t>
            </w:r>
          </w:p>
        </w:tc>
        <w:tc>
          <w:tcPr>
            <w:tcW w:w="3969" w:type="dxa"/>
          </w:tcPr>
          <w:p w:rsidR="00DA2FF4" w:rsidRPr="00537751" w:rsidRDefault="00AB0C87" w:rsidP="00537751">
            <w:pPr>
              <w:spacing w:before="60" w:after="60"/>
              <w:cnfStyle w:val="000000100000" w:firstRow="0" w:lastRow="0" w:firstColumn="0" w:lastColumn="0" w:oddVBand="0" w:evenVBand="0" w:oddHBand="1" w:evenHBand="0" w:firstRowFirstColumn="0" w:firstRowLastColumn="0" w:lastRowFirstColumn="0" w:lastRowLastColumn="0"/>
              <w:rPr>
                <w:lang w:val="en-GB"/>
              </w:rPr>
            </w:pPr>
            <w:r w:rsidRPr="00BC60EC">
              <w:rPr>
                <w:lang w:val="en-GB"/>
              </w:rPr>
              <w:t>0,2</w:t>
            </w:r>
            <w:r w:rsidR="00537751">
              <w:rPr>
                <w:lang w:val="en-GB"/>
              </w:rPr>
              <w:t>5</w:t>
            </w:r>
            <w:r w:rsidRPr="00BC60EC">
              <w:rPr>
                <w:lang w:val="en-GB"/>
              </w:rPr>
              <w:t xml:space="preserve"> VTE </w:t>
            </w:r>
            <w:r w:rsidR="00537751">
              <w:rPr>
                <w:lang w:val="en-GB"/>
              </w:rPr>
              <w:t>x</w:t>
            </w:r>
            <w:r w:rsidRPr="00BC60EC">
              <w:rPr>
                <w:lang w:val="en-GB"/>
              </w:rPr>
              <w:t xml:space="preserve"> </w:t>
            </w:r>
            <w:proofErr w:type="spellStart"/>
            <w:r w:rsidRPr="00BC60EC">
              <w:rPr>
                <w:lang w:val="en-GB"/>
              </w:rPr>
              <w:t>MW</w:t>
            </w:r>
            <w:r w:rsidRPr="00BC60EC">
              <w:rPr>
                <w:vertAlign w:val="subscript"/>
                <w:lang w:val="en-GB"/>
              </w:rPr>
              <w:t>heat</w:t>
            </w:r>
            <w:r w:rsidR="00BC60EC" w:rsidRPr="00BC60EC">
              <w:rPr>
                <w:vertAlign w:val="subscript"/>
                <w:lang w:val="en-GB"/>
              </w:rPr>
              <w:t>,t</w:t>
            </w:r>
            <w:proofErr w:type="spellEnd"/>
            <w:r w:rsidRPr="00BC60EC">
              <w:rPr>
                <w:vertAlign w:val="subscript"/>
                <w:lang w:val="en-GB"/>
              </w:rPr>
              <w:t xml:space="preserve"> </w:t>
            </w:r>
            <w:r w:rsidRPr="00BC60EC">
              <w:rPr>
                <w:lang w:val="en-GB"/>
              </w:rPr>
              <w:t>+ 0,5</w:t>
            </w:r>
            <w:r w:rsidR="00537751">
              <w:rPr>
                <w:lang w:val="en-GB"/>
              </w:rPr>
              <w:t>2</w:t>
            </w:r>
            <w:r w:rsidRPr="00BC60EC">
              <w:rPr>
                <w:lang w:val="en-GB"/>
              </w:rPr>
              <w:t xml:space="preserve"> VTE </w:t>
            </w:r>
            <w:r w:rsidR="00537751">
              <w:rPr>
                <w:lang w:val="en-GB"/>
              </w:rPr>
              <w:t>x</w:t>
            </w:r>
            <w:r w:rsidRPr="00BC60EC">
              <w:rPr>
                <w:lang w:val="en-GB"/>
              </w:rPr>
              <w:t xml:space="preserve"> </w:t>
            </w:r>
            <w:proofErr w:type="spellStart"/>
            <w:r w:rsidRPr="00BC60EC">
              <w:rPr>
                <w:lang w:val="en-GB"/>
              </w:rPr>
              <w:t>MW</w:t>
            </w:r>
            <w:r w:rsidRPr="00BC60EC">
              <w:rPr>
                <w:vertAlign w:val="subscript"/>
                <w:lang w:val="en-GB"/>
              </w:rPr>
              <w:t>e</w:t>
            </w:r>
            <w:proofErr w:type="spellEnd"/>
            <w:r w:rsidR="00537751">
              <w:rPr>
                <w:lang w:val="en-GB"/>
              </w:rPr>
              <w:t xml:space="preserve"> °</w:t>
            </w:r>
          </w:p>
        </w:tc>
        <w:tc>
          <w:tcPr>
            <w:tcW w:w="2016" w:type="dxa"/>
          </w:tcPr>
          <w:p w:rsidR="00DA2FF4" w:rsidRDefault="00AB0C87" w:rsidP="00483EED">
            <w:pPr>
              <w:spacing w:before="60" w:after="60"/>
              <w:cnfStyle w:val="000000100000" w:firstRow="0" w:lastRow="0" w:firstColumn="0" w:lastColumn="0" w:oddVBand="0" w:evenVBand="0" w:oddHBand="1" w:evenHBand="0" w:firstRowFirstColumn="0" w:firstRowLastColumn="0" w:lastRowFirstColumn="0" w:lastRowLastColumn="0"/>
            </w:pPr>
            <w:r>
              <w:t>50.000 Euro/VTE</w:t>
            </w:r>
          </w:p>
        </w:tc>
      </w:tr>
      <w:tr w:rsidR="00DA2FF4" w:rsidRPr="00BC60EC" w:rsidTr="00483E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A2FF4" w:rsidRPr="00483EED" w:rsidRDefault="00DA2FF4" w:rsidP="00483EED">
            <w:pPr>
              <w:spacing w:before="60" w:after="60"/>
              <w:rPr>
                <w:b w:val="0"/>
              </w:rPr>
            </w:pPr>
            <w:r w:rsidRPr="00483EED">
              <w:rPr>
                <w:b w:val="0"/>
              </w:rPr>
              <w:t>Pompenergie</w:t>
            </w:r>
            <w:r w:rsidR="00EB3D76">
              <w:rPr>
                <w:b w:val="0"/>
              </w:rPr>
              <w:t xml:space="preserve"> (MWh)</w:t>
            </w:r>
          </w:p>
        </w:tc>
        <w:tc>
          <w:tcPr>
            <w:tcW w:w="3969" w:type="dxa"/>
          </w:tcPr>
          <w:p w:rsidR="00DA2FF4" w:rsidRPr="00483EED" w:rsidRDefault="00AB0C87" w:rsidP="00483EED">
            <w:pPr>
              <w:spacing w:before="60" w:after="60"/>
              <w:cnfStyle w:val="000000010000" w:firstRow="0" w:lastRow="0" w:firstColumn="0" w:lastColumn="0" w:oddVBand="0" w:evenVBand="0" w:oddHBand="0" w:evenHBand="1" w:firstRowFirstColumn="0" w:firstRowLastColumn="0" w:lastRowFirstColumn="0" w:lastRowLastColumn="0"/>
              <w:rPr>
                <w:lang w:val="en-GB"/>
              </w:rPr>
            </w:pPr>
            <w:r w:rsidRPr="00483EED">
              <w:rPr>
                <w:lang w:val="en-GB"/>
              </w:rPr>
              <w:t>(</w:t>
            </w:r>
            <w:proofErr w:type="spellStart"/>
            <w:r w:rsidRPr="00483EED">
              <w:rPr>
                <w:lang w:val="en-GB"/>
              </w:rPr>
              <w:t>MWh</w:t>
            </w:r>
            <w:r w:rsidRPr="00483EED">
              <w:rPr>
                <w:vertAlign w:val="subscript"/>
                <w:lang w:val="en-GB"/>
              </w:rPr>
              <w:t>heat</w:t>
            </w:r>
            <w:r w:rsidR="00BC60EC" w:rsidRPr="00483EED">
              <w:rPr>
                <w:vertAlign w:val="subscript"/>
                <w:lang w:val="en-GB"/>
              </w:rPr>
              <w:t>,t</w:t>
            </w:r>
            <w:proofErr w:type="spellEnd"/>
            <w:r w:rsidRPr="00483EED">
              <w:rPr>
                <w:lang w:val="en-GB"/>
              </w:rPr>
              <w:t xml:space="preserve"> + </w:t>
            </w:r>
            <w:proofErr w:type="spellStart"/>
            <w:r w:rsidRPr="00483EED">
              <w:rPr>
                <w:lang w:val="en-GB"/>
              </w:rPr>
              <w:t>MWhe</w:t>
            </w:r>
            <w:proofErr w:type="spellEnd"/>
            <w:r w:rsidRPr="00483EED">
              <w:rPr>
                <w:lang w:val="en-GB"/>
              </w:rPr>
              <w:t>/</w:t>
            </w:r>
            <m:oMath>
              <m:sSubSup>
                <m:sSubSupPr>
                  <m:ctrlPr>
                    <w:rPr>
                      <w:rFonts w:ascii="Cambria Math" w:hAnsi="Cambria Math"/>
                      <w:i/>
                    </w:rPr>
                  </m:ctrlPr>
                </m:sSubSupPr>
                <m:e>
                  <m:r>
                    <w:rPr>
                      <w:rFonts w:ascii="Cambria Math" w:hAnsi="Cambria Math"/>
                    </w:rPr>
                    <m:t>γ</m:t>
                  </m:r>
                </m:e>
                <m:sub>
                  <m:r>
                    <w:rPr>
                      <w:rFonts w:ascii="Cambria Math" w:hAnsi="Cambria Math"/>
                    </w:rPr>
                    <m:t>en</m:t>
                  </m:r>
                </m:sub>
                <m:sup>
                  <m:r>
                    <w:rPr>
                      <w:rFonts w:ascii="Cambria Math" w:hAnsi="Cambria Math"/>
                    </w:rPr>
                    <m:t>cycle</m:t>
                  </m:r>
                </m:sup>
              </m:sSubSup>
            </m:oMath>
            <w:r w:rsidRPr="00483EED">
              <w:rPr>
                <w:lang w:val="en-GB"/>
              </w:rPr>
              <w:t>)/COP</w:t>
            </w:r>
          </w:p>
        </w:tc>
        <w:tc>
          <w:tcPr>
            <w:tcW w:w="2016" w:type="dxa"/>
          </w:tcPr>
          <w:p w:rsidR="00DA2FF4" w:rsidRPr="00BC60EC" w:rsidRDefault="00AB0C87" w:rsidP="00483EED">
            <w:pPr>
              <w:spacing w:before="60" w:after="60"/>
              <w:cnfStyle w:val="000000010000" w:firstRow="0" w:lastRow="0" w:firstColumn="0" w:lastColumn="0" w:oddVBand="0" w:evenVBand="0" w:oddHBand="0" w:evenHBand="1" w:firstRowFirstColumn="0" w:firstRowLastColumn="0" w:lastRowFirstColumn="0" w:lastRowLastColumn="0"/>
            </w:pPr>
            <w:r w:rsidRPr="00BC60EC">
              <w:t>50 Eu</w:t>
            </w:r>
            <w:r w:rsidR="00EB3D76">
              <w:t>r</w:t>
            </w:r>
            <w:r w:rsidRPr="00BC60EC">
              <w:t>o/MWh</w:t>
            </w:r>
          </w:p>
        </w:tc>
      </w:tr>
    </w:tbl>
    <w:p w:rsidR="00DA2FF4" w:rsidRDefault="00537751" w:rsidP="00626A66">
      <w:pPr>
        <w:rPr>
          <w:sz w:val="18"/>
          <w:szCs w:val="18"/>
        </w:rPr>
      </w:pPr>
      <w:r w:rsidRPr="00537751">
        <w:rPr>
          <w:sz w:val="18"/>
          <w:szCs w:val="18"/>
        </w:rPr>
        <w:t>° Zie referenties [</w:t>
      </w:r>
      <w:r w:rsidRPr="00537751">
        <w:rPr>
          <w:rStyle w:val="EndnoteReference"/>
          <w:sz w:val="18"/>
          <w:szCs w:val="18"/>
          <w:vertAlign w:val="baseline"/>
        </w:rPr>
        <w:endnoteReference w:id="5"/>
      </w:r>
      <w:r w:rsidRPr="00537751">
        <w:rPr>
          <w:sz w:val="18"/>
          <w:szCs w:val="18"/>
        </w:rPr>
        <w:t>] en [</w:t>
      </w:r>
      <w:r w:rsidRPr="00537751">
        <w:rPr>
          <w:rStyle w:val="EndnoteReference"/>
          <w:sz w:val="18"/>
          <w:szCs w:val="18"/>
          <w:vertAlign w:val="baseline"/>
        </w:rPr>
        <w:endnoteReference w:id="6"/>
      </w:r>
      <w:r w:rsidRPr="00537751">
        <w:rPr>
          <w:sz w:val="18"/>
          <w:szCs w:val="18"/>
        </w:rPr>
        <w:t>]</w:t>
      </w:r>
    </w:p>
    <w:p w:rsidR="000B2DA3" w:rsidRPr="00537751" w:rsidRDefault="000B2DA3" w:rsidP="00626A66">
      <w:pPr>
        <w:rPr>
          <w:sz w:val="18"/>
          <w:szCs w:val="18"/>
        </w:rPr>
      </w:pPr>
      <w:r>
        <w:rPr>
          <w:sz w:val="18"/>
          <w:szCs w:val="18"/>
        </w:rPr>
        <w:t>* Enkel voor een binaire cyclus die gekoeld wordt met een natte koeltoren. Gerekend</w:t>
      </w:r>
      <w:r w:rsidR="00EB3D76">
        <w:rPr>
          <w:sz w:val="18"/>
          <w:szCs w:val="18"/>
        </w:rPr>
        <w:t xml:space="preserve"> met</w:t>
      </w:r>
      <w:r>
        <w:rPr>
          <w:sz w:val="18"/>
          <w:szCs w:val="18"/>
        </w:rPr>
        <w:t xml:space="preserve"> </w:t>
      </w:r>
      <w:r w:rsidR="00EB3D76">
        <w:rPr>
          <w:sz w:val="18"/>
          <w:szCs w:val="18"/>
        </w:rPr>
        <w:t>7500 vollasturen per jaar</w:t>
      </w:r>
      <w:r>
        <w:rPr>
          <w:sz w:val="18"/>
          <w:szCs w:val="18"/>
        </w:rPr>
        <w:t>.</w:t>
      </w:r>
    </w:p>
    <w:p w:rsidR="00537751" w:rsidRPr="00BC60EC" w:rsidRDefault="00537751" w:rsidP="00626A66"/>
    <w:p w:rsidR="00BC60EC" w:rsidRDefault="00AB0C87" w:rsidP="00626A66">
      <w:r w:rsidRPr="00AB0C87">
        <w:t xml:space="preserve">Met </w:t>
      </w:r>
      <w:proofErr w:type="spellStart"/>
      <w:r w:rsidRPr="00AB0C87">
        <w:t>MW</w:t>
      </w:r>
      <w:r w:rsidRPr="00AB0C87">
        <w:rPr>
          <w:vertAlign w:val="subscript"/>
        </w:rPr>
        <w:t>heat</w:t>
      </w:r>
      <w:r w:rsidR="00BC60EC">
        <w:rPr>
          <w:vertAlign w:val="subscript"/>
        </w:rPr>
        <w:t>,t</w:t>
      </w:r>
      <w:proofErr w:type="spellEnd"/>
      <w:r w:rsidRPr="00AB0C87">
        <w:t xml:space="preserve"> het geïnstalleerd vermogen voor </w:t>
      </w:r>
      <w:proofErr w:type="spellStart"/>
      <w:r w:rsidRPr="00AB0C87">
        <w:t>warmtetevering</w:t>
      </w:r>
      <w:proofErr w:type="spellEnd"/>
      <w:r w:rsidRPr="00AB0C87">
        <w:t xml:space="preserve"> </w:t>
      </w:r>
      <w:r w:rsidR="00BC60EC">
        <w:t xml:space="preserve">in jaar t uitgedrukt </w:t>
      </w:r>
      <w:r w:rsidRPr="00AB0C87">
        <w:t>in</w:t>
      </w:r>
      <w:r w:rsidR="00BC60EC">
        <w:t xml:space="preserve"> MW. </w:t>
      </w:r>
      <w:proofErr w:type="spellStart"/>
      <w:r w:rsidR="00BC60EC">
        <w:t>MW</w:t>
      </w:r>
      <w:r w:rsidR="00BC60EC" w:rsidRPr="00BC60EC">
        <w:rPr>
          <w:vertAlign w:val="subscript"/>
        </w:rPr>
        <w:t>e</w:t>
      </w:r>
      <w:proofErr w:type="spellEnd"/>
      <w:r w:rsidR="00BC60EC">
        <w:t xml:space="preserve"> </w:t>
      </w:r>
      <w:r w:rsidR="00BC60EC" w:rsidRPr="00AB0C87">
        <w:t>het geïnstalleerd vermogen</w:t>
      </w:r>
      <w:r w:rsidR="00BC60EC">
        <w:t xml:space="preserve"> voor elektriciteitsproductie in MW. </w:t>
      </w:r>
      <w:proofErr w:type="spellStart"/>
      <w:r w:rsidR="00BC60EC">
        <w:t>MWh</w:t>
      </w:r>
      <w:r w:rsidR="00BC60EC" w:rsidRPr="00BC60EC">
        <w:rPr>
          <w:vertAlign w:val="subscript"/>
        </w:rPr>
        <w:t>heat,t</w:t>
      </w:r>
      <w:proofErr w:type="spellEnd"/>
      <w:r w:rsidR="00BC60EC">
        <w:t xml:space="preserve"> de geleverde warmte in jaar t.</w:t>
      </w:r>
    </w:p>
    <w:p w:rsidR="00BC60EC" w:rsidRDefault="00BC60EC" w:rsidP="00626A66"/>
    <w:p w:rsidR="00612E9A" w:rsidRDefault="00BC60EC" w:rsidP="00626A66">
      <w:r>
        <w:lastRenderedPageBreak/>
        <w:t>COP staat voor de verhouding tussen het thermische vermogen van de putten en het benutte vermogen van de bronpompen (kW/kW). COP wordt afgeleid u</w:t>
      </w:r>
      <w:r w:rsidR="00612E9A">
        <w:t>it de corresponderende p50 of p70-kaart</w:t>
      </w:r>
      <w:r>
        <w:t>.</w:t>
      </w:r>
      <w:r w:rsidR="001246DB">
        <w:t xml:space="preserve"> De kaarten werden opgesteld voor een retourtemperatuur van 40°C. de COP is gelding voor uitkoeling van </w:t>
      </w:r>
      <w:proofErr w:type="spellStart"/>
      <w:r w:rsidR="001246DB">
        <w:t>T</w:t>
      </w:r>
      <w:r w:rsidR="001246DB" w:rsidRPr="00A1486B">
        <w:rPr>
          <w:vertAlign w:val="subscript"/>
        </w:rPr>
        <w:t>b,i</w:t>
      </w:r>
      <w:proofErr w:type="spellEnd"/>
      <w:r w:rsidR="001246DB">
        <w:rPr>
          <w:vertAlign w:val="subscript"/>
        </w:rPr>
        <w:t xml:space="preserve"> </w:t>
      </w:r>
      <w:r w:rsidR="001246DB" w:rsidRPr="001246DB">
        <w:t>-&gt; 40</w:t>
      </w:r>
      <w:r w:rsidR="001246DB">
        <w:t>°C.</w:t>
      </w:r>
      <w:bookmarkStart w:id="6" w:name="_GoBack"/>
      <w:bookmarkEnd w:id="6"/>
    </w:p>
    <w:p w:rsidR="00DA2FF4" w:rsidRDefault="00DA2FF4" w:rsidP="00626A66"/>
    <w:p w:rsidR="0070195B" w:rsidRDefault="001246DB" w:rsidP="0070195B">
      <w:pPr>
        <w:tabs>
          <w:tab w:val="left" w:pos="4820"/>
        </w:tabs>
        <w:jc w:val="left"/>
      </w:pPr>
      <m:oMath>
        <m:sSub>
          <m:sSubPr>
            <m:ctrlPr>
              <w:rPr>
                <w:rFonts w:ascii="Cambria Math" w:hAnsi="Cambria Math"/>
                <w:i/>
              </w:rPr>
            </m:ctrlPr>
          </m:sSubPr>
          <m:e>
            <m:r>
              <w:rPr>
                <w:rFonts w:ascii="Cambria Math" w:hAnsi="Cambria Math"/>
              </w:rPr>
              <m:t>COP</m:t>
            </m:r>
          </m:e>
          <m:sub>
            <m:r>
              <w:rPr>
                <w:rFonts w:ascii="Cambria Math" w:hAnsi="Cambria Math"/>
              </w:rPr>
              <m:t>50</m:t>
            </m:r>
          </m:sub>
        </m:sSub>
        <m:r>
          <w:rPr>
            <w:rFonts w:ascii="Cambria Math" w:hAnsi="Cambria Math"/>
          </w:rPr>
          <m:t>=-1,52×</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×d-7,28</m:t>
        </m:r>
      </m:oMath>
      <w:r w:rsidR="0070195B">
        <w:tab/>
        <w:t>voor de COP bij het p50-vermogen</w:t>
      </w:r>
    </w:p>
    <w:p w:rsidR="0070195B" w:rsidRPr="0070195B" w:rsidRDefault="001246DB" w:rsidP="0070195B">
      <w:pPr>
        <w:tabs>
          <w:tab w:val="left" w:pos="4820"/>
        </w:tabs>
        <w:jc w:val="left"/>
      </w:pPr>
      <m:oMath>
        <m:sSub>
          <m:sSubPr>
            <m:ctrlPr>
              <w:rPr>
                <w:rFonts w:ascii="Cambria Math" w:hAnsi="Cambria Math"/>
                <w:i/>
              </w:rPr>
            </m:ctrlPr>
          </m:sSubPr>
          <m:e>
            <m:r>
              <w:rPr>
                <w:rFonts w:ascii="Cambria Math" w:hAnsi="Cambria Math"/>
              </w:rPr>
              <m:t>COP</m:t>
            </m:r>
          </m:e>
          <m:sub>
            <m:r>
              <w:rPr>
                <w:rFonts w:ascii="Cambria Math" w:hAnsi="Cambria Math"/>
              </w:rPr>
              <m:t>70</m:t>
            </m:r>
          </m:sub>
        </m:sSub>
        <m:r>
          <w:rPr>
            <w:rFonts w:ascii="Cambria Math" w:hAnsi="Cambria Math"/>
          </w:rPr>
          <m:t>=-1,47×</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×d-6,93</m:t>
        </m:r>
      </m:oMath>
      <w:r w:rsidR="0070195B">
        <w:tab/>
        <w:t>voor de COP bij het p70-vermogen</w:t>
      </w:r>
    </w:p>
    <w:p w:rsidR="00BC60EC" w:rsidRDefault="00BC60EC" w:rsidP="00626A66"/>
    <w:p w:rsidR="001F6323" w:rsidRDefault="001F6323" w:rsidP="00626A66">
      <w:r>
        <w:t xml:space="preserve">Waarin d staat voor de diepte van de top van de Kolenkalk </w:t>
      </w:r>
      <w:r w:rsidR="009D2C2D">
        <w:t xml:space="preserve">ten opzichte van TAW </w:t>
      </w:r>
      <w:r>
        <w:t>(in m; negatieve</w:t>
      </w:r>
      <w:r w:rsidR="009D2C2D">
        <w:t xml:space="preserve"> waarde).</w:t>
      </w:r>
      <w:r>
        <w:t xml:space="preserve"> </w:t>
      </w:r>
    </w:p>
    <w:p w:rsidR="0070195B" w:rsidRDefault="0070195B" w:rsidP="00626A66"/>
    <w:p w:rsidR="0070195B" w:rsidRDefault="0070195B" w:rsidP="0070195B">
      <w:pPr>
        <w:pStyle w:val="Heading1"/>
      </w:pPr>
      <w:r>
        <w:t>Inschatting van de haalbaarheid van een centrale</w:t>
      </w:r>
    </w:p>
    <w:p w:rsidR="00FC5595" w:rsidRDefault="00FC5595" w:rsidP="00626A66"/>
    <w:p w:rsidR="0070195B" w:rsidRDefault="009D2C2D" w:rsidP="00626A66">
      <w:r>
        <w:t xml:space="preserve">De haalbaarheid van een geothermische centrale op een bepaalde plaats wordt ingeschat op basis van een vereenvoudigde berekening van de netto contante waarde over een projectduur van 30 jaar. Het evaluatieschema </w:t>
      </w:r>
      <w:r w:rsidR="00936803">
        <w:t>is hieronder bondig weergeven</w:t>
      </w:r>
      <w:r>
        <w:t>. In een eerste stap wordt er van uitgegaan dat de thermische energie geleverd wordt door één geothermische doublet. Deze output wordt vergeleken met de vraag naar thermische energie in een reeks temperatuursintervallen die binnen een bepaalde zoekstraal rond de centrale gelegen zijn. Indien de vraag groter is dan de output van het doublet, wordt de NPV-berekening herhaald voor een centrale met 2 doubletten.</w:t>
      </w:r>
    </w:p>
    <w:p w:rsidR="009D2C2D" w:rsidRDefault="009D2C2D" w:rsidP="00626A66"/>
    <w:p w:rsidR="008E770E" w:rsidRDefault="008E770E" w:rsidP="00626A66">
      <w:r>
        <w:t xml:space="preserve">De </w:t>
      </w:r>
      <w:r w:rsidR="00474646">
        <w:t xml:space="preserve">NPV voor </w:t>
      </w:r>
      <w:r>
        <w:t>centrale</w:t>
      </w:r>
      <w:r w:rsidR="00474646">
        <w:t xml:space="preserve"> n</w:t>
      </w:r>
      <w:r>
        <w:t xml:space="preserve"> wordt als volgt ingeschat:</w:t>
      </w:r>
    </w:p>
    <w:p w:rsidR="008E770E" w:rsidRDefault="008E770E" w:rsidP="00626A66"/>
    <w:p w:rsidR="009D2C2D" w:rsidRDefault="001246DB" w:rsidP="00626A66">
      <m:oMathPara>
        <m:oMath>
          <m:sSub>
            <m:sSubPr>
              <m:ctrlPr>
                <w:rPr>
                  <w:rFonts w:ascii="Cambria Math" w:hAnsi="Cambria Math"/>
                  <w:i/>
                </w:rPr>
              </m:ctrlPr>
            </m:sSubPr>
            <m:e>
              <m:r>
                <w:rPr>
                  <w:rFonts w:ascii="Cambria Math" w:hAnsi="Cambria Math"/>
                </w:rPr>
                <m:t>NPV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GPPn</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Tl</m:t>
              </m:r>
            </m:sup>
            <m:e>
              <m:f>
                <m:fPr>
                  <m:ctrlPr>
                    <w:rPr>
                      <w:rFonts w:ascii="Cambria Math" w:hAnsi="Cambria Math"/>
                      <w:i/>
                    </w:rPr>
                  </m:ctrlPr>
                </m:fPr>
                <m:num>
                  <m:sSubSup>
                    <m:sSubSupPr>
                      <m:ctrlPr>
                        <w:rPr>
                          <w:rFonts w:ascii="Cambria Math" w:hAnsi="Cambria Math"/>
                          <w:i/>
                        </w:rPr>
                      </m:ctrlPr>
                    </m:sSubSupPr>
                    <m:e>
                      <m:r>
                        <w:rPr>
                          <w:rFonts w:ascii="Cambria Math" w:hAnsi="Cambria Math"/>
                        </w:rPr>
                        <m:t>kW</m:t>
                      </m:r>
                    </m:e>
                    <m:sub>
                      <m:r>
                        <w:rPr>
                          <w:rFonts w:ascii="Cambria Math" w:hAnsi="Cambria Math"/>
                        </w:rPr>
                        <m:t>e</m:t>
                      </m:r>
                    </m:sub>
                    <m:sup>
                      <m:r>
                        <w:rPr>
                          <w:rFonts w:ascii="Cambria Math" w:hAnsi="Cambria Math"/>
                        </w:rPr>
                        <m:t>net</m:t>
                      </m:r>
                    </m:sup>
                  </m:sSubSup>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e,t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S</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O&amp;M,t</m:t>
                          </m:r>
                        </m:sub>
                      </m:sSub>
                    </m:e>
                  </m:nary>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t</m:t>
                      </m:r>
                    </m:sup>
                  </m:sSup>
                </m:den>
              </m:f>
            </m:e>
          </m:nary>
        </m:oMath>
      </m:oMathPara>
    </w:p>
    <w:p w:rsidR="008E770E" w:rsidRDefault="008E770E" w:rsidP="00626A66"/>
    <w:p w:rsidR="008E770E" w:rsidRDefault="008E770E" w:rsidP="00626A66">
      <w:r>
        <w:t xml:space="preserve">Met </w:t>
      </w:r>
      <w:proofErr w:type="spellStart"/>
      <w:r>
        <w:t>C</w:t>
      </w:r>
      <w:r w:rsidRPr="00474646">
        <w:rPr>
          <w:vertAlign w:val="subscript"/>
        </w:rPr>
        <w:t>GPP</w:t>
      </w:r>
      <w:r w:rsidR="00474646" w:rsidRPr="00474646">
        <w:rPr>
          <w:vertAlign w:val="subscript"/>
        </w:rPr>
        <w:t>n</w:t>
      </w:r>
      <w:proofErr w:type="spellEnd"/>
      <w:r>
        <w:t xml:space="preserve"> de investeringskosten (in Euro), t het jaar, Tl de looptijd van het project (gelijke genomen aan 30 jaar), </w:t>
      </w:r>
      <m:oMath>
        <m:sSubSup>
          <m:sSubSupPr>
            <m:ctrlPr>
              <w:rPr>
                <w:rFonts w:ascii="Cambria Math" w:hAnsi="Cambria Math"/>
                <w:i/>
              </w:rPr>
            </m:ctrlPr>
          </m:sSubSupPr>
          <m:e>
            <m:r>
              <w:rPr>
                <w:rFonts w:ascii="Cambria Math" w:hAnsi="Cambria Math"/>
              </w:rPr>
              <m:t>kW</m:t>
            </m:r>
          </m:e>
          <m:sub>
            <m:r>
              <w:rPr>
                <w:rFonts w:ascii="Cambria Math" w:hAnsi="Cambria Math"/>
              </w:rPr>
              <m:t>e</m:t>
            </m:r>
          </m:sub>
          <m:sup>
            <m:r>
              <w:rPr>
                <w:rFonts w:ascii="Cambria Math" w:hAnsi="Cambria Math"/>
              </w:rPr>
              <m:t>net</m:t>
            </m:r>
          </m:sup>
        </m:sSubSup>
      </m:oMath>
      <w:r>
        <w:t xml:space="preserve"> de netto elektrische output van de centrale (kW), </w:t>
      </w:r>
      <w:proofErr w:type="spellStart"/>
      <w:r>
        <w:t>p</w:t>
      </w:r>
      <w:r w:rsidRPr="008E770E">
        <w:rPr>
          <w:vertAlign w:val="subscript"/>
        </w:rPr>
        <w:t>e,t</w:t>
      </w:r>
      <w:proofErr w:type="spellEnd"/>
      <w:r>
        <w:t xml:space="preserve"> de gemiddelde elektrici</w:t>
      </w:r>
      <w:r>
        <w:softHyphen/>
        <w:t>teitsprijs in jaar t</w:t>
      </w:r>
      <w:r w:rsidR="003B2713">
        <w:t xml:space="preserve"> (Euro/MWh)</w:t>
      </w:r>
      <w:r>
        <w:t xml:space="preserve">, </w:t>
      </w:r>
      <w:proofErr w:type="spellStart"/>
      <w:r>
        <w:t>n</w:t>
      </w:r>
      <w:r w:rsidRPr="003B2713">
        <w:rPr>
          <w:vertAlign w:val="subscript"/>
        </w:rPr>
        <w:t>e,t</w:t>
      </w:r>
      <w:proofErr w:type="spellEnd"/>
      <w:r>
        <w:t xml:space="preserve"> het aantal vollasturen voor elektriciteitsproductie in jaar t</w:t>
      </w:r>
      <w:r w:rsidR="003B2713">
        <w:t xml:space="preserve"> (h)</w:t>
      </w:r>
      <w:r>
        <w:t>, j de temperatuurklasse</w:t>
      </w:r>
      <w:r w:rsidR="003B2713">
        <w:t xml:space="preserve">, </w:t>
      </w:r>
      <w:proofErr w:type="spellStart"/>
      <w:r w:rsidR="003B2713">
        <w:t>S</w:t>
      </w:r>
      <w:r w:rsidR="003B2713" w:rsidRPr="003B2713">
        <w:rPr>
          <w:vertAlign w:val="subscript"/>
        </w:rPr>
        <w:t>j,t</w:t>
      </w:r>
      <w:proofErr w:type="spellEnd"/>
      <w:r w:rsidR="003B2713">
        <w:t xml:space="preserve"> de geleverde warmte binnen temperatuurklassen j in jaar t (MWh), </w:t>
      </w:r>
      <w:proofErr w:type="spellStart"/>
      <w:r w:rsidR="003B2713">
        <w:t>p</w:t>
      </w:r>
      <w:r w:rsidR="003B2713" w:rsidRPr="003B2713">
        <w:rPr>
          <w:vertAlign w:val="subscript"/>
        </w:rPr>
        <w:t>j,t</w:t>
      </w:r>
      <w:proofErr w:type="spellEnd"/>
      <w:r w:rsidR="003B2713">
        <w:t xml:space="preserve"> de gemiddelde prijs van de geleverde warmte binnen temperatuurklassen j in jaar t (Euro/MWh), </w:t>
      </w:r>
      <w:proofErr w:type="spellStart"/>
      <w:r w:rsidR="003B2713">
        <w:t>C</w:t>
      </w:r>
      <w:r w:rsidR="003B2713" w:rsidRPr="003B2713">
        <w:rPr>
          <w:vertAlign w:val="subscript"/>
        </w:rPr>
        <w:t>O&amp;M,t</w:t>
      </w:r>
      <w:proofErr w:type="spellEnd"/>
      <w:r w:rsidR="003B2713">
        <w:t xml:space="preserve"> de operationele kosten in jaar t (Euro).</w:t>
      </w:r>
    </w:p>
    <w:p w:rsidR="00151150" w:rsidRDefault="00151150" w:rsidP="00626A66"/>
    <w:p w:rsidR="008E770E" w:rsidRDefault="003B2713" w:rsidP="003B2713">
      <w:pPr>
        <w:pStyle w:val="Caption"/>
      </w:pPr>
      <w:r>
        <w:t xml:space="preserve">Tabel </w:t>
      </w:r>
      <w:r>
        <w:fldChar w:fldCharType="begin"/>
      </w:r>
      <w:r>
        <w:instrText xml:space="preserve"> SEQ Tabel \* ARABIC </w:instrText>
      </w:r>
      <w:r>
        <w:fldChar w:fldCharType="separate"/>
      </w:r>
      <w:r w:rsidR="00DC67A3">
        <w:rPr>
          <w:noProof/>
        </w:rPr>
        <w:t>7</w:t>
      </w:r>
      <w:r>
        <w:fldChar w:fldCharType="end"/>
      </w:r>
      <w:r>
        <w:t>: gebruikte temperatuurklassen en relatie met elektriciteitsproductie</w:t>
      </w:r>
    </w:p>
    <w:tbl>
      <w:tblPr>
        <w:tblStyle w:val="MediumShading1-Accent2"/>
        <w:tblW w:w="0" w:type="auto"/>
        <w:tblInd w:w="675" w:type="dxa"/>
        <w:tblLook w:val="04A0" w:firstRow="1" w:lastRow="0" w:firstColumn="1" w:lastColumn="0" w:noHBand="0" w:noVBand="1"/>
      </w:tblPr>
      <w:tblGrid>
        <w:gridCol w:w="1338"/>
        <w:gridCol w:w="2739"/>
        <w:gridCol w:w="3975"/>
      </w:tblGrid>
      <w:tr w:rsidR="003B2713" w:rsidTr="003B2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rsidR="003B2713" w:rsidRDefault="003B2713" w:rsidP="00626A66">
            <w:r>
              <w:t>Klasse</w:t>
            </w:r>
          </w:p>
        </w:tc>
        <w:tc>
          <w:tcPr>
            <w:tcW w:w="2739" w:type="dxa"/>
          </w:tcPr>
          <w:p w:rsidR="003B2713" w:rsidRDefault="003B2713" w:rsidP="003B2713">
            <w:pPr>
              <w:cnfStyle w:val="100000000000" w:firstRow="1" w:lastRow="0" w:firstColumn="0" w:lastColumn="0" w:oddVBand="0" w:evenVBand="0" w:oddHBand="0" w:evenHBand="0" w:firstRowFirstColumn="0" w:firstRowLastColumn="0" w:lastRowFirstColumn="0" w:lastRowLastColumn="0"/>
            </w:pPr>
            <w:r>
              <w:t>Temperatuurbereik (°C)</w:t>
            </w:r>
          </w:p>
        </w:tc>
        <w:tc>
          <w:tcPr>
            <w:tcW w:w="3975" w:type="dxa"/>
          </w:tcPr>
          <w:p w:rsidR="003B2713" w:rsidRDefault="003B2713" w:rsidP="00626A66">
            <w:pPr>
              <w:cnfStyle w:val="100000000000" w:firstRow="1" w:lastRow="0" w:firstColumn="0" w:lastColumn="0" w:oddVBand="0" w:evenVBand="0" w:oddHBand="0" w:evenHBand="0" w:firstRowFirstColumn="0" w:firstRowLastColumn="0" w:lastRowFirstColumn="0" w:lastRowLastColumn="0"/>
            </w:pPr>
            <w:r>
              <w:t>Relatie met elektriciteitsproductie</w:t>
            </w:r>
          </w:p>
        </w:tc>
      </w:tr>
      <w:tr w:rsidR="003B2713" w:rsidTr="003B2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rsidR="003B2713" w:rsidRPr="003B2713" w:rsidRDefault="003B2713" w:rsidP="00626A66">
            <w:pPr>
              <w:rPr>
                <w:b w:val="0"/>
              </w:rPr>
            </w:pPr>
            <w:r w:rsidRPr="003B2713">
              <w:rPr>
                <w:b w:val="0"/>
              </w:rPr>
              <w:t>1</w:t>
            </w:r>
          </w:p>
        </w:tc>
        <w:tc>
          <w:tcPr>
            <w:tcW w:w="2739" w:type="dxa"/>
          </w:tcPr>
          <w:p w:rsidR="003B2713" w:rsidRDefault="00BC1F6F" w:rsidP="003B2713">
            <w:pPr>
              <w:cnfStyle w:val="000000100000" w:firstRow="0" w:lastRow="0" w:firstColumn="0" w:lastColumn="0" w:oddVBand="0" w:evenVBand="0" w:oddHBand="1" w:evenHBand="0" w:firstRowFirstColumn="0" w:firstRowLastColumn="0" w:lastRowFirstColumn="0" w:lastRowLastColumn="0"/>
            </w:pPr>
            <w:proofErr w:type="spellStart"/>
            <w:r>
              <w:t>T</w:t>
            </w:r>
            <w:r w:rsidRPr="00BC1F6F">
              <w:rPr>
                <w:vertAlign w:val="subscript"/>
              </w:rPr>
              <w:t>b,i</w:t>
            </w:r>
            <w:proofErr w:type="spellEnd"/>
            <w:r w:rsidR="003B2713">
              <w:t xml:space="preserve"> – 80</w:t>
            </w:r>
          </w:p>
        </w:tc>
        <w:tc>
          <w:tcPr>
            <w:tcW w:w="3975" w:type="dxa"/>
          </w:tcPr>
          <w:p w:rsidR="003B2713" w:rsidRDefault="003B2713" w:rsidP="00626A66">
            <w:pPr>
              <w:cnfStyle w:val="000000100000" w:firstRow="0" w:lastRow="0" w:firstColumn="0" w:lastColumn="0" w:oddVBand="0" w:evenVBand="0" w:oddHBand="1" w:evenHBand="0" w:firstRowFirstColumn="0" w:firstRowLastColumn="0" w:lastRowFirstColumn="0" w:lastRowLastColumn="0"/>
            </w:pPr>
            <w:r>
              <w:t>Parallel</w:t>
            </w:r>
          </w:p>
        </w:tc>
      </w:tr>
      <w:tr w:rsidR="003B2713" w:rsidTr="003B2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rsidR="003B2713" w:rsidRPr="003B2713" w:rsidRDefault="003B2713" w:rsidP="00626A66">
            <w:pPr>
              <w:rPr>
                <w:b w:val="0"/>
              </w:rPr>
            </w:pPr>
            <w:r w:rsidRPr="003B2713">
              <w:rPr>
                <w:b w:val="0"/>
              </w:rPr>
              <w:t>2</w:t>
            </w:r>
          </w:p>
        </w:tc>
        <w:tc>
          <w:tcPr>
            <w:tcW w:w="2739" w:type="dxa"/>
          </w:tcPr>
          <w:p w:rsidR="003B2713" w:rsidRDefault="003B2713" w:rsidP="00626A66">
            <w:pPr>
              <w:cnfStyle w:val="000000010000" w:firstRow="0" w:lastRow="0" w:firstColumn="0" w:lastColumn="0" w:oddVBand="0" w:evenVBand="0" w:oddHBand="0" w:evenHBand="1" w:firstRowFirstColumn="0" w:firstRowLastColumn="0" w:lastRowFirstColumn="0" w:lastRowLastColumn="0"/>
            </w:pPr>
            <w:r>
              <w:t>85 – 65</w:t>
            </w:r>
          </w:p>
        </w:tc>
        <w:tc>
          <w:tcPr>
            <w:tcW w:w="3975" w:type="dxa"/>
          </w:tcPr>
          <w:p w:rsidR="003B2713" w:rsidRDefault="003B2713" w:rsidP="00626A66">
            <w:pPr>
              <w:cnfStyle w:val="000000010000" w:firstRow="0" w:lastRow="0" w:firstColumn="0" w:lastColumn="0" w:oddVBand="0" w:evenVBand="0" w:oddHBand="0" w:evenHBand="1" w:firstRowFirstColumn="0" w:firstRowLastColumn="0" w:lastRowFirstColumn="0" w:lastRowLastColumn="0"/>
            </w:pPr>
            <w:r>
              <w:t>Parallel</w:t>
            </w:r>
          </w:p>
        </w:tc>
      </w:tr>
      <w:tr w:rsidR="003B2713" w:rsidTr="003B2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rsidR="003B2713" w:rsidRPr="003B2713" w:rsidRDefault="003B2713" w:rsidP="00626A66">
            <w:pPr>
              <w:rPr>
                <w:b w:val="0"/>
              </w:rPr>
            </w:pPr>
            <w:r w:rsidRPr="003B2713">
              <w:rPr>
                <w:b w:val="0"/>
              </w:rPr>
              <w:t>3</w:t>
            </w:r>
          </w:p>
        </w:tc>
        <w:tc>
          <w:tcPr>
            <w:tcW w:w="2739" w:type="dxa"/>
          </w:tcPr>
          <w:p w:rsidR="003B2713" w:rsidRDefault="003B2713" w:rsidP="00626A66">
            <w:pPr>
              <w:cnfStyle w:val="000000100000" w:firstRow="0" w:lastRow="0" w:firstColumn="0" w:lastColumn="0" w:oddVBand="0" w:evenVBand="0" w:oddHBand="1" w:evenHBand="0" w:firstRowFirstColumn="0" w:firstRowLastColumn="0" w:lastRowFirstColumn="0" w:lastRowLastColumn="0"/>
            </w:pPr>
            <w:r>
              <w:t>65 – 45</w:t>
            </w:r>
          </w:p>
        </w:tc>
        <w:tc>
          <w:tcPr>
            <w:tcW w:w="3975" w:type="dxa"/>
          </w:tcPr>
          <w:p w:rsidR="003B2713" w:rsidRDefault="003B2713" w:rsidP="00626A66">
            <w:pPr>
              <w:cnfStyle w:val="000000100000" w:firstRow="0" w:lastRow="0" w:firstColumn="0" w:lastColumn="0" w:oddVBand="0" w:evenVBand="0" w:oddHBand="1" w:evenHBand="0" w:firstRowFirstColumn="0" w:firstRowLastColumn="0" w:lastRowFirstColumn="0" w:lastRowLastColumn="0"/>
            </w:pPr>
            <w:r>
              <w:t>Serieel</w:t>
            </w:r>
          </w:p>
        </w:tc>
      </w:tr>
      <w:tr w:rsidR="003B2713" w:rsidTr="003B2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rsidR="003B2713" w:rsidRPr="003B2713" w:rsidRDefault="003B2713" w:rsidP="00626A66">
            <w:pPr>
              <w:rPr>
                <w:b w:val="0"/>
              </w:rPr>
            </w:pPr>
            <w:r w:rsidRPr="003B2713">
              <w:rPr>
                <w:b w:val="0"/>
              </w:rPr>
              <w:t>4</w:t>
            </w:r>
          </w:p>
        </w:tc>
        <w:tc>
          <w:tcPr>
            <w:tcW w:w="2739" w:type="dxa"/>
          </w:tcPr>
          <w:p w:rsidR="003B2713" w:rsidRDefault="003B2713" w:rsidP="00626A66">
            <w:pPr>
              <w:cnfStyle w:val="000000010000" w:firstRow="0" w:lastRow="0" w:firstColumn="0" w:lastColumn="0" w:oddVBand="0" w:evenVBand="0" w:oddHBand="0" w:evenHBand="1" w:firstRowFirstColumn="0" w:firstRowLastColumn="0" w:lastRowFirstColumn="0" w:lastRowLastColumn="0"/>
            </w:pPr>
            <w:r>
              <w:t>45 - 30</w:t>
            </w:r>
          </w:p>
        </w:tc>
        <w:tc>
          <w:tcPr>
            <w:tcW w:w="3975" w:type="dxa"/>
          </w:tcPr>
          <w:p w:rsidR="003B2713" w:rsidRDefault="003B2713" w:rsidP="00626A66">
            <w:pPr>
              <w:cnfStyle w:val="000000010000" w:firstRow="0" w:lastRow="0" w:firstColumn="0" w:lastColumn="0" w:oddVBand="0" w:evenVBand="0" w:oddHBand="0" w:evenHBand="1" w:firstRowFirstColumn="0" w:firstRowLastColumn="0" w:lastRowFirstColumn="0" w:lastRowLastColumn="0"/>
            </w:pPr>
            <w:r>
              <w:t>Serieel</w:t>
            </w:r>
          </w:p>
        </w:tc>
      </w:tr>
    </w:tbl>
    <w:p w:rsidR="008E770E" w:rsidRDefault="008E770E" w:rsidP="00626A66"/>
    <w:p w:rsidR="009D2C2D" w:rsidRDefault="009D2C2D" w:rsidP="003B2713">
      <w:pPr>
        <w:pStyle w:val="Heading3"/>
      </w:pPr>
      <w:r>
        <w:t>Reductie van de investeringskosten voor een bijkomend doublet op een bepaalde plaats</w:t>
      </w:r>
    </w:p>
    <w:p w:rsidR="003B2713" w:rsidRDefault="003B2713" w:rsidP="00626A66"/>
    <w:p w:rsidR="009D2C2D" w:rsidRDefault="003B2713" w:rsidP="00626A66">
      <w:r>
        <w:t>In geval een 2</w:t>
      </w:r>
      <w:r w:rsidRPr="003B2713">
        <w:rPr>
          <w:vertAlign w:val="superscript"/>
        </w:rPr>
        <w:t>e</w:t>
      </w:r>
      <w:r>
        <w:t xml:space="preserve"> doublet op dezelfde plaats geboord wordt (centrale met 4 boringen) wordt de investeringskosten voor het 2</w:t>
      </w:r>
      <w:r w:rsidRPr="003B2713">
        <w:rPr>
          <w:vertAlign w:val="superscript"/>
        </w:rPr>
        <w:t>e</w:t>
      </w:r>
      <w:r>
        <w:t xml:space="preserve"> </w:t>
      </w:r>
      <w:r w:rsidR="00537751">
        <w:t>doublet verminderd met 15%. Deze reductie is een gevolg van leer</w:t>
      </w:r>
      <w:r w:rsidR="00537751">
        <w:softHyphen/>
      </w:r>
      <w:r w:rsidR="00537751">
        <w:lastRenderedPageBreak/>
        <w:t>effecten met betrekking tot de boringen en projectmanagement, hergebruik van reeds aangelegde infrastructuur en schaaleffecten met betrekking tot bouw van de geothermische centrale.</w:t>
      </w:r>
    </w:p>
    <w:p w:rsidR="00537751" w:rsidRDefault="00537751" w:rsidP="00626A66"/>
    <w:p w:rsidR="009D2C2D" w:rsidRDefault="009D2C2D" w:rsidP="00537751">
      <w:pPr>
        <w:pStyle w:val="Heading3"/>
      </w:pPr>
      <w:r>
        <w:t>Reductie van de investeringskosten bij toenemend aantal centrales</w:t>
      </w:r>
    </w:p>
    <w:p w:rsidR="00537751" w:rsidRDefault="00537751" w:rsidP="00537751"/>
    <w:p w:rsidR="00537751" w:rsidRDefault="00537751" w:rsidP="00537751">
      <w:r>
        <w:t xml:space="preserve">Om geothermie in Vlaanderen commercieel uit te rollen komt het er aan de boorkosten te drukken. Een vergelijking van kosten voor CBM-boringen leert dat de kosten in Europa ongeveer 40% hoger liggen dan in Noord-Amerika. Het prijsverschil is het grotendeels het gevolg van de veel grotere concurrentie op de Noord-Amerikaanse markt. Het beste bewijs hiervoor is het aantal </w:t>
      </w:r>
      <w:proofErr w:type="spellStart"/>
      <w:r>
        <w:t>rotary</w:t>
      </w:r>
      <w:proofErr w:type="spellEnd"/>
      <w:r>
        <w:t xml:space="preserve"> </w:t>
      </w:r>
      <w:proofErr w:type="spellStart"/>
      <w:r>
        <w:t>rigs</w:t>
      </w:r>
      <w:proofErr w:type="spellEnd"/>
      <w:r>
        <w:t xml:space="preserve"> dat operationeel is op beide markten.</w:t>
      </w:r>
    </w:p>
    <w:p w:rsidR="009D2C2D" w:rsidRDefault="00537751" w:rsidP="00537751">
      <w:r>
        <w:t>Ook ervaring en kennis van de ondergrond van een gebied bepaalt in sterke mate de boorkosten. Dit blijkt bijvoorbeeld uit het verschil in de kosten voor boringen uitgevoerd in het kader van pilootprojecten en boorkosten binnen commerciële projecten. Na correctie voor regionale verschil</w:t>
      </w:r>
      <w:r>
        <w:softHyphen/>
        <w:t>len blijken verkenningsboringen gemiddeld dubbel zo duur dan boringen uitgevoerd in het kader van commerciële projecten.</w:t>
      </w:r>
    </w:p>
    <w:p w:rsidR="00603476" w:rsidRDefault="00603476" w:rsidP="00537751"/>
    <w:p w:rsidR="00537751" w:rsidRDefault="00537751" w:rsidP="00537751"/>
    <w:p w:rsidR="00537751" w:rsidRDefault="00537751" w:rsidP="00537751">
      <w:r w:rsidRPr="00963B40">
        <w:rPr>
          <w:rFonts w:ascii="Times New Roman" w:hAnsi="Times New Roman"/>
          <w:noProof/>
          <w:szCs w:val="24"/>
          <w:lang w:eastAsia="nl-BE"/>
        </w:rPr>
        <w:drawing>
          <wp:inline distT="0" distB="0" distL="0" distR="0" wp14:anchorId="0861A527" wp14:editId="25098C61">
            <wp:extent cx="5748655" cy="3752850"/>
            <wp:effectExtent l="1905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748655" cy="3752850"/>
                    </a:xfrm>
                    <a:prstGeom prst="rect">
                      <a:avLst/>
                    </a:prstGeom>
                    <a:noFill/>
                    <a:ln w="9525">
                      <a:noFill/>
                      <a:miter lim="800000"/>
                      <a:headEnd/>
                      <a:tailEnd/>
                    </a:ln>
                  </pic:spPr>
                </pic:pic>
              </a:graphicData>
            </a:graphic>
          </wp:inline>
        </w:drawing>
      </w:r>
    </w:p>
    <w:p w:rsidR="00537751" w:rsidRDefault="00537751" w:rsidP="00714ACE">
      <w:pPr>
        <w:pStyle w:val="Caption"/>
        <w:spacing w:before="0"/>
      </w:pPr>
      <w:r>
        <w:t xml:space="preserve">Figuur </w:t>
      </w:r>
      <w:r>
        <w:fldChar w:fldCharType="begin"/>
      </w:r>
      <w:r>
        <w:instrText xml:space="preserve"> SEQ Figuur \* ARABIC </w:instrText>
      </w:r>
      <w:r>
        <w:fldChar w:fldCharType="separate"/>
      </w:r>
      <w:r w:rsidR="00DC67A3">
        <w:rPr>
          <w:noProof/>
        </w:rPr>
        <w:t>1</w:t>
      </w:r>
      <w:r>
        <w:fldChar w:fldCharType="end"/>
      </w:r>
      <w:r>
        <w:t xml:space="preserve">: </w:t>
      </w:r>
      <w:r w:rsidRPr="00537751">
        <w:t>Kosten voor CBM-boringen uitgevoerd in het kader van pilootprojecten enerzijds en commerciële projecten anderzijds</w:t>
      </w:r>
      <w:r>
        <w:t>.</w:t>
      </w:r>
    </w:p>
    <w:p w:rsidR="00537751" w:rsidRDefault="00537751" w:rsidP="00537751"/>
    <w:p w:rsidR="00537751" w:rsidRPr="00537751" w:rsidRDefault="00537751" w:rsidP="00537751">
      <w:r>
        <w:t>Daarnaast vallen ook leereffecten te verwachten met betrekking tot de projectorganisatie en het ontwerpen, bouwen en opleveren van de geothermische centrale. Het valt dan ook te verwachten dat de investeringskosten zullen dalen naarmate het aantal diepe boringen in de Kempen toeneemt, en er meer installatie operationeel zijn.</w:t>
      </w:r>
    </w:p>
    <w:p w:rsidR="00FB5A15" w:rsidRDefault="00FB5A15" w:rsidP="00626A66"/>
    <w:p w:rsidR="00474646" w:rsidRDefault="00474646" w:rsidP="00626A66">
      <w:r>
        <w:t xml:space="preserve">Als eerste benadering van de leereffecten wordt de volgende reductiecurve voor de totale </w:t>
      </w:r>
      <w:proofErr w:type="spellStart"/>
      <w:r>
        <w:t>inves</w:t>
      </w:r>
      <w:r>
        <w:softHyphen/>
        <w:t>te</w:t>
      </w:r>
      <w:r>
        <w:softHyphen/>
        <w:t>rings</w:t>
      </w:r>
      <w:r>
        <w:softHyphen/>
        <w:t>kost</w:t>
      </w:r>
      <w:proofErr w:type="spellEnd"/>
      <w:r>
        <w:t xml:space="preserve"> aangenomen:</w:t>
      </w:r>
    </w:p>
    <w:p w:rsidR="00474646" w:rsidRDefault="00474646" w:rsidP="00626A66"/>
    <w:p w:rsidR="00474646" w:rsidRPr="00474646" w:rsidRDefault="001246DB" w:rsidP="00626A66">
      <m:oMathPara>
        <m:oMath>
          <m:sSub>
            <m:sSubPr>
              <m:ctrlPr>
                <w:rPr>
                  <w:rFonts w:ascii="Cambria Math" w:hAnsi="Cambria Math"/>
                  <w:i/>
                </w:rPr>
              </m:ctrlPr>
            </m:sSubPr>
            <m:e>
              <m:r>
                <w:rPr>
                  <w:rFonts w:ascii="Cambria Math" w:hAnsi="Cambria Math"/>
                </w:rPr>
                <m:t>C</m:t>
              </m:r>
            </m:e>
            <m:sub>
              <m:r>
                <w:rPr>
                  <w:rFonts w:ascii="Cambria Math" w:hAnsi="Cambria Math"/>
                </w:rPr>
                <m:t>GPPn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GPP1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-0.073</m:t>
              </m:r>
            </m:sup>
          </m:sSup>
        </m:oMath>
      </m:oMathPara>
    </w:p>
    <w:p w:rsidR="00474646" w:rsidRDefault="00474646" w:rsidP="00626A66"/>
    <w:p w:rsidR="00474646" w:rsidRDefault="00474646" w:rsidP="00626A66">
      <w:r>
        <w:t>Met x met aantal reeds geïnstalleerde centrales en C</w:t>
      </w:r>
      <w:r w:rsidRPr="00474646">
        <w:rPr>
          <w:vertAlign w:val="subscript"/>
        </w:rPr>
        <w:t>PP1</w:t>
      </w:r>
      <w:r>
        <w:t xml:space="preserve"> de totale investeringskost voor de centrale op basis van de hoger aangegeven parameters.</w:t>
      </w:r>
    </w:p>
    <w:p w:rsidR="00474646" w:rsidRDefault="00474646" w:rsidP="00626A66"/>
    <w:p w:rsidR="000E085A" w:rsidRDefault="00FC5595" w:rsidP="00FC5595">
      <w:pPr>
        <w:pStyle w:val="Heading2"/>
      </w:pPr>
      <w:r>
        <w:t>Bepaling van de productie van elektriciteit en warmte</w:t>
      </w:r>
    </w:p>
    <w:p w:rsidR="00FC5595" w:rsidRDefault="00FC5595" w:rsidP="00626A66"/>
    <w:p w:rsidR="001C768B" w:rsidRDefault="009F43D8" w:rsidP="00626A66">
      <w:r>
        <w:t>De volgende</w:t>
      </w:r>
      <w:r w:rsidR="001C768B">
        <w:t xml:space="preserve"> stappen worden doorlopen voor de verschillende jaren t van de inplantingsanalyse. Hierbij worden eerst de in jaar t operationele </w:t>
      </w:r>
      <w:r>
        <w:t>centrales doorgerekend</w:t>
      </w:r>
      <w:r w:rsidR="001C768B">
        <w:t>. Vervolgens worden de locaties voor eventuele nieuwe centrales bepaald</w:t>
      </w:r>
      <w:r>
        <w:t>. Nieuwe centrale kunnen alleen in cellen geplaatst worden</w:t>
      </w:r>
      <w:r w:rsidR="001C768B">
        <w:t xml:space="preserve"> die gelegen zijn in gebieden die buiten de invlo</w:t>
      </w:r>
      <w:r>
        <w:t>eds</w:t>
      </w:r>
      <w:r w:rsidR="001C768B">
        <w:t xml:space="preserve">sfeer van bestaande centrales </w:t>
      </w:r>
      <w:r w:rsidR="00603476">
        <w:t xml:space="preserve">vallen </w:t>
      </w:r>
      <w:r w:rsidR="001C768B">
        <w:t>en waar de bouw van een centrale conform andere criteria mogelijk is.</w:t>
      </w:r>
    </w:p>
    <w:p w:rsidR="001C768B" w:rsidRDefault="001C768B" w:rsidP="00626A66"/>
    <w:p w:rsidR="00603476" w:rsidRDefault="00603476" w:rsidP="00626A66"/>
    <w:p w:rsidR="00FC5595" w:rsidRDefault="00A81232" w:rsidP="00626A66">
      <w:r>
        <w:t xml:space="preserve">Stap 1: </w:t>
      </w:r>
      <w:r w:rsidR="00D42EF4">
        <w:t xml:space="preserve">In </w:t>
      </w:r>
      <w:r>
        <w:t>de</w:t>
      </w:r>
      <w:r w:rsidR="00D42EF4">
        <w:t xml:space="preserve"> eerste stap wordt d</w:t>
      </w:r>
      <w:r w:rsidR="00FC5595">
        <w:t xml:space="preserve">e warmtevraag bepaald op basis van de jaarbelasting-duurcurves voor de verschillende warmtevragers binnen een </w:t>
      </w:r>
      <w:r w:rsidR="00D42EF4">
        <w:t xml:space="preserve">van </w:t>
      </w:r>
      <w:proofErr w:type="spellStart"/>
      <w:r w:rsidR="00FC5595">
        <w:t>zoekcircel</w:t>
      </w:r>
      <w:proofErr w:type="spellEnd"/>
      <w:r w:rsidR="00FC5595">
        <w:t xml:space="preserve"> x</w:t>
      </w:r>
      <w:r w:rsidR="00BC1F6F" w:rsidRPr="00BC1F6F">
        <w:rPr>
          <w:vertAlign w:val="subscript"/>
        </w:rPr>
        <w:t>i</w:t>
      </w:r>
      <w:r w:rsidR="00D42EF4">
        <w:t> km</w:t>
      </w:r>
      <w:r w:rsidR="00FC5595">
        <w:t xml:space="preserve"> rond de centrale. De </w:t>
      </w:r>
      <w:proofErr w:type="spellStart"/>
      <w:r w:rsidR="00FC5595">
        <w:t>warmte</w:t>
      </w:r>
      <w:r w:rsidR="00603476">
        <w:softHyphen/>
      </w:r>
      <w:r w:rsidR="00FC5595">
        <w:t>vragers</w:t>
      </w:r>
      <w:proofErr w:type="spellEnd"/>
      <w:r w:rsidR="00FC5595">
        <w:t xml:space="preserve"> worden daarvoor ingedeeld in een aantal warmteklassen (100 – 80°C; 80 -95°C; 65 – 45°C en 45 – 30°C). Voor elke klasse wordt de cumulatieve vermogenscurve opgesteld.</w:t>
      </w:r>
    </w:p>
    <w:p w:rsidR="00A81232" w:rsidRDefault="00A81232" w:rsidP="00626A66"/>
    <w:p w:rsidR="00A81232" w:rsidRDefault="00A81232" w:rsidP="00626A66">
      <w:r>
        <w:t xml:space="preserve">Stap 2: </w:t>
      </w:r>
      <w:r w:rsidR="00AA7DE7">
        <w:t xml:space="preserve">Op basis van het massadebiet </w:t>
      </w:r>
      <w:r>
        <w:t>van de productieput of –putten en de productietemperatuur wordt het maximaa</w:t>
      </w:r>
      <w:r w:rsidR="00603476">
        <w:t>l leverbare vermogen binnen elk</w:t>
      </w:r>
      <w:r>
        <w:t xml:space="preserve">e </w:t>
      </w:r>
      <w:r w:rsidR="00603476">
        <w:t>temperatuurklasse</w:t>
      </w:r>
      <w:r w:rsidR="00AA7DE7">
        <w:t xml:space="preserve"> bepaald. Het</w:t>
      </w:r>
      <w:r w:rsidR="00BC1F6F">
        <w:t xml:space="preserve"> thermische vermogen (in kW) wordt berekend via de formule:</w:t>
      </w:r>
    </w:p>
    <w:p w:rsidR="00BC1F6F" w:rsidRDefault="00BC1F6F" w:rsidP="00626A66"/>
    <w:p w:rsidR="00BC1F6F" w:rsidRDefault="001246DB" w:rsidP="00626A66">
      <m:oMathPara>
        <m:oMath>
          <m:sSub>
            <m:sSubPr>
              <m:ctrlPr>
                <w:rPr>
                  <w:rFonts w:ascii="Cambria Math" w:hAnsi="Cambria Math"/>
                  <w:i/>
                </w:rPr>
              </m:ctrlPr>
            </m:sSubPr>
            <m:e>
              <m:r>
                <w:rPr>
                  <w:rFonts w:ascii="Cambria Math" w:hAnsi="Cambria Math"/>
                </w:rPr>
                <m:t>kW</m:t>
              </m:r>
            </m:e>
            <m:sub>
              <m:r>
                <w:rPr>
                  <w:rFonts w:ascii="Cambria Math" w:hAnsi="Cambria Math"/>
                </w:rPr>
                <m:t>g,c</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cp</m:t>
                  </m:r>
                </m:e>
                <m:sub>
                  <m:r>
                    <w:rPr>
                      <w:rFonts w:ascii="Cambria Math" w:hAnsi="Cambria Math"/>
                    </w:rPr>
                    <m:t>b,c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l,c</m:t>
                      </m:r>
                    </m:sub>
                  </m:sSub>
                </m:e>
              </m:d>
            </m:num>
            <m:den>
              <m:r>
                <w:rPr>
                  <w:rFonts w:ascii="Cambria Math" w:hAnsi="Cambria Math"/>
                </w:rPr>
                <m:t>1000</m:t>
              </m:r>
            </m:den>
          </m:f>
        </m:oMath>
      </m:oMathPara>
    </w:p>
    <w:p w:rsidR="00BC1F6F" w:rsidRDefault="00BC1F6F" w:rsidP="00626A66"/>
    <w:p w:rsidR="00BC1F6F" w:rsidRDefault="00BC1F6F" w:rsidP="00626A66">
      <w:r>
        <w:t xml:space="preserve">Met </w:t>
      </w:r>
      <w:proofErr w:type="spellStart"/>
      <w:r>
        <w:t>T</w:t>
      </w:r>
      <w:r w:rsidRPr="00BC1F6F">
        <w:rPr>
          <w:vertAlign w:val="subscript"/>
        </w:rPr>
        <w:t>h,c</w:t>
      </w:r>
      <w:proofErr w:type="spellEnd"/>
      <w:r>
        <w:t xml:space="preserve"> en </w:t>
      </w:r>
      <w:proofErr w:type="spellStart"/>
      <w:r>
        <w:t>T</w:t>
      </w:r>
      <w:r w:rsidRPr="00BC1F6F">
        <w:rPr>
          <w:vertAlign w:val="subscript"/>
        </w:rPr>
        <w:t>l,c</w:t>
      </w:r>
      <w:proofErr w:type="spellEnd"/>
      <w:r>
        <w:t xml:space="preserve"> respectievelijk de hoge en lage temperatuur van de spec</w:t>
      </w:r>
      <w:r w:rsidR="00603476">
        <w:t xml:space="preserve">ifieke temperatuurklasse (°C), </w:t>
      </w:r>
      <w:r>
        <w:t xml:space="preserve"> </w:t>
      </w:r>
      <w:proofErr w:type="spellStart"/>
      <w:r>
        <w:t>cp</w:t>
      </w:r>
      <w:r w:rsidRPr="00BC1F6F">
        <w:rPr>
          <w:vertAlign w:val="subscript"/>
        </w:rPr>
        <w:t>b,c</w:t>
      </w:r>
      <w:proofErr w:type="spellEnd"/>
      <w:r>
        <w:t xml:space="preserve"> de specifieke warmte van de </w:t>
      </w:r>
      <w:proofErr w:type="spellStart"/>
      <w:r>
        <w:t>brine</w:t>
      </w:r>
      <w:proofErr w:type="spellEnd"/>
      <w:r>
        <w:t xml:space="preserve"> bij een temperatuur van </w:t>
      </w:r>
      <w:proofErr w:type="spellStart"/>
      <w:r>
        <w:t>T</w:t>
      </w:r>
      <w:r w:rsidRPr="00BC1F6F">
        <w:rPr>
          <w:vertAlign w:val="subscript"/>
        </w:rPr>
        <w:t>h,c</w:t>
      </w:r>
      <w:proofErr w:type="spellEnd"/>
      <w:r w:rsidR="00603476">
        <w:t xml:space="preserve"> (J/</w:t>
      </w:r>
      <w:proofErr w:type="spellStart"/>
      <w:r w:rsidR="00603476">
        <w:t>kg.K</w:t>
      </w:r>
      <w:proofErr w:type="spellEnd"/>
      <w:r w:rsidR="00603476">
        <w:t xml:space="preserve">) 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sub>
        </m:sSub>
      </m:oMath>
      <w:r w:rsidR="00603476">
        <w:t xml:space="preserve"> het massadebiet (kg/s).</w:t>
      </w:r>
    </w:p>
    <w:p w:rsidR="00BC1F6F" w:rsidRDefault="00BC1F6F" w:rsidP="00626A66"/>
    <w:p w:rsidR="001C3B6A" w:rsidRDefault="00BC1F6F" w:rsidP="00626A66">
      <w:r>
        <w:t>Stap 3: Het aanbod (</w:t>
      </w:r>
      <w:proofErr w:type="spellStart"/>
      <w:r>
        <w:t>kW</w:t>
      </w:r>
      <w:r w:rsidRPr="00BC1F6F">
        <w:rPr>
          <w:vertAlign w:val="subscript"/>
        </w:rPr>
        <w:t>g,c</w:t>
      </w:r>
      <w:proofErr w:type="spellEnd"/>
      <w:r>
        <w:t xml:space="preserve">) wordt vervolgens vergeleken met de vraag. Indien de </w:t>
      </w:r>
      <w:r w:rsidR="00A42CF7">
        <w:t xml:space="preserve">maximale </w:t>
      </w:r>
      <w:r>
        <w:t xml:space="preserve">vraag </w:t>
      </w:r>
      <w:r w:rsidR="00A42CF7">
        <w:t>groter is dan het aanbod wordt uit de jaarbelasting-duurcurve het aantal vollasturen bepaald dat overeenkomt met het leverbare vermogen (</w:t>
      </w:r>
      <w:proofErr w:type="spellStart"/>
      <w:r w:rsidR="00A42CF7">
        <w:t>kW</w:t>
      </w:r>
      <w:r w:rsidR="00A42CF7" w:rsidRPr="00A42CF7">
        <w:rPr>
          <w:vertAlign w:val="subscript"/>
        </w:rPr>
        <w:t>g,c</w:t>
      </w:r>
      <w:proofErr w:type="spellEnd"/>
      <w:r w:rsidR="00A42CF7">
        <w:t>) binnen de temperatuurklasse</w:t>
      </w:r>
      <w:r w:rsidR="001C3B6A">
        <w:t>. De totale warmte</w:t>
      </w:r>
      <w:r w:rsidR="001C3B6A">
        <w:softHyphen/>
        <w:t xml:space="preserve">levering binnen de </w:t>
      </w:r>
      <w:r w:rsidR="00AA7DE7">
        <w:t xml:space="preserve">specifieke temperatuurklasse c </w:t>
      </w:r>
      <w:r w:rsidR="001C3B6A">
        <w:t xml:space="preserve">(MWh) komt dan overeen met de oppervlakte onder de jaarbelasting-duurcurve afgekapt op maximaal vermogen gelijk aan </w:t>
      </w:r>
      <w:proofErr w:type="spellStart"/>
      <w:r w:rsidR="001C3B6A">
        <w:t>kW</w:t>
      </w:r>
      <w:r w:rsidR="001C3B6A" w:rsidRPr="001C3B6A">
        <w:rPr>
          <w:vertAlign w:val="subscript"/>
        </w:rPr>
        <w:t>g.c</w:t>
      </w:r>
      <w:proofErr w:type="spellEnd"/>
      <w:r w:rsidR="001C3B6A">
        <w:t>.</w:t>
      </w:r>
    </w:p>
    <w:p w:rsidR="00BC1F6F" w:rsidRDefault="00A42CF7" w:rsidP="00626A66">
      <w:r>
        <w:t xml:space="preserve">Indien het maximale gevraagde vermogen </w:t>
      </w:r>
      <w:r w:rsidR="001C3B6A">
        <w:t xml:space="preserve">binnen temperatuurklasse c </w:t>
      </w:r>
      <w:r>
        <w:t>lager ligt dan het vermogen</w:t>
      </w:r>
      <w:r w:rsidR="001C3B6A">
        <w:t xml:space="preserve"> dat vanuit de productieput(ten) geleverd kan wo</w:t>
      </w:r>
      <w:r w:rsidR="00AA7DE7">
        <w:t>r</w:t>
      </w:r>
      <w:r w:rsidR="001C3B6A">
        <w:t>den</w:t>
      </w:r>
      <w:r>
        <w:t xml:space="preserve">, </w:t>
      </w:r>
      <w:r w:rsidR="001C3B6A">
        <w:t xml:space="preserve">is </w:t>
      </w:r>
      <w:r>
        <w:t xml:space="preserve">de geleverde warmte binnen de </w:t>
      </w:r>
      <w:proofErr w:type="spellStart"/>
      <w:r>
        <w:t>warmte</w:t>
      </w:r>
      <w:r w:rsidR="001C3B6A">
        <w:softHyphen/>
      </w:r>
      <w:r>
        <w:t>klasse</w:t>
      </w:r>
      <w:proofErr w:type="spellEnd"/>
      <w:r>
        <w:t xml:space="preserve"> </w:t>
      </w:r>
      <w:r w:rsidR="001C3B6A">
        <w:t>(MWh) gelijk aan de oppervlakte onder de jaarbelasting-duurcurve.</w:t>
      </w:r>
      <w:r w:rsidR="00603476">
        <w:t xml:space="preserve"> Voor warmteklassen met een lage temperatuur van 65°C of meer en in het geval de productietemperatuur van de </w:t>
      </w:r>
      <w:proofErr w:type="spellStart"/>
      <w:r w:rsidR="00603476">
        <w:t>brine</w:t>
      </w:r>
      <w:proofErr w:type="spellEnd"/>
      <w:r w:rsidR="00603476">
        <w:t xml:space="preserve"> hoger is dan 100°C is optimalisatie mogelijk op basis van de NPV door verdeling over elektriciteit- en hoge temperatuur warmtelevering (in relatie met stap 4).</w:t>
      </w:r>
    </w:p>
    <w:p w:rsidR="001C3B6A" w:rsidRDefault="001C3B6A" w:rsidP="00626A66"/>
    <w:p w:rsidR="001C3B6A" w:rsidRDefault="001C3B6A" w:rsidP="00626A66">
      <w:r>
        <w:t>Stap 4: Indien de productietemperatuur hoger ligt dan 100°C wordt vervolgens het elektrische ver</w:t>
      </w:r>
      <w:r w:rsidR="00603476">
        <w:softHyphen/>
      </w:r>
      <w:r>
        <w:t xml:space="preserve">mogen van een eventuele CHP-geothermische centrale berekend op basis van </w:t>
      </w:r>
      <w:proofErr w:type="spellStart"/>
      <w:r>
        <w:t>T</w:t>
      </w:r>
      <w:r w:rsidRPr="001C3B6A">
        <w:rPr>
          <w:vertAlign w:val="subscript"/>
        </w:rPr>
        <w:t>b,i</w:t>
      </w:r>
      <w:proofErr w:type="spellEnd"/>
      <w:r>
        <w:t xml:space="preserve"> en het reste</w:t>
      </w:r>
      <w:r>
        <w:softHyphen/>
        <w:t>rende massadebiet na aftrek van het massadebiet dat nodig is om in de warmtelevering in de tempe</w:t>
      </w:r>
      <w:r>
        <w:softHyphen/>
        <w:t>ratuurklassen met een minimale temperatuur van 65°C (100 – 800C en 80 -65°C) te voorzien.</w:t>
      </w:r>
    </w:p>
    <w:p w:rsidR="00AA7DE7" w:rsidRDefault="00AA7DE7" w:rsidP="00626A66"/>
    <w:p w:rsidR="00AA7DE7" w:rsidRDefault="009F43D8" w:rsidP="00626A66">
      <w:r>
        <w:lastRenderedPageBreak/>
        <w:t>Stap 5: berekening van de NPV</w:t>
      </w:r>
      <w:r w:rsidR="00AA7DE7">
        <w:t xml:space="preserve"> van de centrale. Indien de warmtevraag het aanbod overtreft</w:t>
      </w:r>
      <w:r>
        <w:t xml:space="preserve"> en de (beoogde) centrale nog maar 1 double bevat</w:t>
      </w:r>
      <w:r w:rsidR="00AA7DE7">
        <w:t>, wordt stappen 1 t/m 5 herhaald voor een centrale met 4 putten (2 injectie en 2 productieputten) waarbij de investeringen voor het 2</w:t>
      </w:r>
      <w:r w:rsidR="00AA7DE7" w:rsidRPr="00AA7DE7">
        <w:rPr>
          <w:vertAlign w:val="superscript"/>
        </w:rPr>
        <w:t>e</w:t>
      </w:r>
      <w:r w:rsidR="00AA7DE7">
        <w:t xml:space="preserve"> doublet aangepast worden zoals hierboven aangegeven.</w:t>
      </w:r>
      <w:r>
        <w:t xml:space="preserve"> De configuratie met de hoogste NPV wordt behouden.</w:t>
      </w:r>
    </w:p>
    <w:p w:rsidR="009F43D8" w:rsidRDefault="009F43D8" w:rsidP="00626A66"/>
    <w:p w:rsidR="00AA7DE7" w:rsidRDefault="00AA7DE7" w:rsidP="00626A66">
      <w:r>
        <w:t>In het geval de NPV positief is</w:t>
      </w:r>
      <w:r w:rsidR="00603476">
        <w:t xml:space="preserve"> en het geen bestaande centrale betreft</w:t>
      </w:r>
      <w:r>
        <w:t>, wordt de centrale vastgelegd op de betreffende locatie</w:t>
      </w:r>
      <w:r w:rsidR="001C768B">
        <w:t>. Cellen die binnen een ellips met stralen a = 1500 m en b = 750 m + 250 m x (#doubletten – 1) gelegen zijn, worden uitgesloten voor de lokalisatie van bijkomende centrales.</w:t>
      </w:r>
      <w:r w:rsidR="0071679B">
        <w:t xml:space="preserve"> Indien het een bestaande centrale betreft waaraan een extra doublet werd toegevoegd, wordt de invloedssfeer uitgebreid.</w:t>
      </w:r>
    </w:p>
    <w:p w:rsidR="001C3B6A" w:rsidRDefault="001C3B6A" w:rsidP="00626A66"/>
    <w:p w:rsidR="00FC5595" w:rsidRPr="00AB0C87" w:rsidRDefault="00FC5595" w:rsidP="00626A66"/>
    <w:sectPr w:rsidR="00FC5595" w:rsidRPr="00AB0C87" w:rsidSect="0080515F">
      <w:headerReference w:type="default" r:id="rId16"/>
      <w:footerReference w:type="default" r:id="rId17"/>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154" w:rsidRDefault="00995154" w:rsidP="00D31C66">
      <w:r>
        <w:separator/>
      </w:r>
    </w:p>
  </w:endnote>
  <w:endnote w:type="continuationSeparator" w:id="0">
    <w:p w:rsidR="00995154" w:rsidRDefault="00995154" w:rsidP="00D31C66">
      <w:r>
        <w:continuationSeparator/>
      </w:r>
    </w:p>
  </w:endnote>
  <w:endnote w:id="1">
    <w:p w:rsidR="00995154" w:rsidRPr="00FC5595" w:rsidRDefault="00995154" w:rsidP="00A51162">
      <w:pPr>
        <w:pStyle w:val="EndnoteText"/>
        <w:rPr>
          <w:lang w:val="en-GB"/>
        </w:rPr>
      </w:pPr>
      <w:r>
        <w:rPr>
          <w:rStyle w:val="EndnoteReference"/>
        </w:rPr>
        <w:endnoteRef/>
      </w:r>
      <w:r>
        <w:t xml:space="preserve"> </w:t>
      </w:r>
      <w:r w:rsidR="000B2DA3" w:rsidRPr="000B2DA3">
        <w:t xml:space="preserve">Walraven, B. Laenen </w:t>
      </w:r>
      <w:proofErr w:type="spellStart"/>
      <w:r w:rsidR="000B2DA3" w:rsidRPr="000B2DA3">
        <w:t>and</w:t>
      </w:r>
      <w:proofErr w:type="spellEnd"/>
      <w:r w:rsidR="000B2DA3" w:rsidRPr="000B2DA3">
        <w:t xml:space="preserve"> W. D'haeseleer, 2015. </w:t>
      </w:r>
      <w:r w:rsidR="000B2DA3" w:rsidRPr="000B2DA3">
        <w:rPr>
          <w:lang w:val="en-GB"/>
        </w:rPr>
        <w:t xml:space="preserve">Economic system optimization of air-cooled organic Rankine cycles powered by low-temperature geothermal heat sources. </w:t>
      </w:r>
      <w:r w:rsidR="000B2DA3" w:rsidRPr="00EB3D76">
        <w:rPr>
          <w:lang w:val="en-GB"/>
        </w:rPr>
        <w:t>Energy 80: 104-113</w:t>
      </w:r>
    </w:p>
  </w:endnote>
  <w:endnote w:id="2">
    <w:p w:rsidR="00995154" w:rsidRPr="00691E1E" w:rsidRDefault="00995154">
      <w:pPr>
        <w:pStyle w:val="EndnoteText"/>
        <w:rPr>
          <w:lang w:val="en-GB"/>
        </w:rPr>
      </w:pPr>
      <w:r>
        <w:rPr>
          <w:rStyle w:val="EndnoteReference"/>
        </w:rPr>
        <w:endnoteRef/>
      </w:r>
      <w:r w:rsidRPr="00691E1E">
        <w:rPr>
          <w:lang w:val="en-GB"/>
        </w:rPr>
        <w:t xml:space="preserve"> </w:t>
      </w:r>
      <w:proofErr w:type="spellStart"/>
      <w:r w:rsidRPr="00691E1E">
        <w:rPr>
          <w:lang w:val="en-GB"/>
        </w:rPr>
        <w:t>Batzle</w:t>
      </w:r>
      <w:proofErr w:type="spellEnd"/>
      <w:r w:rsidRPr="00691E1E">
        <w:rPr>
          <w:lang w:val="en-GB"/>
        </w:rPr>
        <w:t xml:space="preserve"> and Wang, 1992. Geophysics 57, p. 1396 </w:t>
      </w:r>
      <w:r>
        <w:rPr>
          <w:lang w:val="en-GB"/>
        </w:rPr>
        <w:t>–</w:t>
      </w:r>
      <w:r w:rsidRPr="00691E1E">
        <w:rPr>
          <w:lang w:val="en-GB"/>
        </w:rPr>
        <w:t xml:space="preserve"> 1408</w:t>
      </w:r>
      <w:r>
        <w:rPr>
          <w:lang w:val="en-GB"/>
        </w:rPr>
        <w:t>.</w:t>
      </w:r>
    </w:p>
  </w:endnote>
  <w:endnote w:id="3">
    <w:p w:rsidR="000B2DA3" w:rsidRPr="000B2DA3" w:rsidRDefault="000B2DA3">
      <w:pPr>
        <w:pStyle w:val="EndnoteText"/>
        <w:rPr>
          <w:lang w:val="en-GB"/>
        </w:rPr>
      </w:pPr>
      <w:r>
        <w:rPr>
          <w:rStyle w:val="EndnoteReference"/>
        </w:rPr>
        <w:endnoteRef/>
      </w:r>
      <w:r w:rsidRPr="00EB3D76">
        <w:rPr>
          <w:lang w:val="en-GB"/>
        </w:rPr>
        <w:t xml:space="preserve"> Walraven, D., Laenen, B., D’haeseleer, W., 2015. </w:t>
      </w:r>
      <w:r w:rsidRPr="000B2DA3">
        <w:rPr>
          <w:lang w:val="en-GB"/>
        </w:rPr>
        <w:t xml:space="preserve">Minimizing the </w:t>
      </w:r>
      <w:proofErr w:type="spellStart"/>
      <w:r w:rsidRPr="000B2DA3">
        <w:rPr>
          <w:lang w:val="en-GB"/>
        </w:rPr>
        <w:t>levelized</w:t>
      </w:r>
      <w:proofErr w:type="spellEnd"/>
      <w:r w:rsidRPr="000B2DA3">
        <w:rPr>
          <w:lang w:val="en-GB"/>
        </w:rPr>
        <w:t xml:space="preserve"> cost of electricity production from low-temperature geothermal heat sources with ORCs: Water or air cooled? Applied Energy, 142C: 144-153.</w:t>
      </w:r>
    </w:p>
  </w:endnote>
  <w:endnote w:id="4">
    <w:p w:rsidR="000B2DA3" w:rsidRPr="00691E1E" w:rsidRDefault="000B2DA3" w:rsidP="000B2DA3">
      <w:pPr>
        <w:pStyle w:val="EndnoteText"/>
        <w:rPr>
          <w:lang w:val="en-GB"/>
        </w:rPr>
      </w:pPr>
      <w:r>
        <w:rPr>
          <w:rStyle w:val="EndnoteReference"/>
        </w:rPr>
        <w:endnoteRef/>
      </w:r>
      <w:r w:rsidRPr="00691E1E">
        <w:rPr>
          <w:lang w:val="en-GB"/>
        </w:rPr>
        <w:t xml:space="preserve"> </w:t>
      </w:r>
      <w:proofErr w:type="spellStart"/>
      <w:r w:rsidRPr="00691E1E">
        <w:rPr>
          <w:lang w:val="en-GB"/>
        </w:rPr>
        <w:t>Batzle</w:t>
      </w:r>
      <w:proofErr w:type="spellEnd"/>
      <w:r w:rsidRPr="00691E1E">
        <w:rPr>
          <w:lang w:val="en-GB"/>
        </w:rPr>
        <w:t xml:space="preserve"> and Wang, 1992. Geophysics 57, p. 1396 </w:t>
      </w:r>
      <w:r>
        <w:rPr>
          <w:lang w:val="en-GB"/>
        </w:rPr>
        <w:t>–</w:t>
      </w:r>
      <w:r w:rsidRPr="00691E1E">
        <w:rPr>
          <w:lang w:val="en-GB"/>
        </w:rPr>
        <w:t xml:space="preserve"> 1408</w:t>
      </w:r>
      <w:r>
        <w:rPr>
          <w:lang w:val="en-GB"/>
        </w:rPr>
        <w:t>.</w:t>
      </w:r>
    </w:p>
  </w:endnote>
  <w:endnote w:id="5">
    <w:p w:rsidR="00995154" w:rsidRPr="00537751" w:rsidRDefault="00995154">
      <w:pPr>
        <w:pStyle w:val="EndnoteText"/>
        <w:rPr>
          <w:lang w:val="en-GB"/>
        </w:rPr>
      </w:pPr>
      <w:r>
        <w:rPr>
          <w:rStyle w:val="EndnoteReference"/>
        </w:rPr>
        <w:endnoteRef/>
      </w:r>
      <w:r w:rsidRPr="00537751">
        <w:rPr>
          <w:lang w:val="en-GB"/>
        </w:rPr>
        <w:t xml:space="preserve"> </w:t>
      </w:r>
      <w:proofErr w:type="spellStart"/>
      <w:r>
        <w:rPr>
          <w:lang w:val="en-GB"/>
        </w:rPr>
        <w:t>Hance</w:t>
      </w:r>
      <w:proofErr w:type="spellEnd"/>
      <w:r>
        <w:rPr>
          <w:lang w:val="en-GB"/>
        </w:rPr>
        <w:t xml:space="preserve"> C., 2005</w:t>
      </w:r>
      <w:r w:rsidRPr="00537751">
        <w:rPr>
          <w:lang w:val="en-GB"/>
        </w:rPr>
        <w:t>. Factors Affecting Costs of Geothermal Power Development. Publication by the Geothermal Energy Association for the U.S. Department of Energy</w:t>
      </w:r>
      <w:r>
        <w:rPr>
          <w:lang w:val="en-GB"/>
        </w:rPr>
        <w:t>.</w:t>
      </w:r>
    </w:p>
  </w:endnote>
  <w:endnote w:id="6">
    <w:p w:rsidR="00995154" w:rsidRPr="00537751" w:rsidRDefault="00995154">
      <w:pPr>
        <w:pStyle w:val="EndnoteText"/>
      </w:pPr>
      <w:r>
        <w:rPr>
          <w:rStyle w:val="EndnoteReference"/>
        </w:rPr>
        <w:endnoteRef/>
      </w:r>
      <w:r>
        <w:t xml:space="preserve"> Data verzameld door Euroheat &amp; Power wijzen op een directe tewerkstelling in het kader van warmtenetten van 0,22 tot 0,30 VTE per </w:t>
      </w:r>
      <w:proofErr w:type="spellStart"/>
      <w:r>
        <w:t>MW</w:t>
      </w:r>
      <w:r w:rsidRPr="007612B7">
        <w:rPr>
          <w:vertAlign w:val="subscript"/>
        </w:rPr>
        <w:t>th</w:t>
      </w:r>
      <w:proofErr w:type="spellEnd"/>
      <w:r>
        <w:rPr>
          <w:vertAlign w:val="subscript"/>
        </w:rPr>
        <w:t>.</w:t>
      </w:r>
      <w:r w:rsidRPr="00537751">
        <w:t xml:space="preserve"> </w:t>
      </w:r>
      <w:r>
        <w:t xml:space="preserve">De effectieve tewerkstelling hangt onder andere af van de lengte en de complexiteit van het netwerk en het aantal aansluitingen. Naast elke voltijdse directe werkkracht worden nog eens 5 tot 6 jobs gecreëerd in ondersteunende diensten en voor toelevering van materialen en producten. (zie </w:t>
      </w:r>
      <w:hyperlink r:id="rId1" w:history="1">
        <w:r w:rsidRPr="007612B7">
          <w:rPr>
            <w:rStyle w:val="Hyperlink"/>
          </w:rPr>
          <w:t>euroheat.org/Statistics-69.aspx</w:t>
        </w:r>
      </w:hyperlink>
      <w:r>
        <w:rPr>
          <w:rStyle w:val="Hyperlink"/>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143"/>
      <w:docPartObj>
        <w:docPartGallery w:val="Page Numbers (Bottom of Page)"/>
        <w:docPartUnique/>
      </w:docPartObj>
    </w:sdtPr>
    <w:sdtEndPr/>
    <w:sdtContent>
      <w:sdt>
        <w:sdtPr>
          <w:alias w:val="Document Number"/>
          <w:id w:val="11979185"/>
          <w:showingPlcHdr/>
          <w:dataBinding w:prefixMappings="xmlns:ns0='http://schemas.microsoft.com/office/2006/metadata/properties' xmlns:ns1='http://www.w3.org/2001/XMLSchema-instance' xmlns:ns2='ea5c75e3-67a9-4818-b5e8-14122810ebad' " w:xpath="/ns0:properties[1]/documentManagement[1]/ns2:ProjectDocumentNumber[1]" w:storeItemID="{F6C813C7-1477-428C-BC23-29D28920E67D}"/>
          <w:text/>
        </w:sdtPr>
        <w:sdtEndPr/>
        <w:sdtContent>
          <w:p w:rsidR="00995154" w:rsidRDefault="00995154">
            <w:pPr>
              <w:pStyle w:val="Footer"/>
              <w:jc w:val="right"/>
            </w:pPr>
            <w:r w:rsidRPr="00F17B39">
              <w:rPr>
                <w:rStyle w:val="PlaceholderText"/>
                <w:rFonts w:eastAsiaTheme="minorHAnsi"/>
              </w:rPr>
              <w:t>[Document Number]</w:t>
            </w:r>
          </w:p>
        </w:sdtContent>
      </w:sdt>
      <w:p w:rsidR="00995154" w:rsidRDefault="00995154">
        <w:pPr>
          <w:pStyle w:val="Footer"/>
          <w:jc w:val="right"/>
        </w:pPr>
        <w:r>
          <w:fldChar w:fldCharType="begin"/>
        </w:r>
        <w:r>
          <w:instrText xml:space="preserve"> PAGE   \* MERGEFORMAT </w:instrText>
        </w:r>
        <w:r>
          <w:fldChar w:fldCharType="separate"/>
        </w:r>
        <w:r w:rsidR="001246DB">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154" w:rsidRDefault="00995154" w:rsidP="00D31C66">
      <w:r>
        <w:separator/>
      </w:r>
    </w:p>
  </w:footnote>
  <w:footnote w:type="continuationSeparator" w:id="0">
    <w:p w:rsidR="00995154" w:rsidRDefault="00995154" w:rsidP="00D31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154" w:rsidRDefault="00995154" w:rsidP="00D31C66">
    <w:pPr>
      <w:pStyle w:val="Header"/>
      <w:jc w:val="right"/>
    </w:pPr>
    <w:r>
      <w:rPr>
        <w:noProof/>
        <w:lang w:eastAsia="nl-BE"/>
      </w:rPr>
      <w:drawing>
        <wp:anchor distT="0" distB="0" distL="114300" distR="114300" simplePos="0" relativeHeight="251658240" behindDoc="0" locked="0" layoutInCell="1" allowOverlap="1" wp14:anchorId="21B353A0" wp14:editId="779BD7AB">
          <wp:simplePos x="0" y="0"/>
          <wp:positionH relativeFrom="column">
            <wp:posOffset>3395980</wp:posOffset>
          </wp:positionH>
          <wp:positionV relativeFrom="paragraph">
            <wp:posOffset>-1905</wp:posOffset>
          </wp:positionV>
          <wp:extent cx="2352675" cy="571500"/>
          <wp:effectExtent l="19050" t="0" r="9525" b="0"/>
          <wp:wrapThrough wrapText="bothSides">
            <wp:wrapPolygon edited="0">
              <wp:start x="-175" y="0"/>
              <wp:lineTo x="-175" y="20880"/>
              <wp:lineTo x="21687" y="20880"/>
              <wp:lineTo x="21687" y="0"/>
              <wp:lineTo x="-175" y="0"/>
            </wp:wrapPolygon>
          </wp:wrapThrough>
          <wp:docPr id="1" name="Afbeelding 1" descr="vito_basislogo_word_gr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o_basislogo_word_grijs"/>
                  <pic:cNvPicPr>
                    <a:picLocks noChangeAspect="1" noChangeArrowheads="1"/>
                  </pic:cNvPicPr>
                </pic:nvPicPr>
                <pic:blipFill>
                  <a:blip r:embed="rId1"/>
                  <a:srcRect/>
                  <a:stretch>
                    <a:fillRect/>
                  </a:stretch>
                </pic:blipFill>
                <pic:spPr bwMode="auto">
                  <a:xfrm>
                    <a:off x="0" y="0"/>
                    <a:ext cx="2352675" cy="571500"/>
                  </a:xfrm>
                  <a:prstGeom prst="rect">
                    <a:avLst/>
                  </a:prstGeom>
                  <a:noFill/>
                  <a:ln w="9525">
                    <a:noFill/>
                    <a:miter lim="800000"/>
                    <a:headEnd/>
                    <a:tailEnd/>
                  </a:ln>
                </pic:spPr>
              </pic:pic>
            </a:graphicData>
          </a:graphic>
        </wp:anchor>
      </w:drawing>
    </w:r>
  </w:p>
  <w:p w:rsidR="00995154" w:rsidRDefault="00995154" w:rsidP="000A0804">
    <w:pPr>
      <w:pStyle w:val="Header"/>
    </w:pPr>
    <w:r w:rsidRPr="00B536F5">
      <w:fldChar w:fldCharType="begin"/>
    </w:r>
    <w:r w:rsidRPr="00B536F5">
      <w:instrText xml:space="preserve"> IF "</w:instrText>
    </w:r>
    <w:fldSimple w:instr=" DOCPROPERTY  CustLanguage  \* MERGEFORMAT ">
      <w:r>
        <w:instrText>N</w:instrText>
      </w:r>
    </w:fldSimple>
    <w:r w:rsidRPr="00B536F5">
      <w:instrText xml:space="preserve">" = "N" "Verspreiding: " "Distribution: " \* MERGEFORMAT </w:instrText>
    </w:r>
    <w:r w:rsidRPr="00B536F5">
      <w:fldChar w:fldCharType="separate"/>
    </w:r>
    <w:r w:rsidR="001246DB" w:rsidRPr="00B536F5">
      <w:rPr>
        <w:noProof/>
      </w:rPr>
      <w:t xml:space="preserve">Verspreiding: </w:t>
    </w:r>
    <w:r w:rsidRPr="00B536F5">
      <w:fldChar w:fldCharType="end"/>
    </w:r>
    <w:sdt>
      <w:sdtPr>
        <w:alias w:val="Document Distribution"/>
        <w:id w:val="11979155"/>
        <w:placeholder>
          <w:docPart w:val="F6C3890ACAC041CD9888D29BF065B9EB"/>
        </w:placeholder>
        <w:dataBinding w:prefixMappings="xmlns:ns0='http://schemas.microsoft.com/office/2006/metadata/properties' xmlns:ns1='http://www.w3.org/2001/XMLSchema-instance' xmlns:ns2='ea5c75e3-67a9-4818-b5e8-14122810ebad' " w:xpath="/ns0:properties[1]/documentManagement[1]/ns2:DocumentDistribution[1]" w:storeItemID="{F6C813C7-1477-428C-BC23-29D28920E67D}"/>
        <w:dropDownList w:lastValue="Beperkt">
          <w:listItem w:value="[Document Distribution]"/>
        </w:dropDownList>
      </w:sdtPr>
      <w:sdtEndPr/>
      <w:sdtContent>
        <w:r>
          <w:t>Beperkt</w:t>
        </w:r>
      </w:sdtContent>
    </w:sdt>
    <w:r>
      <w:t xml:space="preserve"> </w:t>
    </w:r>
  </w:p>
  <w:p w:rsidR="00995154" w:rsidRDefault="00995154" w:rsidP="007F0849"/>
  <w:p w:rsidR="00995154" w:rsidRDefault="00995154" w:rsidP="007F08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136E5EC"/>
    <w:lvl w:ilvl="0">
      <w:start w:val="1"/>
      <w:numFmt w:val="decimal"/>
      <w:lvlText w:val="%1."/>
      <w:lvlJc w:val="left"/>
      <w:pPr>
        <w:tabs>
          <w:tab w:val="num" w:pos="1492"/>
        </w:tabs>
        <w:ind w:left="1492" w:hanging="360"/>
      </w:pPr>
    </w:lvl>
  </w:abstractNum>
  <w:abstractNum w:abstractNumId="1">
    <w:nsid w:val="FFFFFF7D"/>
    <w:multiLevelType w:val="singleLevel"/>
    <w:tmpl w:val="CB341592"/>
    <w:lvl w:ilvl="0">
      <w:start w:val="1"/>
      <w:numFmt w:val="decimal"/>
      <w:lvlText w:val="%1."/>
      <w:lvlJc w:val="left"/>
      <w:pPr>
        <w:tabs>
          <w:tab w:val="num" w:pos="1209"/>
        </w:tabs>
        <w:ind w:left="1209" w:hanging="360"/>
      </w:pPr>
    </w:lvl>
  </w:abstractNum>
  <w:abstractNum w:abstractNumId="2">
    <w:nsid w:val="FFFFFF7E"/>
    <w:multiLevelType w:val="singleLevel"/>
    <w:tmpl w:val="25F23FE0"/>
    <w:lvl w:ilvl="0">
      <w:start w:val="1"/>
      <w:numFmt w:val="decimal"/>
      <w:lvlText w:val="%1."/>
      <w:lvlJc w:val="left"/>
      <w:pPr>
        <w:tabs>
          <w:tab w:val="num" w:pos="926"/>
        </w:tabs>
        <w:ind w:left="926" w:hanging="360"/>
      </w:pPr>
    </w:lvl>
  </w:abstractNum>
  <w:abstractNum w:abstractNumId="3">
    <w:nsid w:val="FFFFFF7F"/>
    <w:multiLevelType w:val="singleLevel"/>
    <w:tmpl w:val="8F7648B8"/>
    <w:lvl w:ilvl="0">
      <w:start w:val="1"/>
      <w:numFmt w:val="decimal"/>
      <w:lvlText w:val="%1."/>
      <w:lvlJc w:val="left"/>
      <w:pPr>
        <w:tabs>
          <w:tab w:val="num" w:pos="643"/>
        </w:tabs>
        <w:ind w:left="643" w:hanging="360"/>
      </w:pPr>
    </w:lvl>
  </w:abstractNum>
  <w:abstractNum w:abstractNumId="4">
    <w:nsid w:val="FFFFFF80"/>
    <w:multiLevelType w:val="singleLevel"/>
    <w:tmpl w:val="AE3E0F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C04A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9E67A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93E76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A402EA4"/>
    <w:lvl w:ilvl="0">
      <w:start w:val="1"/>
      <w:numFmt w:val="decimal"/>
      <w:lvlText w:val="%1."/>
      <w:lvlJc w:val="left"/>
      <w:pPr>
        <w:tabs>
          <w:tab w:val="num" w:pos="360"/>
        </w:tabs>
        <w:ind w:left="360" w:hanging="360"/>
      </w:pPr>
    </w:lvl>
  </w:abstractNum>
  <w:abstractNum w:abstractNumId="9">
    <w:nsid w:val="FFFFFF89"/>
    <w:multiLevelType w:val="singleLevel"/>
    <w:tmpl w:val="1B002606"/>
    <w:lvl w:ilvl="0">
      <w:start w:val="1"/>
      <w:numFmt w:val="bullet"/>
      <w:lvlText w:val=""/>
      <w:lvlJc w:val="left"/>
      <w:pPr>
        <w:tabs>
          <w:tab w:val="num" w:pos="360"/>
        </w:tabs>
        <w:ind w:left="360" w:hanging="360"/>
      </w:pPr>
      <w:rPr>
        <w:rFonts w:ascii="Symbol" w:hAnsi="Symbol" w:hint="default"/>
      </w:rPr>
    </w:lvl>
  </w:abstractNum>
  <w:abstractNum w:abstractNumId="10">
    <w:nsid w:val="3A4402EB"/>
    <w:multiLevelType w:val="multilevel"/>
    <w:tmpl w:val="A8C03A82"/>
    <w:lvl w:ilvl="0">
      <w:start w:val="1"/>
      <w:numFmt w:val="decimal"/>
      <w:lvlText w:val="CHAPTER %1"/>
      <w:lvlJc w:val="left"/>
      <w:pPr>
        <w:ind w:left="0" w:firstLine="0"/>
      </w:pPr>
      <w:rPr>
        <w:rFonts w:ascii="Calibri" w:hAnsi="Calibri" w:cs="Times New Roman" w:hint="default"/>
        <w:b/>
        <w:bCs w:val="0"/>
        <w:i w:val="0"/>
        <w:iCs w:val="0"/>
        <w:caps/>
        <w:smallCaps w:val="0"/>
        <w:strike w:val="0"/>
        <w:dstrike w:val="0"/>
        <w:noProof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bullet"/>
      <w:lvlText w:val=""/>
      <w:lvlJc w:val="left"/>
      <w:pPr>
        <w:tabs>
          <w:tab w:val="num" w:pos="284"/>
        </w:tabs>
        <w:ind w:left="0" w:firstLine="0"/>
      </w:pPr>
      <w:rPr>
        <w:rFonts w:ascii="Symbol" w:hAnsi="Symbol" w:hint="default"/>
        <w:color w:val="auto"/>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5A"/>
    <w:rsid w:val="000115AE"/>
    <w:rsid w:val="00027F23"/>
    <w:rsid w:val="00034D9B"/>
    <w:rsid w:val="00072E9B"/>
    <w:rsid w:val="000A0804"/>
    <w:rsid w:val="000B2DA3"/>
    <w:rsid w:val="000D7636"/>
    <w:rsid w:val="000E085A"/>
    <w:rsid w:val="000E3E7F"/>
    <w:rsid w:val="00121757"/>
    <w:rsid w:val="001246DB"/>
    <w:rsid w:val="00126521"/>
    <w:rsid w:val="001406FB"/>
    <w:rsid w:val="00140A16"/>
    <w:rsid w:val="001507B6"/>
    <w:rsid w:val="00151150"/>
    <w:rsid w:val="00157FA9"/>
    <w:rsid w:val="0019379B"/>
    <w:rsid w:val="00193985"/>
    <w:rsid w:val="001B5698"/>
    <w:rsid w:val="001C3B6A"/>
    <w:rsid w:val="001C697A"/>
    <w:rsid w:val="001C768B"/>
    <w:rsid w:val="001D6F44"/>
    <w:rsid w:val="001F365D"/>
    <w:rsid w:val="001F6323"/>
    <w:rsid w:val="00247474"/>
    <w:rsid w:val="00267B6C"/>
    <w:rsid w:val="00281244"/>
    <w:rsid w:val="00291CC8"/>
    <w:rsid w:val="002A191A"/>
    <w:rsid w:val="002C0611"/>
    <w:rsid w:val="002C6619"/>
    <w:rsid w:val="002E1582"/>
    <w:rsid w:val="00301742"/>
    <w:rsid w:val="00312F61"/>
    <w:rsid w:val="00313ECE"/>
    <w:rsid w:val="00331142"/>
    <w:rsid w:val="00337448"/>
    <w:rsid w:val="00355D77"/>
    <w:rsid w:val="00360326"/>
    <w:rsid w:val="00385C80"/>
    <w:rsid w:val="003916A0"/>
    <w:rsid w:val="00392A70"/>
    <w:rsid w:val="00392DAA"/>
    <w:rsid w:val="003A3117"/>
    <w:rsid w:val="003B2713"/>
    <w:rsid w:val="003D30CA"/>
    <w:rsid w:val="003E30D1"/>
    <w:rsid w:val="0043674B"/>
    <w:rsid w:val="004378D6"/>
    <w:rsid w:val="00441FFD"/>
    <w:rsid w:val="00474372"/>
    <w:rsid w:val="00474646"/>
    <w:rsid w:val="00483EED"/>
    <w:rsid w:val="00486E41"/>
    <w:rsid w:val="004971FD"/>
    <w:rsid w:val="004D47BC"/>
    <w:rsid w:val="004E52D5"/>
    <w:rsid w:val="00512E70"/>
    <w:rsid w:val="00520EE4"/>
    <w:rsid w:val="00537751"/>
    <w:rsid w:val="00546F61"/>
    <w:rsid w:val="0059279B"/>
    <w:rsid w:val="00595E4C"/>
    <w:rsid w:val="005C2788"/>
    <w:rsid w:val="00603476"/>
    <w:rsid w:val="00612E9A"/>
    <w:rsid w:val="00626A66"/>
    <w:rsid w:val="00636839"/>
    <w:rsid w:val="00671E66"/>
    <w:rsid w:val="006742B7"/>
    <w:rsid w:val="00691E1E"/>
    <w:rsid w:val="006A5DBF"/>
    <w:rsid w:val="006D51BF"/>
    <w:rsid w:val="006E2D94"/>
    <w:rsid w:val="006F0C1A"/>
    <w:rsid w:val="0070195B"/>
    <w:rsid w:val="00714ACE"/>
    <w:rsid w:val="0071679B"/>
    <w:rsid w:val="007221FC"/>
    <w:rsid w:val="00740C00"/>
    <w:rsid w:val="007F0849"/>
    <w:rsid w:val="007F3FC2"/>
    <w:rsid w:val="008036B2"/>
    <w:rsid w:val="0080515F"/>
    <w:rsid w:val="00817304"/>
    <w:rsid w:val="00832F67"/>
    <w:rsid w:val="00837EF5"/>
    <w:rsid w:val="008518C5"/>
    <w:rsid w:val="00883362"/>
    <w:rsid w:val="008839CB"/>
    <w:rsid w:val="0089315F"/>
    <w:rsid w:val="008A30E2"/>
    <w:rsid w:val="008A5BDA"/>
    <w:rsid w:val="008D15A1"/>
    <w:rsid w:val="008E3785"/>
    <w:rsid w:val="008E770E"/>
    <w:rsid w:val="009237F1"/>
    <w:rsid w:val="009326DB"/>
    <w:rsid w:val="00936803"/>
    <w:rsid w:val="009520C9"/>
    <w:rsid w:val="00974A00"/>
    <w:rsid w:val="00995154"/>
    <w:rsid w:val="009A0E4B"/>
    <w:rsid w:val="009C063A"/>
    <w:rsid w:val="009D0644"/>
    <w:rsid w:val="009D2C2D"/>
    <w:rsid w:val="009F43D8"/>
    <w:rsid w:val="00A04850"/>
    <w:rsid w:val="00A1486B"/>
    <w:rsid w:val="00A33A5A"/>
    <w:rsid w:val="00A42CF7"/>
    <w:rsid w:val="00A51162"/>
    <w:rsid w:val="00A51982"/>
    <w:rsid w:val="00A81232"/>
    <w:rsid w:val="00AA7984"/>
    <w:rsid w:val="00AA7DE7"/>
    <w:rsid w:val="00AB0C87"/>
    <w:rsid w:val="00AB737D"/>
    <w:rsid w:val="00AD6469"/>
    <w:rsid w:val="00B233FC"/>
    <w:rsid w:val="00B30E64"/>
    <w:rsid w:val="00B50CA1"/>
    <w:rsid w:val="00B62215"/>
    <w:rsid w:val="00B731A8"/>
    <w:rsid w:val="00B852A1"/>
    <w:rsid w:val="00B9198A"/>
    <w:rsid w:val="00B9667C"/>
    <w:rsid w:val="00BA3A0F"/>
    <w:rsid w:val="00BC02C6"/>
    <w:rsid w:val="00BC1F6F"/>
    <w:rsid w:val="00BC60EC"/>
    <w:rsid w:val="00BD3AF1"/>
    <w:rsid w:val="00BE79EB"/>
    <w:rsid w:val="00C12C78"/>
    <w:rsid w:val="00C34FDE"/>
    <w:rsid w:val="00C41B0D"/>
    <w:rsid w:val="00C722A1"/>
    <w:rsid w:val="00C74609"/>
    <w:rsid w:val="00C91829"/>
    <w:rsid w:val="00CA03FF"/>
    <w:rsid w:val="00CA2230"/>
    <w:rsid w:val="00D23817"/>
    <w:rsid w:val="00D31C66"/>
    <w:rsid w:val="00D42EF4"/>
    <w:rsid w:val="00D64FCE"/>
    <w:rsid w:val="00D7088A"/>
    <w:rsid w:val="00D9314B"/>
    <w:rsid w:val="00DA2FF4"/>
    <w:rsid w:val="00DA736B"/>
    <w:rsid w:val="00DC67A3"/>
    <w:rsid w:val="00DC6E5E"/>
    <w:rsid w:val="00E138D4"/>
    <w:rsid w:val="00E27BBA"/>
    <w:rsid w:val="00E534BF"/>
    <w:rsid w:val="00E54122"/>
    <w:rsid w:val="00E615FE"/>
    <w:rsid w:val="00E90A0B"/>
    <w:rsid w:val="00E95C02"/>
    <w:rsid w:val="00EA0A81"/>
    <w:rsid w:val="00EB3D76"/>
    <w:rsid w:val="00EC46F0"/>
    <w:rsid w:val="00EC62BA"/>
    <w:rsid w:val="00EF1F8C"/>
    <w:rsid w:val="00EF441E"/>
    <w:rsid w:val="00F2093D"/>
    <w:rsid w:val="00F42EF7"/>
    <w:rsid w:val="00FB5A15"/>
    <w:rsid w:val="00FC2C0C"/>
    <w:rsid w:val="00FC5595"/>
    <w:rsid w:val="00FD03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3"/>
    <w:lsdException w:name="caption" w:uiPriority="2" w:qFormat="1"/>
    <w:lsdException w:name="page number" w:uiPriority="3"/>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qFormat="1"/>
    <w:lsdException w:name="No Spacing" w:semiHidden="0" w:uiPriority="3"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98A"/>
    <w:pPr>
      <w:jc w:val="both"/>
    </w:pPr>
    <w:rPr>
      <w:rFonts w:asciiTheme="minorHAnsi" w:hAnsiTheme="minorHAnsi"/>
      <w:sz w:val="22"/>
      <w:lang w:val="nl-BE"/>
    </w:rPr>
  </w:style>
  <w:style w:type="paragraph" w:styleId="Heading1">
    <w:name w:val="heading 1"/>
    <w:basedOn w:val="Normal"/>
    <w:next w:val="Normal"/>
    <w:link w:val="Heading1Char"/>
    <w:uiPriority w:val="1"/>
    <w:qFormat/>
    <w:rsid w:val="00B9198A"/>
    <w:pPr>
      <w:keepNext/>
      <w:spacing w:before="240" w:after="60"/>
      <w:outlineLvl w:val="0"/>
    </w:pPr>
    <w:rPr>
      <w:rFonts w:asciiTheme="majorHAnsi" w:eastAsiaTheme="majorEastAsia" w:hAnsiTheme="majorHAnsi" w:cs="Arial"/>
      <w:b/>
      <w:color w:val="34A3DC" w:themeColor="accent2"/>
      <w:kern w:val="28"/>
      <w:sz w:val="32"/>
    </w:rPr>
  </w:style>
  <w:style w:type="paragraph" w:styleId="Heading2">
    <w:name w:val="heading 2"/>
    <w:basedOn w:val="Normal"/>
    <w:next w:val="Normal"/>
    <w:link w:val="Heading2Char"/>
    <w:uiPriority w:val="1"/>
    <w:qFormat/>
    <w:rsid w:val="00B9198A"/>
    <w:pPr>
      <w:keepNext/>
      <w:spacing w:before="240" w:after="60"/>
      <w:outlineLvl w:val="1"/>
    </w:pPr>
    <w:rPr>
      <w:rFonts w:asciiTheme="majorHAnsi" w:eastAsiaTheme="majorEastAsia" w:hAnsiTheme="majorHAnsi" w:cs="Arial"/>
      <w:sz w:val="28"/>
    </w:rPr>
  </w:style>
  <w:style w:type="paragraph" w:styleId="Heading3">
    <w:name w:val="heading 3"/>
    <w:basedOn w:val="Normal"/>
    <w:next w:val="Normal"/>
    <w:link w:val="Heading3Char"/>
    <w:uiPriority w:val="1"/>
    <w:qFormat/>
    <w:rsid w:val="00B9198A"/>
    <w:pPr>
      <w:keepNext/>
      <w:spacing w:before="240" w:after="60"/>
      <w:outlineLvl w:val="2"/>
    </w:pPr>
    <w:rPr>
      <w:rFonts w:asciiTheme="majorHAnsi" w:eastAsiaTheme="majorEastAsia" w:hAnsiTheme="majorHAnsi" w:cs="Arial"/>
      <w:b/>
      <w:bCs/>
      <w:sz w:val="24"/>
    </w:rPr>
  </w:style>
  <w:style w:type="paragraph" w:styleId="Heading4">
    <w:name w:val="heading 4"/>
    <w:basedOn w:val="Normal"/>
    <w:next w:val="Normal"/>
    <w:link w:val="Heading4Char"/>
    <w:uiPriority w:val="1"/>
    <w:qFormat/>
    <w:rsid w:val="00B9198A"/>
    <w:pPr>
      <w:keepNext/>
      <w:spacing w:before="240" w:after="60"/>
      <w:outlineLvl w:val="3"/>
    </w:pPr>
    <w:rPr>
      <w:rFonts w:asciiTheme="majorHAnsi" w:hAnsiTheme="majorHAnsi"/>
      <w:b/>
      <w:bCs/>
      <w:szCs w:val="28"/>
    </w:rPr>
  </w:style>
  <w:style w:type="paragraph" w:styleId="Heading5">
    <w:name w:val="heading 5"/>
    <w:basedOn w:val="Normal"/>
    <w:next w:val="Normal"/>
    <w:link w:val="Heading5Char"/>
    <w:uiPriority w:val="1"/>
    <w:qFormat/>
    <w:rsid w:val="00B9198A"/>
    <w:pPr>
      <w:spacing w:before="240" w:after="60"/>
      <w:outlineLvl w:val="4"/>
    </w:pPr>
    <w:rPr>
      <w:rFonts w:asciiTheme="majorHAnsi" w:hAnsiTheme="majorHAnsi"/>
      <w:b/>
      <w:bCs/>
      <w:i/>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EC46F0"/>
    <w:rPr>
      <w:rFonts w:asciiTheme="minorHAnsi" w:hAnsiTheme="minorHAnsi"/>
      <w:sz w:val="22"/>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sz w:val="22"/>
      </w:rPr>
      <w:tblPr/>
      <w:tcPr>
        <w:shd w:val="clear" w:color="auto" w:fill="2A9BFF" w:themeFill="text2" w:themeFillTint="80"/>
      </w:tcPr>
    </w:tblStylePr>
  </w:style>
  <w:style w:type="paragraph" w:styleId="Header">
    <w:name w:val="header"/>
    <w:aliases w:val="voor voorblad"/>
    <w:basedOn w:val="Normal"/>
    <w:link w:val="HeaderChar"/>
    <w:uiPriority w:val="2"/>
    <w:rsid w:val="00B9198A"/>
    <w:pPr>
      <w:tabs>
        <w:tab w:val="center" w:pos="4819"/>
        <w:tab w:val="right" w:pos="9071"/>
      </w:tabs>
    </w:pPr>
    <w:rPr>
      <w:rFonts w:asciiTheme="majorHAnsi" w:hAnsiTheme="majorHAnsi"/>
    </w:rPr>
  </w:style>
  <w:style w:type="character" w:customStyle="1" w:styleId="HeaderChar">
    <w:name w:val="Header Char"/>
    <w:aliases w:val="voor voorblad Char"/>
    <w:basedOn w:val="DefaultParagraphFont"/>
    <w:link w:val="Header"/>
    <w:uiPriority w:val="2"/>
    <w:rsid w:val="00B9198A"/>
    <w:rPr>
      <w:rFonts w:asciiTheme="majorHAnsi" w:hAnsiTheme="majorHAnsi"/>
      <w:sz w:val="22"/>
      <w:lang w:val="nl-NL"/>
    </w:rPr>
  </w:style>
  <w:style w:type="paragraph" w:styleId="Footer">
    <w:name w:val="footer"/>
    <w:basedOn w:val="Normal"/>
    <w:link w:val="FooterChar"/>
    <w:uiPriority w:val="3"/>
    <w:rsid w:val="00B9198A"/>
    <w:pPr>
      <w:tabs>
        <w:tab w:val="center" w:pos="4320"/>
        <w:tab w:val="right" w:pos="8640"/>
      </w:tabs>
    </w:pPr>
    <w:rPr>
      <w:rFonts w:asciiTheme="majorHAnsi" w:hAnsiTheme="majorHAnsi"/>
    </w:rPr>
  </w:style>
  <w:style w:type="character" w:customStyle="1" w:styleId="FooterChar">
    <w:name w:val="Footer Char"/>
    <w:basedOn w:val="DefaultParagraphFont"/>
    <w:link w:val="Footer"/>
    <w:uiPriority w:val="3"/>
    <w:rsid w:val="00B9198A"/>
    <w:rPr>
      <w:rFonts w:asciiTheme="majorHAnsi" w:hAnsiTheme="majorHAnsi"/>
      <w:sz w:val="22"/>
      <w:lang w:val="nl-NL"/>
    </w:rPr>
  </w:style>
  <w:style w:type="paragraph" w:styleId="BalloonText">
    <w:name w:val="Balloon Text"/>
    <w:basedOn w:val="Normal"/>
    <w:link w:val="BalloonTextChar"/>
    <w:uiPriority w:val="99"/>
    <w:semiHidden/>
    <w:unhideWhenUsed/>
    <w:rsid w:val="00D31C66"/>
    <w:rPr>
      <w:rFonts w:ascii="Tahoma" w:hAnsi="Tahoma" w:cs="Tahoma"/>
      <w:sz w:val="16"/>
      <w:szCs w:val="16"/>
    </w:rPr>
  </w:style>
  <w:style w:type="character" w:customStyle="1" w:styleId="BalloonTextChar">
    <w:name w:val="Balloon Text Char"/>
    <w:basedOn w:val="DefaultParagraphFont"/>
    <w:link w:val="BalloonText"/>
    <w:uiPriority w:val="99"/>
    <w:semiHidden/>
    <w:rsid w:val="00D31C66"/>
    <w:rPr>
      <w:rFonts w:ascii="Tahoma" w:eastAsia="Times New Roman" w:hAnsi="Tahoma" w:cs="Tahoma"/>
      <w:sz w:val="16"/>
      <w:szCs w:val="16"/>
    </w:rPr>
  </w:style>
  <w:style w:type="character" w:styleId="PlaceholderText">
    <w:name w:val="Placeholder Text"/>
    <w:basedOn w:val="DefaultParagraphFont"/>
    <w:uiPriority w:val="99"/>
    <w:semiHidden/>
    <w:qFormat/>
    <w:rsid w:val="00B9198A"/>
    <w:rPr>
      <w:vanish/>
      <w:color w:val="96888C" w:themeColor="text1" w:themeTint="80"/>
    </w:rPr>
  </w:style>
  <w:style w:type="paragraph" w:customStyle="1" w:styleId="FaxSubheading">
    <w:name w:val="Fax Subheading"/>
    <w:basedOn w:val="Normal"/>
    <w:rsid w:val="00D31C66"/>
    <w:pPr>
      <w:framePr w:hSpace="180" w:wrap="around" w:vAnchor="text" w:hAnchor="text" w:y="55"/>
      <w:spacing w:after="200"/>
    </w:pPr>
    <w:rPr>
      <w:rFonts w:eastAsiaTheme="minorHAnsi" w:cstheme="minorBidi"/>
      <w:b/>
      <w:sz w:val="18"/>
      <w:szCs w:val="22"/>
      <w:lang w:val="nl-NL"/>
    </w:rPr>
  </w:style>
  <w:style w:type="paragraph" w:customStyle="1" w:styleId="FaxBodyText">
    <w:name w:val="Fax Body Text"/>
    <w:basedOn w:val="Normal"/>
    <w:rsid w:val="00D31C66"/>
    <w:pPr>
      <w:framePr w:hSpace="180" w:wrap="around" w:vAnchor="text" w:hAnchor="text" w:y="55"/>
    </w:pPr>
    <w:rPr>
      <w:rFonts w:eastAsiaTheme="minorHAnsi" w:cstheme="minorBidi"/>
      <w:sz w:val="18"/>
      <w:szCs w:val="22"/>
      <w:lang w:val="nl-NL"/>
    </w:rPr>
  </w:style>
  <w:style w:type="character" w:customStyle="1" w:styleId="Heading1Char">
    <w:name w:val="Heading 1 Char"/>
    <w:basedOn w:val="DefaultParagraphFont"/>
    <w:link w:val="Heading1"/>
    <w:uiPriority w:val="1"/>
    <w:rsid w:val="00B9198A"/>
    <w:rPr>
      <w:rFonts w:asciiTheme="majorHAnsi" w:eastAsiaTheme="majorEastAsia" w:hAnsiTheme="majorHAnsi" w:cs="Arial"/>
      <w:b/>
      <w:color w:val="34A3DC" w:themeColor="accent2"/>
      <w:kern w:val="28"/>
      <w:sz w:val="32"/>
      <w:lang w:val="nl-BE"/>
    </w:rPr>
  </w:style>
  <w:style w:type="character" w:customStyle="1" w:styleId="Heading2Char">
    <w:name w:val="Heading 2 Char"/>
    <w:basedOn w:val="DefaultParagraphFont"/>
    <w:link w:val="Heading2"/>
    <w:uiPriority w:val="1"/>
    <w:rsid w:val="00B9198A"/>
    <w:rPr>
      <w:rFonts w:asciiTheme="majorHAnsi" w:eastAsiaTheme="majorEastAsia" w:hAnsiTheme="majorHAnsi" w:cs="Arial"/>
      <w:sz w:val="28"/>
      <w:lang w:val="nl-BE"/>
    </w:rPr>
  </w:style>
  <w:style w:type="character" w:customStyle="1" w:styleId="Heading3Char">
    <w:name w:val="Heading 3 Char"/>
    <w:basedOn w:val="DefaultParagraphFont"/>
    <w:link w:val="Heading3"/>
    <w:uiPriority w:val="1"/>
    <w:rsid w:val="00B9198A"/>
    <w:rPr>
      <w:rFonts w:asciiTheme="majorHAnsi" w:eastAsiaTheme="majorEastAsia" w:hAnsiTheme="majorHAnsi" w:cs="Arial"/>
      <w:b/>
      <w:bCs/>
      <w:sz w:val="24"/>
      <w:lang w:val="nl-BE"/>
    </w:rPr>
  </w:style>
  <w:style w:type="character" w:customStyle="1" w:styleId="Heading4Char">
    <w:name w:val="Heading 4 Char"/>
    <w:basedOn w:val="DefaultParagraphFont"/>
    <w:link w:val="Heading4"/>
    <w:uiPriority w:val="1"/>
    <w:rsid w:val="00B9198A"/>
    <w:rPr>
      <w:rFonts w:asciiTheme="majorHAnsi" w:hAnsiTheme="majorHAnsi"/>
      <w:b/>
      <w:bCs/>
      <w:sz w:val="22"/>
      <w:szCs w:val="28"/>
      <w:lang w:val="nl-BE"/>
    </w:rPr>
  </w:style>
  <w:style w:type="character" w:customStyle="1" w:styleId="Heading5Char">
    <w:name w:val="Heading 5 Char"/>
    <w:basedOn w:val="DefaultParagraphFont"/>
    <w:link w:val="Heading5"/>
    <w:uiPriority w:val="1"/>
    <w:rsid w:val="00B9198A"/>
    <w:rPr>
      <w:rFonts w:asciiTheme="majorHAnsi" w:hAnsiTheme="majorHAnsi"/>
      <w:b/>
      <w:bCs/>
      <w:i/>
      <w:iCs/>
      <w:szCs w:val="26"/>
      <w:lang w:val="nl-BE"/>
    </w:rPr>
  </w:style>
  <w:style w:type="paragraph" w:styleId="Caption">
    <w:name w:val="caption"/>
    <w:basedOn w:val="Normal"/>
    <w:next w:val="Normal"/>
    <w:uiPriority w:val="2"/>
    <w:qFormat/>
    <w:rsid w:val="00A33A5A"/>
    <w:pPr>
      <w:spacing w:before="120" w:after="120"/>
      <w:jc w:val="center"/>
    </w:pPr>
    <w:rPr>
      <w:bCs/>
      <w:i/>
    </w:rPr>
  </w:style>
  <w:style w:type="paragraph" w:styleId="Subtitle">
    <w:name w:val="Subtitle"/>
    <w:basedOn w:val="Normal"/>
    <w:next w:val="Normal"/>
    <w:link w:val="SubtitleChar"/>
    <w:uiPriority w:val="11"/>
    <w:qFormat/>
    <w:rsid w:val="00B9198A"/>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B9198A"/>
    <w:rPr>
      <w:rFonts w:asciiTheme="majorHAnsi" w:eastAsiaTheme="majorEastAsia" w:hAnsiTheme="majorHAnsi" w:cstheme="majorBidi"/>
      <w:i/>
      <w:iCs/>
      <w:spacing w:val="15"/>
      <w:sz w:val="24"/>
      <w:szCs w:val="24"/>
      <w:lang w:val="nl-BE"/>
    </w:rPr>
  </w:style>
  <w:style w:type="character" w:styleId="Emphasis">
    <w:name w:val="Emphasis"/>
    <w:basedOn w:val="DefaultParagraphFont"/>
    <w:uiPriority w:val="20"/>
    <w:qFormat/>
    <w:rsid w:val="00B9198A"/>
    <w:rPr>
      <w:i/>
      <w:iCs/>
    </w:rPr>
  </w:style>
  <w:style w:type="paragraph" w:styleId="IntenseQuote">
    <w:name w:val="Intense Quote"/>
    <w:basedOn w:val="Normal"/>
    <w:next w:val="Normal"/>
    <w:link w:val="IntenseQuoteChar"/>
    <w:uiPriority w:val="30"/>
    <w:qFormat/>
    <w:rsid w:val="00B9198A"/>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sid w:val="00B9198A"/>
    <w:rPr>
      <w:rFonts w:asciiTheme="minorHAnsi" w:hAnsiTheme="minorHAnsi"/>
      <w:b/>
      <w:bCs/>
      <w:i/>
      <w:iCs/>
      <w:sz w:val="22"/>
      <w:lang w:val="nl-BE"/>
    </w:rPr>
  </w:style>
  <w:style w:type="character" w:styleId="IntenseEmphasis">
    <w:name w:val="Intense Emphasis"/>
    <w:basedOn w:val="DefaultParagraphFont"/>
    <w:uiPriority w:val="21"/>
    <w:qFormat/>
    <w:rsid w:val="00B9198A"/>
    <w:rPr>
      <w:b/>
      <w:bCs/>
      <w:i/>
      <w:iCs/>
      <w:color w:val="auto"/>
    </w:rPr>
  </w:style>
  <w:style w:type="character" w:styleId="SubtleReference">
    <w:name w:val="Subtle Reference"/>
    <w:basedOn w:val="DefaultParagraphFont"/>
    <w:uiPriority w:val="31"/>
    <w:qFormat/>
    <w:rsid w:val="00B9198A"/>
    <w:rPr>
      <w:smallCaps/>
      <w:color w:val="F58220" w:themeColor="accent1"/>
      <w:u w:val="single"/>
    </w:rPr>
  </w:style>
  <w:style w:type="character" w:styleId="IntenseReference">
    <w:name w:val="Intense Reference"/>
    <w:basedOn w:val="DefaultParagraphFont"/>
    <w:uiPriority w:val="32"/>
    <w:qFormat/>
    <w:rsid w:val="00B9198A"/>
    <w:rPr>
      <w:b/>
      <w:bCs/>
      <w:smallCaps/>
      <w:color w:val="F58220" w:themeColor="accent1"/>
      <w:spacing w:val="5"/>
      <w:u w:val="single"/>
    </w:rPr>
  </w:style>
  <w:style w:type="paragraph" w:styleId="TOCHeading">
    <w:name w:val="TOC Heading"/>
    <w:basedOn w:val="Heading1"/>
    <w:next w:val="Normal"/>
    <w:uiPriority w:val="39"/>
    <w:semiHidden/>
    <w:unhideWhenUsed/>
    <w:qFormat/>
    <w:rsid w:val="00B9198A"/>
    <w:pPr>
      <w:keepLines/>
      <w:spacing w:before="480" w:after="0"/>
      <w:outlineLvl w:val="9"/>
    </w:pPr>
    <w:rPr>
      <w:rFonts w:cstheme="majorBidi"/>
      <w:bCs/>
      <w:color w:val="0066C0" w:themeColor="text2" w:themeTint="BF"/>
      <w:kern w:val="0"/>
      <w:sz w:val="28"/>
      <w:szCs w:val="28"/>
    </w:rPr>
  </w:style>
  <w:style w:type="paragraph" w:customStyle="1" w:styleId="TitelInvitation">
    <w:name w:val="Titel Invitation"/>
    <w:basedOn w:val="Normal"/>
    <w:uiPriority w:val="1"/>
    <w:qFormat/>
    <w:rsid w:val="00B9198A"/>
    <w:pPr>
      <w:spacing w:after="960"/>
      <w:jc w:val="left"/>
    </w:pPr>
    <w:rPr>
      <w:rFonts w:asciiTheme="majorHAnsi" w:hAnsiTheme="majorHAnsi"/>
      <w:b/>
      <w:sz w:val="48"/>
    </w:rPr>
  </w:style>
  <w:style w:type="paragraph" w:customStyle="1" w:styleId="NormalInvitationtext">
    <w:name w:val="Normal Invitationtext"/>
    <w:basedOn w:val="Normal"/>
    <w:link w:val="NormalInvitationtextChar"/>
    <w:uiPriority w:val="1"/>
    <w:qFormat/>
    <w:rsid w:val="00B9198A"/>
    <w:pPr>
      <w:tabs>
        <w:tab w:val="left" w:pos="900"/>
      </w:tabs>
      <w:jc w:val="left"/>
    </w:pPr>
    <w:rPr>
      <w:sz w:val="18"/>
    </w:rPr>
  </w:style>
  <w:style w:type="character" w:customStyle="1" w:styleId="NormalInvitationtextChar">
    <w:name w:val="Normal Invitationtext Char"/>
    <w:basedOn w:val="DefaultParagraphFont"/>
    <w:link w:val="NormalInvitationtext"/>
    <w:uiPriority w:val="1"/>
    <w:rsid w:val="00B9198A"/>
    <w:rPr>
      <w:rFonts w:asciiTheme="minorHAnsi" w:hAnsiTheme="minorHAnsi"/>
      <w:sz w:val="18"/>
      <w:lang w:val="nl-BE"/>
    </w:rPr>
  </w:style>
  <w:style w:type="paragraph" w:styleId="TOC1">
    <w:name w:val="toc 1"/>
    <w:basedOn w:val="Normal"/>
    <w:next w:val="Normal"/>
    <w:autoRedefine/>
    <w:uiPriority w:val="39"/>
    <w:rsid w:val="00B9198A"/>
    <w:pPr>
      <w:tabs>
        <w:tab w:val="right" w:leader="underscore" w:pos="8891"/>
      </w:tabs>
      <w:spacing w:before="240" w:after="120"/>
      <w:jc w:val="left"/>
    </w:pPr>
    <w:rPr>
      <w:b/>
      <w:bCs/>
    </w:rPr>
  </w:style>
  <w:style w:type="paragraph" w:styleId="TOC2">
    <w:name w:val="toc 2"/>
    <w:basedOn w:val="Normal"/>
    <w:next w:val="Normal"/>
    <w:autoRedefine/>
    <w:uiPriority w:val="39"/>
    <w:rsid w:val="00B9198A"/>
    <w:pPr>
      <w:tabs>
        <w:tab w:val="right" w:pos="8891"/>
      </w:tabs>
      <w:spacing w:before="120"/>
      <w:ind w:left="220"/>
      <w:jc w:val="left"/>
    </w:pPr>
    <w:rPr>
      <w:i/>
      <w:iCs/>
    </w:rPr>
  </w:style>
  <w:style w:type="paragraph" w:styleId="TOC3">
    <w:name w:val="toc 3"/>
    <w:basedOn w:val="Normal"/>
    <w:next w:val="Normal"/>
    <w:autoRedefine/>
    <w:uiPriority w:val="39"/>
    <w:rsid w:val="00B9198A"/>
    <w:pPr>
      <w:tabs>
        <w:tab w:val="right" w:leader="underscore" w:pos="8891"/>
      </w:tabs>
      <w:ind w:left="440"/>
      <w:jc w:val="left"/>
    </w:pPr>
  </w:style>
  <w:style w:type="character" w:styleId="PageNumber">
    <w:name w:val="page number"/>
    <w:basedOn w:val="DefaultParagraphFont"/>
    <w:uiPriority w:val="3"/>
    <w:rsid w:val="00B9198A"/>
    <w:rPr>
      <w:rFonts w:asciiTheme="minorHAnsi" w:hAnsiTheme="minorHAnsi"/>
      <w:color w:val="auto"/>
      <w:sz w:val="20"/>
      <w:szCs w:val="20"/>
    </w:rPr>
  </w:style>
  <w:style w:type="paragraph" w:customStyle="1" w:styleId="SubtitelRapport">
    <w:name w:val="Subtitel Rapport"/>
    <w:basedOn w:val="Normal"/>
    <w:uiPriority w:val="2"/>
    <w:rsid w:val="00B9198A"/>
    <w:pPr>
      <w:jc w:val="center"/>
    </w:pPr>
    <w:rPr>
      <w:rFonts w:asciiTheme="majorHAnsi" w:hAnsiTheme="majorHAnsi"/>
      <w:b/>
      <w:bCs/>
      <w:smallCaps/>
      <w:sz w:val="28"/>
      <w:szCs w:val="28"/>
    </w:rPr>
  </w:style>
  <w:style w:type="paragraph" w:customStyle="1" w:styleId="opsommingen">
    <w:name w:val="opsommingen"/>
    <w:basedOn w:val="Normal"/>
    <w:uiPriority w:val="3"/>
    <w:rsid w:val="00B9198A"/>
    <w:pPr>
      <w:tabs>
        <w:tab w:val="num" w:pos="720"/>
      </w:tabs>
      <w:ind w:left="720" w:hanging="360"/>
    </w:pPr>
  </w:style>
  <w:style w:type="paragraph" w:customStyle="1" w:styleId="Hoofdingzdrnummer">
    <w:name w:val="Hoofding zdr nummer"/>
    <w:basedOn w:val="Normal"/>
    <w:next w:val="Normal"/>
    <w:link w:val="HoofdingzdrnummerChar"/>
    <w:uiPriority w:val="2"/>
    <w:rsid w:val="00B9198A"/>
    <w:pPr>
      <w:pageBreakBefore/>
      <w:spacing w:after="480"/>
      <w:jc w:val="left"/>
    </w:pPr>
    <w:rPr>
      <w:rFonts w:asciiTheme="majorHAnsi" w:eastAsiaTheme="majorEastAsia" w:hAnsiTheme="majorHAnsi" w:cs="Arial"/>
      <w:b/>
      <w:caps/>
      <w:smallCaps/>
      <w:color w:val="34A3DC" w:themeColor="accent2"/>
      <w:sz w:val="26"/>
      <w:szCs w:val="26"/>
    </w:rPr>
  </w:style>
  <w:style w:type="character" w:customStyle="1" w:styleId="HoofdingzdrnummerChar">
    <w:name w:val="Hoofding zdr nummer Char"/>
    <w:basedOn w:val="Heading1Char"/>
    <w:link w:val="Hoofdingzdrnummer"/>
    <w:uiPriority w:val="2"/>
    <w:rsid w:val="00B9198A"/>
    <w:rPr>
      <w:rFonts w:asciiTheme="majorHAnsi" w:eastAsiaTheme="majorEastAsia" w:hAnsiTheme="majorHAnsi" w:cs="Arial"/>
      <w:b/>
      <w:smallCaps/>
      <w:color w:val="34A3DC" w:themeColor="accent2"/>
      <w:kern w:val="28"/>
      <w:sz w:val="32"/>
      <w:szCs w:val="26"/>
      <w:lang w:val="nl-BE"/>
    </w:rPr>
  </w:style>
  <w:style w:type="paragraph" w:customStyle="1" w:styleId="Sourcetable">
    <w:name w:val="Source table"/>
    <w:basedOn w:val="Normal"/>
    <w:next w:val="Normal"/>
    <w:autoRedefine/>
    <w:uiPriority w:val="3"/>
    <w:rsid w:val="00B9198A"/>
    <w:pPr>
      <w:spacing w:before="120" w:after="240"/>
    </w:pPr>
    <w:rPr>
      <w:i/>
      <w:sz w:val="16"/>
      <w:szCs w:val="16"/>
    </w:rPr>
  </w:style>
  <w:style w:type="paragraph" w:customStyle="1" w:styleId="Hoofdingzdrnummer-lit-begrip-annex">
    <w:name w:val="Hoofding zdr nummer-lit-begrip-annex"/>
    <w:basedOn w:val="Hoofdingzdrnummer"/>
    <w:next w:val="Normal"/>
    <w:uiPriority w:val="2"/>
    <w:rsid w:val="00B9198A"/>
    <w:rPr>
      <w:caps w:val="0"/>
      <w:sz w:val="24"/>
      <w:szCs w:val="24"/>
      <w:lang w:val="en-US"/>
    </w:rPr>
  </w:style>
  <w:style w:type="paragraph" w:customStyle="1" w:styleId="TITELRAPPORT">
    <w:name w:val="TITEL RAPPORT"/>
    <w:basedOn w:val="Normal"/>
    <w:uiPriority w:val="1"/>
    <w:rsid w:val="00B9198A"/>
    <w:pPr>
      <w:spacing w:line="520" w:lineRule="exact"/>
      <w:jc w:val="left"/>
    </w:pPr>
    <w:rPr>
      <w:rFonts w:asciiTheme="majorHAnsi" w:hAnsiTheme="majorHAnsi"/>
      <w:b/>
      <w:color w:val="34A3DC" w:themeColor="accent2"/>
      <w:sz w:val="44"/>
      <w:szCs w:val="44"/>
      <w:lang w:val="en-US"/>
    </w:rPr>
  </w:style>
  <w:style w:type="paragraph" w:customStyle="1" w:styleId="Disclaimer">
    <w:name w:val="Disclaimer"/>
    <w:basedOn w:val="Normal"/>
    <w:link w:val="DisclaimerChar"/>
    <w:uiPriority w:val="2"/>
    <w:rsid w:val="00B9198A"/>
    <w:pPr>
      <w:ind w:left="357"/>
    </w:pPr>
    <w:rPr>
      <w:rFonts w:ascii="Calibri" w:hAnsi="Calibri"/>
      <w:sz w:val="14"/>
      <w:lang w:val="en-US"/>
    </w:rPr>
  </w:style>
  <w:style w:type="character" w:customStyle="1" w:styleId="DisclaimerChar">
    <w:name w:val="Disclaimer Char"/>
    <w:basedOn w:val="DefaultParagraphFont"/>
    <w:link w:val="Disclaimer"/>
    <w:uiPriority w:val="2"/>
    <w:rsid w:val="00B9198A"/>
    <w:rPr>
      <w:rFonts w:ascii="Calibri" w:hAnsi="Calibri"/>
      <w:sz w:val="14"/>
    </w:rPr>
  </w:style>
  <w:style w:type="table" w:styleId="MediumShading1-Accent2">
    <w:name w:val="Medium Shading 1 Accent 2"/>
    <w:basedOn w:val="TableNormal"/>
    <w:uiPriority w:val="63"/>
    <w:rsid w:val="00A33A5A"/>
    <w:tblPr>
      <w:tblStyleRowBandSize w:val="1"/>
      <w:tblStyleColBandSize w:val="1"/>
      <w:tblBorders>
        <w:top w:val="single" w:sz="8" w:space="0" w:color="66B9E4" w:themeColor="accent2" w:themeTint="BF"/>
        <w:left w:val="single" w:sz="8" w:space="0" w:color="66B9E4" w:themeColor="accent2" w:themeTint="BF"/>
        <w:bottom w:val="single" w:sz="8" w:space="0" w:color="66B9E4" w:themeColor="accent2" w:themeTint="BF"/>
        <w:right w:val="single" w:sz="8" w:space="0" w:color="66B9E4" w:themeColor="accent2" w:themeTint="BF"/>
        <w:insideH w:val="single" w:sz="8" w:space="0" w:color="66B9E4" w:themeColor="accent2" w:themeTint="BF"/>
      </w:tblBorders>
    </w:tblPr>
    <w:tblStylePr w:type="firstRow">
      <w:pPr>
        <w:spacing w:before="0" w:after="0" w:line="240" w:lineRule="auto"/>
      </w:pPr>
      <w:rPr>
        <w:b/>
        <w:bCs/>
        <w:color w:val="FFFFFF" w:themeColor="background1"/>
      </w:rPr>
      <w:tblPr/>
      <w:tcPr>
        <w:tcBorders>
          <w:top w:val="single" w:sz="8" w:space="0" w:color="66B9E4" w:themeColor="accent2" w:themeTint="BF"/>
          <w:left w:val="single" w:sz="8" w:space="0" w:color="66B9E4" w:themeColor="accent2" w:themeTint="BF"/>
          <w:bottom w:val="single" w:sz="8" w:space="0" w:color="66B9E4" w:themeColor="accent2" w:themeTint="BF"/>
          <w:right w:val="single" w:sz="8" w:space="0" w:color="66B9E4" w:themeColor="accent2" w:themeTint="BF"/>
          <w:insideH w:val="nil"/>
          <w:insideV w:val="nil"/>
        </w:tcBorders>
        <w:shd w:val="clear" w:color="auto" w:fill="34A3DC" w:themeFill="accent2"/>
      </w:tcPr>
    </w:tblStylePr>
    <w:tblStylePr w:type="lastRow">
      <w:pPr>
        <w:spacing w:before="0" w:after="0" w:line="240" w:lineRule="auto"/>
      </w:pPr>
      <w:rPr>
        <w:b/>
        <w:bCs/>
      </w:rPr>
      <w:tblPr/>
      <w:tcPr>
        <w:tcBorders>
          <w:top w:val="double" w:sz="6" w:space="0" w:color="66B9E4" w:themeColor="accent2" w:themeTint="BF"/>
          <w:left w:val="single" w:sz="8" w:space="0" w:color="66B9E4" w:themeColor="accent2" w:themeTint="BF"/>
          <w:bottom w:val="single" w:sz="8" w:space="0" w:color="66B9E4" w:themeColor="accent2" w:themeTint="BF"/>
          <w:right w:val="single" w:sz="8" w:space="0" w:color="66B9E4"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8F6" w:themeFill="accent2" w:themeFillTint="3F"/>
      </w:tcPr>
    </w:tblStylePr>
    <w:tblStylePr w:type="band1Horz">
      <w:tblPr/>
      <w:tcPr>
        <w:tcBorders>
          <w:insideH w:val="nil"/>
          <w:insideV w:val="nil"/>
        </w:tcBorders>
        <w:shd w:val="clear" w:color="auto" w:fill="CCE8F6" w:themeFill="accent2" w:themeFillTint="3F"/>
      </w:tcPr>
    </w:tblStylePr>
    <w:tblStylePr w:type="band2Horz">
      <w:tblPr/>
      <w:tcPr>
        <w:tcBorders>
          <w:insideH w:val="nil"/>
          <w:insideV w:val="nil"/>
        </w:tcBorders>
      </w:tcPr>
    </w:tblStylePr>
  </w:style>
  <w:style w:type="paragraph" w:styleId="EndnoteText">
    <w:name w:val="endnote text"/>
    <w:basedOn w:val="Normal"/>
    <w:link w:val="EndnoteTextChar"/>
    <w:uiPriority w:val="99"/>
    <w:semiHidden/>
    <w:unhideWhenUsed/>
    <w:rsid w:val="00626A66"/>
    <w:rPr>
      <w:sz w:val="20"/>
    </w:rPr>
  </w:style>
  <w:style w:type="character" w:customStyle="1" w:styleId="EndnoteTextChar">
    <w:name w:val="Endnote Text Char"/>
    <w:basedOn w:val="DefaultParagraphFont"/>
    <w:link w:val="EndnoteText"/>
    <w:uiPriority w:val="99"/>
    <w:semiHidden/>
    <w:rsid w:val="00626A66"/>
    <w:rPr>
      <w:rFonts w:asciiTheme="minorHAnsi" w:hAnsiTheme="minorHAnsi"/>
      <w:lang w:val="nl-BE"/>
    </w:rPr>
  </w:style>
  <w:style w:type="character" w:styleId="EndnoteReference">
    <w:name w:val="endnote reference"/>
    <w:basedOn w:val="DefaultParagraphFont"/>
    <w:uiPriority w:val="99"/>
    <w:semiHidden/>
    <w:unhideWhenUsed/>
    <w:rsid w:val="00626A66"/>
    <w:rPr>
      <w:vertAlign w:val="superscript"/>
    </w:rPr>
  </w:style>
  <w:style w:type="character" w:styleId="Hyperlink">
    <w:name w:val="Hyperlink"/>
    <w:basedOn w:val="DefaultParagraphFont"/>
    <w:uiPriority w:val="99"/>
    <w:unhideWhenUsed/>
    <w:rsid w:val="00537751"/>
    <w:rPr>
      <w:color w:val="0000FF" w:themeColor="hyperlink"/>
      <w:u w:val="single"/>
    </w:rPr>
  </w:style>
  <w:style w:type="paragraph" w:styleId="ListParagraph">
    <w:name w:val="List Paragraph"/>
    <w:basedOn w:val="Normal"/>
    <w:uiPriority w:val="34"/>
    <w:qFormat/>
    <w:rsid w:val="000B2D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3"/>
    <w:lsdException w:name="caption" w:uiPriority="2" w:qFormat="1"/>
    <w:lsdException w:name="page number" w:uiPriority="3"/>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qFormat="1"/>
    <w:lsdException w:name="No Spacing" w:semiHidden="0" w:uiPriority="3"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98A"/>
    <w:pPr>
      <w:jc w:val="both"/>
    </w:pPr>
    <w:rPr>
      <w:rFonts w:asciiTheme="minorHAnsi" w:hAnsiTheme="minorHAnsi"/>
      <w:sz w:val="22"/>
      <w:lang w:val="nl-BE"/>
    </w:rPr>
  </w:style>
  <w:style w:type="paragraph" w:styleId="Heading1">
    <w:name w:val="heading 1"/>
    <w:basedOn w:val="Normal"/>
    <w:next w:val="Normal"/>
    <w:link w:val="Heading1Char"/>
    <w:uiPriority w:val="1"/>
    <w:qFormat/>
    <w:rsid w:val="00B9198A"/>
    <w:pPr>
      <w:keepNext/>
      <w:spacing w:before="240" w:after="60"/>
      <w:outlineLvl w:val="0"/>
    </w:pPr>
    <w:rPr>
      <w:rFonts w:asciiTheme="majorHAnsi" w:eastAsiaTheme="majorEastAsia" w:hAnsiTheme="majorHAnsi" w:cs="Arial"/>
      <w:b/>
      <w:color w:val="34A3DC" w:themeColor="accent2"/>
      <w:kern w:val="28"/>
      <w:sz w:val="32"/>
    </w:rPr>
  </w:style>
  <w:style w:type="paragraph" w:styleId="Heading2">
    <w:name w:val="heading 2"/>
    <w:basedOn w:val="Normal"/>
    <w:next w:val="Normal"/>
    <w:link w:val="Heading2Char"/>
    <w:uiPriority w:val="1"/>
    <w:qFormat/>
    <w:rsid w:val="00B9198A"/>
    <w:pPr>
      <w:keepNext/>
      <w:spacing w:before="240" w:after="60"/>
      <w:outlineLvl w:val="1"/>
    </w:pPr>
    <w:rPr>
      <w:rFonts w:asciiTheme="majorHAnsi" w:eastAsiaTheme="majorEastAsia" w:hAnsiTheme="majorHAnsi" w:cs="Arial"/>
      <w:sz w:val="28"/>
    </w:rPr>
  </w:style>
  <w:style w:type="paragraph" w:styleId="Heading3">
    <w:name w:val="heading 3"/>
    <w:basedOn w:val="Normal"/>
    <w:next w:val="Normal"/>
    <w:link w:val="Heading3Char"/>
    <w:uiPriority w:val="1"/>
    <w:qFormat/>
    <w:rsid w:val="00B9198A"/>
    <w:pPr>
      <w:keepNext/>
      <w:spacing w:before="240" w:after="60"/>
      <w:outlineLvl w:val="2"/>
    </w:pPr>
    <w:rPr>
      <w:rFonts w:asciiTheme="majorHAnsi" w:eastAsiaTheme="majorEastAsia" w:hAnsiTheme="majorHAnsi" w:cs="Arial"/>
      <w:b/>
      <w:bCs/>
      <w:sz w:val="24"/>
    </w:rPr>
  </w:style>
  <w:style w:type="paragraph" w:styleId="Heading4">
    <w:name w:val="heading 4"/>
    <w:basedOn w:val="Normal"/>
    <w:next w:val="Normal"/>
    <w:link w:val="Heading4Char"/>
    <w:uiPriority w:val="1"/>
    <w:qFormat/>
    <w:rsid w:val="00B9198A"/>
    <w:pPr>
      <w:keepNext/>
      <w:spacing w:before="240" w:after="60"/>
      <w:outlineLvl w:val="3"/>
    </w:pPr>
    <w:rPr>
      <w:rFonts w:asciiTheme="majorHAnsi" w:hAnsiTheme="majorHAnsi"/>
      <w:b/>
      <w:bCs/>
      <w:szCs w:val="28"/>
    </w:rPr>
  </w:style>
  <w:style w:type="paragraph" w:styleId="Heading5">
    <w:name w:val="heading 5"/>
    <w:basedOn w:val="Normal"/>
    <w:next w:val="Normal"/>
    <w:link w:val="Heading5Char"/>
    <w:uiPriority w:val="1"/>
    <w:qFormat/>
    <w:rsid w:val="00B9198A"/>
    <w:pPr>
      <w:spacing w:before="240" w:after="60"/>
      <w:outlineLvl w:val="4"/>
    </w:pPr>
    <w:rPr>
      <w:rFonts w:asciiTheme="majorHAnsi" w:hAnsiTheme="majorHAnsi"/>
      <w:b/>
      <w:bCs/>
      <w:i/>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EC46F0"/>
    <w:rPr>
      <w:rFonts w:asciiTheme="minorHAnsi" w:hAnsiTheme="minorHAnsi"/>
      <w:sz w:val="22"/>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sz w:val="22"/>
      </w:rPr>
      <w:tblPr/>
      <w:tcPr>
        <w:shd w:val="clear" w:color="auto" w:fill="2A9BFF" w:themeFill="text2" w:themeFillTint="80"/>
      </w:tcPr>
    </w:tblStylePr>
  </w:style>
  <w:style w:type="paragraph" w:styleId="Header">
    <w:name w:val="header"/>
    <w:aliases w:val="voor voorblad"/>
    <w:basedOn w:val="Normal"/>
    <w:link w:val="HeaderChar"/>
    <w:uiPriority w:val="2"/>
    <w:rsid w:val="00B9198A"/>
    <w:pPr>
      <w:tabs>
        <w:tab w:val="center" w:pos="4819"/>
        <w:tab w:val="right" w:pos="9071"/>
      </w:tabs>
    </w:pPr>
    <w:rPr>
      <w:rFonts w:asciiTheme="majorHAnsi" w:hAnsiTheme="majorHAnsi"/>
    </w:rPr>
  </w:style>
  <w:style w:type="character" w:customStyle="1" w:styleId="HeaderChar">
    <w:name w:val="Header Char"/>
    <w:aliases w:val="voor voorblad Char"/>
    <w:basedOn w:val="DefaultParagraphFont"/>
    <w:link w:val="Header"/>
    <w:uiPriority w:val="2"/>
    <w:rsid w:val="00B9198A"/>
    <w:rPr>
      <w:rFonts w:asciiTheme="majorHAnsi" w:hAnsiTheme="majorHAnsi"/>
      <w:sz w:val="22"/>
      <w:lang w:val="nl-NL"/>
    </w:rPr>
  </w:style>
  <w:style w:type="paragraph" w:styleId="Footer">
    <w:name w:val="footer"/>
    <w:basedOn w:val="Normal"/>
    <w:link w:val="FooterChar"/>
    <w:uiPriority w:val="3"/>
    <w:rsid w:val="00B9198A"/>
    <w:pPr>
      <w:tabs>
        <w:tab w:val="center" w:pos="4320"/>
        <w:tab w:val="right" w:pos="8640"/>
      </w:tabs>
    </w:pPr>
    <w:rPr>
      <w:rFonts w:asciiTheme="majorHAnsi" w:hAnsiTheme="majorHAnsi"/>
    </w:rPr>
  </w:style>
  <w:style w:type="character" w:customStyle="1" w:styleId="FooterChar">
    <w:name w:val="Footer Char"/>
    <w:basedOn w:val="DefaultParagraphFont"/>
    <w:link w:val="Footer"/>
    <w:uiPriority w:val="3"/>
    <w:rsid w:val="00B9198A"/>
    <w:rPr>
      <w:rFonts w:asciiTheme="majorHAnsi" w:hAnsiTheme="majorHAnsi"/>
      <w:sz w:val="22"/>
      <w:lang w:val="nl-NL"/>
    </w:rPr>
  </w:style>
  <w:style w:type="paragraph" w:styleId="BalloonText">
    <w:name w:val="Balloon Text"/>
    <w:basedOn w:val="Normal"/>
    <w:link w:val="BalloonTextChar"/>
    <w:uiPriority w:val="99"/>
    <w:semiHidden/>
    <w:unhideWhenUsed/>
    <w:rsid w:val="00D31C66"/>
    <w:rPr>
      <w:rFonts w:ascii="Tahoma" w:hAnsi="Tahoma" w:cs="Tahoma"/>
      <w:sz w:val="16"/>
      <w:szCs w:val="16"/>
    </w:rPr>
  </w:style>
  <w:style w:type="character" w:customStyle="1" w:styleId="BalloonTextChar">
    <w:name w:val="Balloon Text Char"/>
    <w:basedOn w:val="DefaultParagraphFont"/>
    <w:link w:val="BalloonText"/>
    <w:uiPriority w:val="99"/>
    <w:semiHidden/>
    <w:rsid w:val="00D31C66"/>
    <w:rPr>
      <w:rFonts w:ascii="Tahoma" w:eastAsia="Times New Roman" w:hAnsi="Tahoma" w:cs="Tahoma"/>
      <w:sz w:val="16"/>
      <w:szCs w:val="16"/>
    </w:rPr>
  </w:style>
  <w:style w:type="character" w:styleId="PlaceholderText">
    <w:name w:val="Placeholder Text"/>
    <w:basedOn w:val="DefaultParagraphFont"/>
    <w:uiPriority w:val="99"/>
    <w:semiHidden/>
    <w:qFormat/>
    <w:rsid w:val="00B9198A"/>
    <w:rPr>
      <w:vanish/>
      <w:color w:val="96888C" w:themeColor="text1" w:themeTint="80"/>
    </w:rPr>
  </w:style>
  <w:style w:type="paragraph" w:customStyle="1" w:styleId="FaxSubheading">
    <w:name w:val="Fax Subheading"/>
    <w:basedOn w:val="Normal"/>
    <w:rsid w:val="00D31C66"/>
    <w:pPr>
      <w:framePr w:hSpace="180" w:wrap="around" w:vAnchor="text" w:hAnchor="text" w:y="55"/>
      <w:spacing w:after="200"/>
    </w:pPr>
    <w:rPr>
      <w:rFonts w:eastAsiaTheme="minorHAnsi" w:cstheme="minorBidi"/>
      <w:b/>
      <w:sz w:val="18"/>
      <w:szCs w:val="22"/>
      <w:lang w:val="nl-NL"/>
    </w:rPr>
  </w:style>
  <w:style w:type="paragraph" w:customStyle="1" w:styleId="FaxBodyText">
    <w:name w:val="Fax Body Text"/>
    <w:basedOn w:val="Normal"/>
    <w:rsid w:val="00D31C66"/>
    <w:pPr>
      <w:framePr w:hSpace="180" w:wrap="around" w:vAnchor="text" w:hAnchor="text" w:y="55"/>
    </w:pPr>
    <w:rPr>
      <w:rFonts w:eastAsiaTheme="minorHAnsi" w:cstheme="minorBidi"/>
      <w:sz w:val="18"/>
      <w:szCs w:val="22"/>
      <w:lang w:val="nl-NL"/>
    </w:rPr>
  </w:style>
  <w:style w:type="character" w:customStyle="1" w:styleId="Heading1Char">
    <w:name w:val="Heading 1 Char"/>
    <w:basedOn w:val="DefaultParagraphFont"/>
    <w:link w:val="Heading1"/>
    <w:uiPriority w:val="1"/>
    <w:rsid w:val="00B9198A"/>
    <w:rPr>
      <w:rFonts w:asciiTheme="majorHAnsi" w:eastAsiaTheme="majorEastAsia" w:hAnsiTheme="majorHAnsi" w:cs="Arial"/>
      <w:b/>
      <w:color w:val="34A3DC" w:themeColor="accent2"/>
      <w:kern w:val="28"/>
      <w:sz w:val="32"/>
      <w:lang w:val="nl-BE"/>
    </w:rPr>
  </w:style>
  <w:style w:type="character" w:customStyle="1" w:styleId="Heading2Char">
    <w:name w:val="Heading 2 Char"/>
    <w:basedOn w:val="DefaultParagraphFont"/>
    <w:link w:val="Heading2"/>
    <w:uiPriority w:val="1"/>
    <w:rsid w:val="00B9198A"/>
    <w:rPr>
      <w:rFonts w:asciiTheme="majorHAnsi" w:eastAsiaTheme="majorEastAsia" w:hAnsiTheme="majorHAnsi" w:cs="Arial"/>
      <w:sz w:val="28"/>
      <w:lang w:val="nl-BE"/>
    </w:rPr>
  </w:style>
  <w:style w:type="character" w:customStyle="1" w:styleId="Heading3Char">
    <w:name w:val="Heading 3 Char"/>
    <w:basedOn w:val="DefaultParagraphFont"/>
    <w:link w:val="Heading3"/>
    <w:uiPriority w:val="1"/>
    <w:rsid w:val="00B9198A"/>
    <w:rPr>
      <w:rFonts w:asciiTheme="majorHAnsi" w:eastAsiaTheme="majorEastAsia" w:hAnsiTheme="majorHAnsi" w:cs="Arial"/>
      <w:b/>
      <w:bCs/>
      <w:sz w:val="24"/>
      <w:lang w:val="nl-BE"/>
    </w:rPr>
  </w:style>
  <w:style w:type="character" w:customStyle="1" w:styleId="Heading4Char">
    <w:name w:val="Heading 4 Char"/>
    <w:basedOn w:val="DefaultParagraphFont"/>
    <w:link w:val="Heading4"/>
    <w:uiPriority w:val="1"/>
    <w:rsid w:val="00B9198A"/>
    <w:rPr>
      <w:rFonts w:asciiTheme="majorHAnsi" w:hAnsiTheme="majorHAnsi"/>
      <w:b/>
      <w:bCs/>
      <w:sz w:val="22"/>
      <w:szCs w:val="28"/>
      <w:lang w:val="nl-BE"/>
    </w:rPr>
  </w:style>
  <w:style w:type="character" w:customStyle="1" w:styleId="Heading5Char">
    <w:name w:val="Heading 5 Char"/>
    <w:basedOn w:val="DefaultParagraphFont"/>
    <w:link w:val="Heading5"/>
    <w:uiPriority w:val="1"/>
    <w:rsid w:val="00B9198A"/>
    <w:rPr>
      <w:rFonts w:asciiTheme="majorHAnsi" w:hAnsiTheme="majorHAnsi"/>
      <w:b/>
      <w:bCs/>
      <w:i/>
      <w:iCs/>
      <w:szCs w:val="26"/>
      <w:lang w:val="nl-BE"/>
    </w:rPr>
  </w:style>
  <w:style w:type="paragraph" w:styleId="Caption">
    <w:name w:val="caption"/>
    <w:basedOn w:val="Normal"/>
    <w:next w:val="Normal"/>
    <w:uiPriority w:val="2"/>
    <w:qFormat/>
    <w:rsid w:val="00A33A5A"/>
    <w:pPr>
      <w:spacing w:before="120" w:after="120"/>
      <w:jc w:val="center"/>
    </w:pPr>
    <w:rPr>
      <w:bCs/>
      <w:i/>
    </w:rPr>
  </w:style>
  <w:style w:type="paragraph" w:styleId="Subtitle">
    <w:name w:val="Subtitle"/>
    <w:basedOn w:val="Normal"/>
    <w:next w:val="Normal"/>
    <w:link w:val="SubtitleChar"/>
    <w:uiPriority w:val="11"/>
    <w:qFormat/>
    <w:rsid w:val="00B9198A"/>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B9198A"/>
    <w:rPr>
      <w:rFonts w:asciiTheme="majorHAnsi" w:eastAsiaTheme="majorEastAsia" w:hAnsiTheme="majorHAnsi" w:cstheme="majorBidi"/>
      <w:i/>
      <w:iCs/>
      <w:spacing w:val="15"/>
      <w:sz w:val="24"/>
      <w:szCs w:val="24"/>
      <w:lang w:val="nl-BE"/>
    </w:rPr>
  </w:style>
  <w:style w:type="character" w:styleId="Emphasis">
    <w:name w:val="Emphasis"/>
    <w:basedOn w:val="DefaultParagraphFont"/>
    <w:uiPriority w:val="20"/>
    <w:qFormat/>
    <w:rsid w:val="00B9198A"/>
    <w:rPr>
      <w:i/>
      <w:iCs/>
    </w:rPr>
  </w:style>
  <w:style w:type="paragraph" w:styleId="IntenseQuote">
    <w:name w:val="Intense Quote"/>
    <w:basedOn w:val="Normal"/>
    <w:next w:val="Normal"/>
    <w:link w:val="IntenseQuoteChar"/>
    <w:uiPriority w:val="30"/>
    <w:qFormat/>
    <w:rsid w:val="00B9198A"/>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sid w:val="00B9198A"/>
    <w:rPr>
      <w:rFonts w:asciiTheme="minorHAnsi" w:hAnsiTheme="minorHAnsi"/>
      <w:b/>
      <w:bCs/>
      <w:i/>
      <w:iCs/>
      <w:sz w:val="22"/>
      <w:lang w:val="nl-BE"/>
    </w:rPr>
  </w:style>
  <w:style w:type="character" w:styleId="IntenseEmphasis">
    <w:name w:val="Intense Emphasis"/>
    <w:basedOn w:val="DefaultParagraphFont"/>
    <w:uiPriority w:val="21"/>
    <w:qFormat/>
    <w:rsid w:val="00B9198A"/>
    <w:rPr>
      <w:b/>
      <w:bCs/>
      <w:i/>
      <w:iCs/>
      <w:color w:val="auto"/>
    </w:rPr>
  </w:style>
  <w:style w:type="character" w:styleId="SubtleReference">
    <w:name w:val="Subtle Reference"/>
    <w:basedOn w:val="DefaultParagraphFont"/>
    <w:uiPriority w:val="31"/>
    <w:qFormat/>
    <w:rsid w:val="00B9198A"/>
    <w:rPr>
      <w:smallCaps/>
      <w:color w:val="F58220" w:themeColor="accent1"/>
      <w:u w:val="single"/>
    </w:rPr>
  </w:style>
  <w:style w:type="character" w:styleId="IntenseReference">
    <w:name w:val="Intense Reference"/>
    <w:basedOn w:val="DefaultParagraphFont"/>
    <w:uiPriority w:val="32"/>
    <w:qFormat/>
    <w:rsid w:val="00B9198A"/>
    <w:rPr>
      <w:b/>
      <w:bCs/>
      <w:smallCaps/>
      <w:color w:val="F58220" w:themeColor="accent1"/>
      <w:spacing w:val="5"/>
      <w:u w:val="single"/>
    </w:rPr>
  </w:style>
  <w:style w:type="paragraph" w:styleId="TOCHeading">
    <w:name w:val="TOC Heading"/>
    <w:basedOn w:val="Heading1"/>
    <w:next w:val="Normal"/>
    <w:uiPriority w:val="39"/>
    <w:semiHidden/>
    <w:unhideWhenUsed/>
    <w:qFormat/>
    <w:rsid w:val="00B9198A"/>
    <w:pPr>
      <w:keepLines/>
      <w:spacing w:before="480" w:after="0"/>
      <w:outlineLvl w:val="9"/>
    </w:pPr>
    <w:rPr>
      <w:rFonts w:cstheme="majorBidi"/>
      <w:bCs/>
      <w:color w:val="0066C0" w:themeColor="text2" w:themeTint="BF"/>
      <w:kern w:val="0"/>
      <w:sz w:val="28"/>
      <w:szCs w:val="28"/>
    </w:rPr>
  </w:style>
  <w:style w:type="paragraph" w:customStyle="1" w:styleId="TitelInvitation">
    <w:name w:val="Titel Invitation"/>
    <w:basedOn w:val="Normal"/>
    <w:uiPriority w:val="1"/>
    <w:qFormat/>
    <w:rsid w:val="00B9198A"/>
    <w:pPr>
      <w:spacing w:after="960"/>
      <w:jc w:val="left"/>
    </w:pPr>
    <w:rPr>
      <w:rFonts w:asciiTheme="majorHAnsi" w:hAnsiTheme="majorHAnsi"/>
      <w:b/>
      <w:sz w:val="48"/>
    </w:rPr>
  </w:style>
  <w:style w:type="paragraph" w:customStyle="1" w:styleId="NormalInvitationtext">
    <w:name w:val="Normal Invitationtext"/>
    <w:basedOn w:val="Normal"/>
    <w:link w:val="NormalInvitationtextChar"/>
    <w:uiPriority w:val="1"/>
    <w:qFormat/>
    <w:rsid w:val="00B9198A"/>
    <w:pPr>
      <w:tabs>
        <w:tab w:val="left" w:pos="900"/>
      </w:tabs>
      <w:jc w:val="left"/>
    </w:pPr>
    <w:rPr>
      <w:sz w:val="18"/>
    </w:rPr>
  </w:style>
  <w:style w:type="character" w:customStyle="1" w:styleId="NormalInvitationtextChar">
    <w:name w:val="Normal Invitationtext Char"/>
    <w:basedOn w:val="DefaultParagraphFont"/>
    <w:link w:val="NormalInvitationtext"/>
    <w:uiPriority w:val="1"/>
    <w:rsid w:val="00B9198A"/>
    <w:rPr>
      <w:rFonts w:asciiTheme="minorHAnsi" w:hAnsiTheme="minorHAnsi"/>
      <w:sz w:val="18"/>
      <w:lang w:val="nl-BE"/>
    </w:rPr>
  </w:style>
  <w:style w:type="paragraph" w:styleId="TOC1">
    <w:name w:val="toc 1"/>
    <w:basedOn w:val="Normal"/>
    <w:next w:val="Normal"/>
    <w:autoRedefine/>
    <w:uiPriority w:val="39"/>
    <w:rsid w:val="00B9198A"/>
    <w:pPr>
      <w:tabs>
        <w:tab w:val="right" w:leader="underscore" w:pos="8891"/>
      </w:tabs>
      <w:spacing w:before="240" w:after="120"/>
      <w:jc w:val="left"/>
    </w:pPr>
    <w:rPr>
      <w:b/>
      <w:bCs/>
    </w:rPr>
  </w:style>
  <w:style w:type="paragraph" w:styleId="TOC2">
    <w:name w:val="toc 2"/>
    <w:basedOn w:val="Normal"/>
    <w:next w:val="Normal"/>
    <w:autoRedefine/>
    <w:uiPriority w:val="39"/>
    <w:rsid w:val="00B9198A"/>
    <w:pPr>
      <w:tabs>
        <w:tab w:val="right" w:pos="8891"/>
      </w:tabs>
      <w:spacing w:before="120"/>
      <w:ind w:left="220"/>
      <w:jc w:val="left"/>
    </w:pPr>
    <w:rPr>
      <w:i/>
      <w:iCs/>
    </w:rPr>
  </w:style>
  <w:style w:type="paragraph" w:styleId="TOC3">
    <w:name w:val="toc 3"/>
    <w:basedOn w:val="Normal"/>
    <w:next w:val="Normal"/>
    <w:autoRedefine/>
    <w:uiPriority w:val="39"/>
    <w:rsid w:val="00B9198A"/>
    <w:pPr>
      <w:tabs>
        <w:tab w:val="right" w:leader="underscore" w:pos="8891"/>
      </w:tabs>
      <w:ind w:left="440"/>
      <w:jc w:val="left"/>
    </w:pPr>
  </w:style>
  <w:style w:type="character" w:styleId="PageNumber">
    <w:name w:val="page number"/>
    <w:basedOn w:val="DefaultParagraphFont"/>
    <w:uiPriority w:val="3"/>
    <w:rsid w:val="00B9198A"/>
    <w:rPr>
      <w:rFonts w:asciiTheme="minorHAnsi" w:hAnsiTheme="minorHAnsi"/>
      <w:color w:val="auto"/>
      <w:sz w:val="20"/>
      <w:szCs w:val="20"/>
    </w:rPr>
  </w:style>
  <w:style w:type="paragraph" w:customStyle="1" w:styleId="SubtitelRapport">
    <w:name w:val="Subtitel Rapport"/>
    <w:basedOn w:val="Normal"/>
    <w:uiPriority w:val="2"/>
    <w:rsid w:val="00B9198A"/>
    <w:pPr>
      <w:jc w:val="center"/>
    </w:pPr>
    <w:rPr>
      <w:rFonts w:asciiTheme="majorHAnsi" w:hAnsiTheme="majorHAnsi"/>
      <w:b/>
      <w:bCs/>
      <w:smallCaps/>
      <w:sz w:val="28"/>
      <w:szCs w:val="28"/>
    </w:rPr>
  </w:style>
  <w:style w:type="paragraph" w:customStyle="1" w:styleId="opsommingen">
    <w:name w:val="opsommingen"/>
    <w:basedOn w:val="Normal"/>
    <w:uiPriority w:val="3"/>
    <w:rsid w:val="00B9198A"/>
    <w:pPr>
      <w:tabs>
        <w:tab w:val="num" w:pos="720"/>
      </w:tabs>
      <w:ind w:left="720" w:hanging="360"/>
    </w:pPr>
  </w:style>
  <w:style w:type="paragraph" w:customStyle="1" w:styleId="Hoofdingzdrnummer">
    <w:name w:val="Hoofding zdr nummer"/>
    <w:basedOn w:val="Normal"/>
    <w:next w:val="Normal"/>
    <w:link w:val="HoofdingzdrnummerChar"/>
    <w:uiPriority w:val="2"/>
    <w:rsid w:val="00B9198A"/>
    <w:pPr>
      <w:pageBreakBefore/>
      <w:spacing w:after="480"/>
      <w:jc w:val="left"/>
    </w:pPr>
    <w:rPr>
      <w:rFonts w:asciiTheme="majorHAnsi" w:eastAsiaTheme="majorEastAsia" w:hAnsiTheme="majorHAnsi" w:cs="Arial"/>
      <w:b/>
      <w:caps/>
      <w:smallCaps/>
      <w:color w:val="34A3DC" w:themeColor="accent2"/>
      <w:sz w:val="26"/>
      <w:szCs w:val="26"/>
    </w:rPr>
  </w:style>
  <w:style w:type="character" w:customStyle="1" w:styleId="HoofdingzdrnummerChar">
    <w:name w:val="Hoofding zdr nummer Char"/>
    <w:basedOn w:val="Heading1Char"/>
    <w:link w:val="Hoofdingzdrnummer"/>
    <w:uiPriority w:val="2"/>
    <w:rsid w:val="00B9198A"/>
    <w:rPr>
      <w:rFonts w:asciiTheme="majorHAnsi" w:eastAsiaTheme="majorEastAsia" w:hAnsiTheme="majorHAnsi" w:cs="Arial"/>
      <w:b/>
      <w:smallCaps/>
      <w:color w:val="34A3DC" w:themeColor="accent2"/>
      <w:kern w:val="28"/>
      <w:sz w:val="32"/>
      <w:szCs w:val="26"/>
      <w:lang w:val="nl-BE"/>
    </w:rPr>
  </w:style>
  <w:style w:type="paragraph" w:customStyle="1" w:styleId="Sourcetable">
    <w:name w:val="Source table"/>
    <w:basedOn w:val="Normal"/>
    <w:next w:val="Normal"/>
    <w:autoRedefine/>
    <w:uiPriority w:val="3"/>
    <w:rsid w:val="00B9198A"/>
    <w:pPr>
      <w:spacing w:before="120" w:after="240"/>
    </w:pPr>
    <w:rPr>
      <w:i/>
      <w:sz w:val="16"/>
      <w:szCs w:val="16"/>
    </w:rPr>
  </w:style>
  <w:style w:type="paragraph" w:customStyle="1" w:styleId="Hoofdingzdrnummer-lit-begrip-annex">
    <w:name w:val="Hoofding zdr nummer-lit-begrip-annex"/>
    <w:basedOn w:val="Hoofdingzdrnummer"/>
    <w:next w:val="Normal"/>
    <w:uiPriority w:val="2"/>
    <w:rsid w:val="00B9198A"/>
    <w:rPr>
      <w:caps w:val="0"/>
      <w:sz w:val="24"/>
      <w:szCs w:val="24"/>
      <w:lang w:val="en-US"/>
    </w:rPr>
  </w:style>
  <w:style w:type="paragraph" w:customStyle="1" w:styleId="TITELRAPPORT">
    <w:name w:val="TITEL RAPPORT"/>
    <w:basedOn w:val="Normal"/>
    <w:uiPriority w:val="1"/>
    <w:rsid w:val="00B9198A"/>
    <w:pPr>
      <w:spacing w:line="520" w:lineRule="exact"/>
      <w:jc w:val="left"/>
    </w:pPr>
    <w:rPr>
      <w:rFonts w:asciiTheme="majorHAnsi" w:hAnsiTheme="majorHAnsi"/>
      <w:b/>
      <w:color w:val="34A3DC" w:themeColor="accent2"/>
      <w:sz w:val="44"/>
      <w:szCs w:val="44"/>
      <w:lang w:val="en-US"/>
    </w:rPr>
  </w:style>
  <w:style w:type="paragraph" w:customStyle="1" w:styleId="Disclaimer">
    <w:name w:val="Disclaimer"/>
    <w:basedOn w:val="Normal"/>
    <w:link w:val="DisclaimerChar"/>
    <w:uiPriority w:val="2"/>
    <w:rsid w:val="00B9198A"/>
    <w:pPr>
      <w:ind w:left="357"/>
    </w:pPr>
    <w:rPr>
      <w:rFonts w:ascii="Calibri" w:hAnsi="Calibri"/>
      <w:sz w:val="14"/>
      <w:lang w:val="en-US"/>
    </w:rPr>
  </w:style>
  <w:style w:type="character" w:customStyle="1" w:styleId="DisclaimerChar">
    <w:name w:val="Disclaimer Char"/>
    <w:basedOn w:val="DefaultParagraphFont"/>
    <w:link w:val="Disclaimer"/>
    <w:uiPriority w:val="2"/>
    <w:rsid w:val="00B9198A"/>
    <w:rPr>
      <w:rFonts w:ascii="Calibri" w:hAnsi="Calibri"/>
      <w:sz w:val="14"/>
    </w:rPr>
  </w:style>
  <w:style w:type="table" w:styleId="MediumShading1-Accent2">
    <w:name w:val="Medium Shading 1 Accent 2"/>
    <w:basedOn w:val="TableNormal"/>
    <w:uiPriority w:val="63"/>
    <w:rsid w:val="00A33A5A"/>
    <w:tblPr>
      <w:tblStyleRowBandSize w:val="1"/>
      <w:tblStyleColBandSize w:val="1"/>
      <w:tblBorders>
        <w:top w:val="single" w:sz="8" w:space="0" w:color="66B9E4" w:themeColor="accent2" w:themeTint="BF"/>
        <w:left w:val="single" w:sz="8" w:space="0" w:color="66B9E4" w:themeColor="accent2" w:themeTint="BF"/>
        <w:bottom w:val="single" w:sz="8" w:space="0" w:color="66B9E4" w:themeColor="accent2" w:themeTint="BF"/>
        <w:right w:val="single" w:sz="8" w:space="0" w:color="66B9E4" w:themeColor="accent2" w:themeTint="BF"/>
        <w:insideH w:val="single" w:sz="8" w:space="0" w:color="66B9E4" w:themeColor="accent2" w:themeTint="BF"/>
      </w:tblBorders>
    </w:tblPr>
    <w:tblStylePr w:type="firstRow">
      <w:pPr>
        <w:spacing w:before="0" w:after="0" w:line="240" w:lineRule="auto"/>
      </w:pPr>
      <w:rPr>
        <w:b/>
        <w:bCs/>
        <w:color w:val="FFFFFF" w:themeColor="background1"/>
      </w:rPr>
      <w:tblPr/>
      <w:tcPr>
        <w:tcBorders>
          <w:top w:val="single" w:sz="8" w:space="0" w:color="66B9E4" w:themeColor="accent2" w:themeTint="BF"/>
          <w:left w:val="single" w:sz="8" w:space="0" w:color="66B9E4" w:themeColor="accent2" w:themeTint="BF"/>
          <w:bottom w:val="single" w:sz="8" w:space="0" w:color="66B9E4" w:themeColor="accent2" w:themeTint="BF"/>
          <w:right w:val="single" w:sz="8" w:space="0" w:color="66B9E4" w:themeColor="accent2" w:themeTint="BF"/>
          <w:insideH w:val="nil"/>
          <w:insideV w:val="nil"/>
        </w:tcBorders>
        <w:shd w:val="clear" w:color="auto" w:fill="34A3DC" w:themeFill="accent2"/>
      </w:tcPr>
    </w:tblStylePr>
    <w:tblStylePr w:type="lastRow">
      <w:pPr>
        <w:spacing w:before="0" w:after="0" w:line="240" w:lineRule="auto"/>
      </w:pPr>
      <w:rPr>
        <w:b/>
        <w:bCs/>
      </w:rPr>
      <w:tblPr/>
      <w:tcPr>
        <w:tcBorders>
          <w:top w:val="double" w:sz="6" w:space="0" w:color="66B9E4" w:themeColor="accent2" w:themeTint="BF"/>
          <w:left w:val="single" w:sz="8" w:space="0" w:color="66B9E4" w:themeColor="accent2" w:themeTint="BF"/>
          <w:bottom w:val="single" w:sz="8" w:space="0" w:color="66B9E4" w:themeColor="accent2" w:themeTint="BF"/>
          <w:right w:val="single" w:sz="8" w:space="0" w:color="66B9E4"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8F6" w:themeFill="accent2" w:themeFillTint="3F"/>
      </w:tcPr>
    </w:tblStylePr>
    <w:tblStylePr w:type="band1Horz">
      <w:tblPr/>
      <w:tcPr>
        <w:tcBorders>
          <w:insideH w:val="nil"/>
          <w:insideV w:val="nil"/>
        </w:tcBorders>
        <w:shd w:val="clear" w:color="auto" w:fill="CCE8F6" w:themeFill="accent2" w:themeFillTint="3F"/>
      </w:tcPr>
    </w:tblStylePr>
    <w:tblStylePr w:type="band2Horz">
      <w:tblPr/>
      <w:tcPr>
        <w:tcBorders>
          <w:insideH w:val="nil"/>
          <w:insideV w:val="nil"/>
        </w:tcBorders>
      </w:tcPr>
    </w:tblStylePr>
  </w:style>
  <w:style w:type="paragraph" w:styleId="EndnoteText">
    <w:name w:val="endnote text"/>
    <w:basedOn w:val="Normal"/>
    <w:link w:val="EndnoteTextChar"/>
    <w:uiPriority w:val="99"/>
    <w:semiHidden/>
    <w:unhideWhenUsed/>
    <w:rsid w:val="00626A66"/>
    <w:rPr>
      <w:sz w:val="20"/>
    </w:rPr>
  </w:style>
  <w:style w:type="character" w:customStyle="1" w:styleId="EndnoteTextChar">
    <w:name w:val="Endnote Text Char"/>
    <w:basedOn w:val="DefaultParagraphFont"/>
    <w:link w:val="EndnoteText"/>
    <w:uiPriority w:val="99"/>
    <w:semiHidden/>
    <w:rsid w:val="00626A66"/>
    <w:rPr>
      <w:rFonts w:asciiTheme="minorHAnsi" w:hAnsiTheme="minorHAnsi"/>
      <w:lang w:val="nl-BE"/>
    </w:rPr>
  </w:style>
  <w:style w:type="character" w:styleId="EndnoteReference">
    <w:name w:val="endnote reference"/>
    <w:basedOn w:val="DefaultParagraphFont"/>
    <w:uiPriority w:val="99"/>
    <w:semiHidden/>
    <w:unhideWhenUsed/>
    <w:rsid w:val="00626A66"/>
    <w:rPr>
      <w:vertAlign w:val="superscript"/>
    </w:rPr>
  </w:style>
  <w:style w:type="character" w:styleId="Hyperlink">
    <w:name w:val="Hyperlink"/>
    <w:basedOn w:val="DefaultParagraphFont"/>
    <w:uiPriority w:val="99"/>
    <w:unhideWhenUsed/>
    <w:rsid w:val="00537751"/>
    <w:rPr>
      <w:color w:val="0000FF" w:themeColor="hyperlink"/>
      <w:u w:val="single"/>
    </w:rPr>
  </w:style>
  <w:style w:type="paragraph" w:styleId="ListParagraph">
    <w:name w:val="List Paragraph"/>
    <w:basedOn w:val="Normal"/>
    <w:uiPriority w:val="34"/>
    <w:qFormat/>
    <w:rsid w:val="000B2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s>
</file>

<file path=word/_rels/endnotes.xml.rels><?xml version="1.0" encoding="UTF-8" standalone="yes"?>
<Relationships xmlns="http://schemas.openxmlformats.org/package/2006/relationships"><Relationship Id="rId1" Type="http://schemas.openxmlformats.org/officeDocument/2006/relationships/hyperlink" Target="file:///D:\Geothermie\euroheat.org\Statistics-69.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VITO\TEMPLATES\VITO%20documenten\MeetingMinut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A34AD0571A4BA9B1C9E6F774B2F146"/>
        <w:category>
          <w:name w:val="General"/>
          <w:gallery w:val="placeholder"/>
        </w:category>
        <w:types>
          <w:type w:val="bbPlcHdr"/>
        </w:types>
        <w:behaviors>
          <w:behavior w:val="content"/>
        </w:behaviors>
        <w:guid w:val="{30A081A9-6F03-455D-9B39-55EA642462B9}"/>
      </w:docPartPr>
      <w:docPartBody>
        <w:p w:rsidR="000E23D3" w:rsidRDefault="000E23D3">
          <w:pPr>
            <w:pStyle w:val="C6A34AD0571A4BA9B1C9E6F774B2F146"/>
          </w:pPr>
          <w:r w:rsidRPr="00676D46">
            <w:rPr>
              <w:rStyle w:val="PlaceholderText"/>
            </w:rPr>
            <w:t>[Date]</w:t>
          </w:r>
        </w:p>
      </w:docPartBody>
    </w:docPart>
    <w:docPart>
      <w:docPartPr>
        <w:name w:val="ED29EF722D034762A99A94DDDE6FDDD3"/>
        <w:category>
          <w:name w:val="General"/>
          <w:gallery w:val="placeholder"/>
        </w:category>
        <w:types>
          <w:type w:val="bbPlcHdr"/>
        </w:types>
        <w:behaviors>
          <w:behavior w:val="content"/>
        </w:behaviors>
        <w:guid w:val="{E6C243A7-2AF4-4668-8743-62F47006A1B4}"/>
      </w:docPartPr>
      <w:docPartBody>
        <w:p w:rsidR="000E23D3" w:rsidRDefault="000E23D3">
          <w:pPr>
            <w:pStyle w:val="ED29EF722D034762A99A94DDDE6FDDD3"/>
          </w:pPr>
          <w:r w:rsidRPr="00F17B39">
            <w:rPr>
              <w:rStyle w:val="PlaceholderText"/>
            </w:rPr>
            <w:t>[Document Number]</w:t>
          </w:r>
        </w:p>
      </w:docPartBody>
    </w:docPart>
    <w:docPart>
      <w:docPartPr>
        <w:name w:val="F8511F1A768D4C8E8E3253E4EE4D073A"/>
        <w:category>
          <w:name w:val="General"/>
          <w:gallery w:val="placeholder"/>
        </w:category>
        <w:types>
          <w:type w:val="bbPlcHdr"/>
        </w:types>
        <w:behaviors>
          <w:behavior w:val="content"/>
        </w:behaviors>
        <w:guid w:val="{9472195E-37E9-4FFF-816C-07A9B500AF79}"/>
      </w:docPartPr>
      <w:docPartBody>
        <w:p w:rsidR="000E23D3" w:rsidRDefault="000E23D3">
          <w:pPr>
            <w:pStyle w:val="F8511F1A768D4C8E8E3253E4EE4D073A"/>
          </w:pPr>
          <w:r>
            <w:t>[Your name]</w:t>
          </w:r>
        </w:p>
      </w:docPartBody>
    </w:docPart>
    <w:docPart>
      <w:docPartPr>
        <w:name w:val="B5536EDA59C749B6915961E76E84D972"/>
        <w:category>
          <w:name w:val="General"/>
          <w:gallery w:val="placeholder"/>
        </w:category>
        <w:types>
          <w:type w:val="bbPlcHdr"/>
        </w:types>
        <w:behaviors>
          <w:behavior w:val="content"/>
        </w:behaviors>
        <w:guid w:val="{F430E91A-5430-4E5E-B6A8-F5A76F0AA414}"/>
      </w:docPartPr>
      <w:docPartBody>
        <w:p w:rsidR="000E23D3" w:rsidRDefault="000E23D3">
          <w:pPr>
            <w:pStyle w:val="B5536EDA59C749B6915961E76E84D972"/>
          </w:pPr>
          <w:r>
            <w:rPr>
              <w:rStyle w:val="PlaceholderText"/>
              <w:rFonts w:eastAsiaTheme="minorHAnsi"/>
            </w:rPr>
            <w:t xml:space="preserve">Bijlagen </w:t>
          </w:r>
          <w:r w:rsidRPr="00146C09">
            <w:rPr>
              <w:rStyle w:val="PlaceholderText"/>
              <w:rFonts w:eastAsiaTheme="minorHAnsi"/>
            </w:rPr>
            <w:t>invoeren.</w:t>
          </w:r>
        </w:p>
      </w:docPartBody>
    </w:docPart>
    <w:docPart>
      <w:docPartPr>
        <w:name w:val="F6C3890ACAC041CD9888D29BF065B9EB"/>
        <w:category>
          <w:name w:val="General"/>
          <w:gallery w:val="placeholder"/>
        </w:category>
        <w:types>
          <w:type w:val="bbPlcHdr"/>
        </w:types>
        <w:behaviors>
          <w:behavior w:val="content"/>
        </w:behaviors>
        <w:guid w:val="{0642380F-3EA8-44E8-A098-684E2EFACB6D}"/>
      </w:docPartPr>
      <w:docPartBody>
        <w:p w:rsidR="000E23D3" w:rsidRDefault="000E23D3">
          <w:pPr>
            <w:pStyle w:val="F6C3890ACAC041CD9888D29BF065B9EB"/>
          </w:pPr>
          <w:r>
            <w:t>Namen van geadresseerden]</w:t>
          </w:r>
        </w:p>
      </w:docPartBody>
    </w:docPart>
    <w:docPart>
      <w:docPartPr>
        <w:name w:val="F608F97DB6F7454DAB27350F73D65841"/>
        <w:category>
          <w:name w:val="General"/>
          <w:gallery w:val="placeholder"/>
        </w:category>
        <w:types>
          <w:type w:val="bbPlcHdr"/>
        </w:types>
        <w:behaviors>
          <w:behavior w:val="content"/>
        </w:behaviors>
        <w:guid w:val="{890DC1F7-68F9-46AF-A3DA-C1B4585FEABC}"/>
      </w:docPartPr>
      <w:docPartBody>
        <w:p w:rsidR="000E23D3" w:rsidRDefault="000E23D3">
          <w:pPr>
            <w:pStyle w:val="F608F97DB6F7454DAB27350F73D65841"/>
          </w:pPr>
          <w:r>
            <w:t>Namen van geadresseerden]</w:t>
          </w:r>
        </w:p>
      </w:docPartBody>
    </w:docPart>
    <w:docPart>
      <w:docPartPr>
        <w:name w:val="B07A94AE320B432D80FF22B0238D524C"/>
        <w:category>
          <w:name w:val="General"/>
          <w:gallery w:val="placeholder"/>
        </w:category>
        <w:types>
          <w:type w:val="bbPlcHdr"/>
        </w:types>
        <w:behaviors>
          <w:behavior w:val="content"/>
        </w:behaviors>
        <w:guid w:val="{8CFCCB25-A695-4627-8849-877012D7E432}"/>
      </w:docPartPr>
      <w:docPartBody>
        <w:p w:rsidR="000E23D3" w:rsidRDefault="000E23D3">
          <w:pPr>
            <w:pStyle w:val="B07A94AE320B432D80FF22B0238D524C"/>
          </w:pPr>
          <w:r w:rsidRPr="00F17B39">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3D3"/>
    <w:rsid w:val="00011784"/>
    <w:rsid w:val="0001240F"/>
    <w:rsid w:val="000E23D3"/>
    <w:rsid w:val="0012198E"/>
    <w:rsid w:val="00841E83"/>
    <w:rsid w:val="00A357A0"/>
    <w:rsid w:val="00BE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12198E"/>
    <w:rPr>
      <w:vanish/>
      <w:color w:val="7F7F7F" w:themeColor="text1" w:themeTint="80"/>
    </w:rPr>
  </w:style>
  <w:style w:type="paragraph" w:customStyle="1" w:styleId="C6A34AD0571A4BA9B1C9E6F774B2F146">
    <w:name w:val="C6A34AD0571A4BA9B1C9E6F774B2F146"/>
  </w:style>
  <w:style w:type="paragraph" w:customStyle="1" w:styleId="ED29EF722D034762A99A94DDDE6FDDD3">
    <w:name w:val="ED29EF722D034762A99A94DDDE6FDDD3"/>
  </w:style>
  <w:style w:type="paragraph" w:customStyle="1" w:styleId="F8511F1A768D4C8E8E3253E4EE4D073A">
    <w:name w:val="F8511F1A768D4C8E8E3253E4EE4D073A"/>
  </w:style>
  <w:style w:type="paragraph" w:customStyle="1" w:styleId="B5536EDA59C749B6915961E76E84D972">
    <w:name w:val="B5536EDA59C749B6915961E76E84D972"/>
  </w:style>
  <w:style w:type="paragraph" w:customStyle="1" w:styleId="F6C3890ACAC041CD9888D29BF065B9EB">
    <w:name w:val="F6C3890ACAC041CD9888D29BF065B9EB"/>
  </w:style>
  <w:style w:type="paragraph" w:customStyle="1" w:styleId="F608F97DB6F7454DAB27350F73D65841">
    <w:name w:val="F608F97DB6F7454DAB27350F73D65841"/>
  </w:style>
  <w:style w:type="paragraph" w:customStyle="1" w:styleId="B07A94AE320B432D80FF22B0238D524C">
    <w:name w:val="B07A94AE320B432D80FF22B0238D52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12198E"/>
    <w:rPr>
      <w:vanish/>
      <w:color w:val="7F7F7F" w:themeColor="text1" w:themeTint="80"/>
    </w:rPr>
  </w:style>
  <w:style w:type="paragraph" w:customStyle="1" w:styleId="C6A34AD0571A4BA9B1C9E6F774B2F146">
    <w:name w:val="C6A34AD0571A4BA9B1C9E6F774B2F146"/>
  </w:style>
  <w:style w:type="paragraph" w:customStyle="1" w:styleId="ED29EF722D034762A99A94DDDE6FDDD3">
    <w:name w:val="ED29EF722D034762A99A94DDDE6FDDD3"/>
  </w:style>
  <w:style w:type="paragraph" w:customStyle="1" w:styleId="F8511F1A768D4C8E8E3253E4EE4D073A">
    <w:name w:val="F8511F1A768D4C8E8E3253E4EE4D073A"/>
  </w:style>
  <w:style w:type="paragraph" w:customStyle="1" w:styleId="B5536EDA59C749B6915961E76E84D972">
    <w:name w:val="B5536EDA59C749B6915961E76E84D972"/>
  </w:style>
  <w:style w:type="paragraph" w:customStyle="1" w:styleId="F6C3890ACAC041CD9888D29BF065B9EB">
    <w:name w:val="F6C3890ACAC041CD9888D29BF065B9EB"/>
  </w:style>
  <w:style w:type="paragraph" w:customStyle="1" w:styleId="F608F97DB6F7454DAB27350F73D65841">
    <w:name w:val="F608F97DB6F7454DAB27350F73D65841"/>
  </w:style>
  <w:style w:type="paragraph" w:customStyle="1" w:styleId="B07A94AE320B432D80FF22B0238D524C">
    <w:name w:val="B07A94AE320B432D80FF22B0238D5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_Vito">
  <a:themeElements>
    <a:clrScheme name="Vito">
      <a:dk1>
        <a:srgbClr val="231F20"/>
      </a:dk1>
      <a:lt1>
        <a:srgbClr val="FFFFFF"/>
      </a:lt1>
      <a:dk2>
        <a:srgbClr val="002E56"/>
      </a:dk2>
      <a:lt2>
        <a:srgbClr val="FFFFFF"/>
      </a:lt2>
      <a:accent1>
        <a:srgbClr val="F58220"/>
      </a:accent1>
      <a:accent2>
        <a:srgbClr val="34A3DC"/>
      </a:accent2>
      <a:accent3>
        <a:srgbClr val="67AF3E"/>
      </a:accent3>
      <a:accent4>
        <a:srgbClr val="FFCB05"/>
      </a:accent4>
      <a:accent5>
        <a:srgbClr val="A70532"/>
      </a:accent5>
      <a:accent6>
        <a:srgbClr val="6DCFF6"/>
      </a:accent6>
      <a:hlink>
        <a:srgbClr val="0000FF"/>
      </a:hlink>
      <a:folHlink>
        <a:srgbClr val="871F78"/>
      </a:folHlink>
    </a:clrScheme>
    <a:fontScheme name="Vit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rgbClr val="34A3DC"/>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nl-BE"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rgbClr val="34A3DC"/>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nl-BE" sz="1800" b="0" i="0" u="none" strike="noStrike" cap="none" normalizeH="0" baseline="0" smtClean="0">
            <a:ln>
              <a:noFill/>
            </a:ln>
            <a:solidFill>
              <a:schemeClr val="tx1"/>
            </a:solidFill>
            <a:effectLst/>
            <a:latin typeface="Arial" charset="0"/>
          </a:defRPr>
        </a:defPPr>
      </a:lstStyle>
    </a:lnDef>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Default Design 13">
        <a:dk1>
          <a:srgbClr val="000000"/>
        </a:dk1>
        <a:lt1>
          <a:srgbClr val="FFFFFF"/>
        </a:lt1>
        <a:dk2>
          <a:srgbClr val="000000"/>
        </a:dk2>
        <a:lt2>
          <a:srgbClr val="808080"/>
        </a:lt2>
        <a:accent1>
          <a:srgbClr val="34A3DC"/>
        </a:accent1>
        <a:accent2>
          <a:srgbClr val="FF0000"/>
        </a:accent2>
        <a:accent3>
          <a:srgbClr val="FFFFFF"/>
        </a:accent3>
        <a:accent4>
          <a:srgbClr val="000000"/>
        </a:accent4>
        <a:accent5>
          <a:srgbClr val="AECEEB"/>
        </a:accent5>
        <a:accent6>
          <a:srgbClr val="E70000"/>
        </a:accent6>
        <a:hlink>
          <a:srgbClr val="0000FF"/>
        </a:hlink>
        <a:folHlink>
          <a:srgbClr val="9900CC"/>
        </a:folHlink>
      </a:clrScheme>
      <a:clrMap bg1="lt1" tx1="dk1" bg2="lt2" tx2="dk2" accent1="accent1" accent2="accent2" accent3="accent3" accent4="accent4" accent5="accent5" accent6="accent6" hlink="hlink" folHlink="folHlink"/>
    </a:extraClrScheme>
    <a:extraClrScheme>
      <a:clrScheme name="Default Design 14">
        <a:dk1>
          <a:srgbClr val="000000"/>
        </a:dk1>
        <a:lt1>
          <a:srgbClr val="FFFFFF"/>
        </a:lt1>
        <a:dk2>
          <a:srgbClr val="000000"/>
        </a:dk2>
        <a:lt2>
          <a:srgbClr val="808080"/>
        </a:lt2>
        <a:accent1>
          <a:srgbClr val="34A3DC"/>
        </a:accent1>
        <a:accent2>
          <a:srgbClr val="F58220"/>
        </a:accent2>
        <a:accent3>
          <a:srgbClr val="FFFFFF"/>
        </a:accent3>
        <a:accent4>
          <a:srgbClr val="000000"/>
        </a:accent4>
        <a:accent5>
          <a:srgbClr val="AECEEB"/>
        </a:accent5>
        <a:accent6>
          <a:srgbClr val="DE751C"/>
        </a:accent6>
        <a:hlink>
          <a:srgbClr val="0000FF"/>
        </a:hlink>
        <a:folHlink>
          <a:srgbClr val="9900CC"/>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rojectCustomer xmlns="ea5c75e3-67a9-4818-b5e8-14122810ebad" xsi:nil="true"/>
    <Activity xmlns="ea5c75e3-67a9-4818-b5e8-14122810ebad" xsi:nil="true"/>
    <ProjectDocumentNumber xmlns="ea5c75e3-67a9-4818-b5e8-14122810ebad" xsi:nil="true"/>
    <Project xmlns="ea5c75e3-67a9-4818-b5e8-14122810ebad"/>
    <WorkingPackage xmlns="ea5c75e3-67a9-4818-b5e8-14122810ebad"/>
    <ProjectDate xmlns="ea5c75e3-67a9-4818-b5e8-14122810ebad">2014-05-21T00:00:00</ProjectDate>
    <DocumentDistribution xmlns="ea5c75e3-67a9-4818-b5e8-14122810ebad">Beperkt</DocumentDistribution>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Meeting minutes" ma:contentTypeID="0x010100220E8377CE4CF34F8C016D9BC00A7B1B020100DD1AF0459022334495CFECE09D24317D" ma:contentTypeVersion="5" ma:contentTypeDescription="" ma:contentTypeScope="" ma:versionID="51bd26bcb33e14a753117e5207054ab3">
  <xsd:schema xmlns:xsd="http://www.w3.org/2001/XMLSchema" xmlns:p="http://schemas.microsoft.com/office/2006/metadata/properties" xmlns:ns2="ea5c75e3-67a9-4818-b5e8-14122810ebad" targetNamespace="http://schemas.microsoft.com/office/2006/metadata/properties" ma:root="true" ma:fieldsID="545491225cb250c7a7a5fc73b635272e" ns2:_="">
    <xsd:import namespace="ea5c75e3-67a9-4818-b5e8-14122810ebad"/>
    <xsd:element name="properties">
      <xsd:complexType>
        <xsd:sequence>
          <xsd:element name="documentManagement">
            <xsd:complexType>
              <xsd:all>
                <xsd:element ref="ns2:Project"/>
                <xsd:element ref="ns2:WorkingPackage"/>
                <xsd:element ref="ns2:Activity" minOccurs="0"/>
                <xsd:element ref="ns2:DocumentDistribution"/>
                <xsd:element ref="ns2:ProjectDocumentNumber" minOccurs="0"/>
                <xsd:element ref="ns2:ProjectDate"/>
                <xsd:element ref="ns2:ProjectCustomer" minOccurs="0"/>
              </xsd:all>
            </xsd:complexType>
          </xsd:element>
        </xsd:sequence>
      </xsd:complexType>
    </xsd:element>
  </xsd:schema>
  <xsd:schema xmlns:xsd="http://www.w3.org/2001/XMLSchema" xmlns:dms="http://schemas.microsoft.com/office/2006/documentManagement/types" targetNamespace="ea5c75e3-67a9-4818-b5e8-14122810ebad" elementFormDefault="qualified">
    <xsd:import namespace="http://schemas.microsoft.com/office/2006/documentManagement/types"/>
    <xsd:element name="Project" ma:index="8" ma:displayName="Project" ma:default="FINAAL" ma:internalName="Project">
      <xsd:simpleType>
        <xsd:restriction base="dms:Text"/>
      </xsd:simpleType>
    </xsd:element>
    <xsd:element name="WorkingPackage" ma:index="9" ma:displayName="Working Package" ma:list="{09135B72-C62E-4BCE-9E16-61725668C1E5}" ma:internalName="WorkingPackage" ma:showField="Title" ma:web="ea5c75e3-67a9-4818-b5e8-14122810ebad">
      <xsd:simpleType>
        <xsd:restriction base="dms:Lookup"/>
      </xsd:simpleType>
    </xsd:element>
    <xsd:element name="Activity" ma:index="10" nillable="true" ma:displayName="Activity" ma:list="{1D0ADD5C-D52E-4CF8-8EE7-40F75168910B}" ma:internalName="Activity" ma:showField="Title" ma:web="ea5c75e3-67a9-4818-b5e8-14122810ebad">
      <xsd:simpleType>
        <xsd:restriction base="dms:Lookup"/>
      </xsd:simpleType>
    </xsd:element>
    <xsd:element name="DocumentDistribution" ma:index="11" ma:displayName="Document Distribution" ma:default="Beperkt" ma:internalName="DocumentDistribution">
      <xsd:simpleType>
        <xsd:restriction base="dms:Choice">
          <xsd:enumeration value="Beperkt"/>
          <xsd:enumeration value="Algemeen"/>
          <xsd:enumeration value="Vertrouwelijk"/>
          <xsd:enumeration value="Restricted"/>
          <xsd:enumeration value="General"/>
          <xsd:enumeration value="Confidential"/>
        </xsd:restriction>
      </xsd:simpleType>
    </xsd:element>
    <xsd:element name="ProjectDocumentNumber" ma:index="12" nillable="true" ma:displayName="Document Number" ma:internalName="ProjectDocumentNumber">
      <xsd:simpleType>
        <xsd:restriction base="dms:Text"/>
      </xsd:simpleType>
    </xsd:element>
    <xsd:element name="ProjectDate" ma:index="14" ma:displayName="Date" ma:internalName="ProjectDate">
      <xsd:simpleType>
        <xsd:restriction base="dms:DateTime"/>
      </xsd:simpleType>
    </xsd:element>
    <xsd:element name="ProjectCustomer" ma:index="15" nillable="true" ma:displayName="Customer" ma:internalName="ProjectCustomer">
      <xsd:simpleType>
        <xsd:restriction base="dms:Choice">
          <xsd:enumeration value="nv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7" ma:displayName="Title"/>
        <xsd:element ref="dc:subject" maxOccurs="1" ma:index="13"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8E575-ADE1-4FE9-A6B3-37E98C92EC5A}">
  <ds:schemaRefs>
    <ds:schemaRef ds:uri="http://schemas.microsoft.com/sharepoint/v3/contenttype/forms"/>
  </ds:schemaRefs>
</ds:datastoreItem>
</file>

<file path=customXml/itemProps2.xml><?xml version="1.0" encoding="utf-8"?>
<ds:datastoreItem xmlns:ds="http://schemas.openxmlformats.org/officeDocument/2006/customXml" ds:itemID="{F6C813C7-1477-428C-BC23-29D28920E67D}">
  <ds:schemaRefs>
    <ds:schemaRef ds:uri="http://purl.org/dc/dcmitype/"/>
    <ds:schemaRef ds:uri="http://schemas.microsoft.com/office/2006/documentManagement/types"/>
    <ds:schemaRef ds:uri="http://www.w3.org/XML/1998/namespace"/>
    <ds:schemaRef ds:uri="http://purl.org/dc/elements/1.1/"/>
    <ds:schemaRef ds:uri="http://schemas.microsoft.com/office/2006/metadata/properties"/>
    <ds:schemaRef ds:uri="http://schemas.openxmlformats.org/package/2006/metadata/core-properties"/>
    <ds:schemaRef ds:uri="ea5c75e3-67a9-4818-b5e8-14122810ebad"/>
    <ds:schemaRef ds:uri="http://purl.org/dc/terms/"/>
  </ds:schemaRefs>
</ds:datastoreItem>
</file>

<file path=customXml/itemProps3.xml><?xml version="1.0" encoding="utf-8"?>
<ds:datastoreItem xmlns:ds="http://schemas.openxmlformats.org/officeDocument/2006/customXml" ds:itemID="{1AB7F0EA-11DA-4095-8462-D3A59338295F}">
  <ds:schemaRefs>
    <ds:schemaRef ds:uri="http://schemas.microsoft.com/office/2006/customDocumentInformationPanel"/>
  </ds:schemaRefs>
</ds:datastoreItem>
</file>

<file path=customXml/itemProps4.xml><?xml version="1.0" encoding="utf-8"?>
<ds:datastoreItem xmlns:ds="http://schemas.openxmlformats.org/officeDocument/2006/customXml" ds:itemID="{DE3F503D-AF3C-428E-8B64-43DAD94DA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5c75e3-67a9-4818-b5e8-14122810eba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70F15E8-4875-4BF8-B924-A2D81D035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MeetingMinutes.dotm</Template>
  <TotalTime>540</TotalTime>
  <Pages>12</Pages>
  <Words>3462</Words>
  <Characters>19043</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Thuis</Company>
  <LinksUpToDate>false</LinksUpToDate>
  <CharactersWithSpaces>22461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EFRO910 - kostenmodel geothermie</dc:subject>
  <dc:creator>Laenen Ben</dc:creator>
  <cp:lastModifiedBy>Laenen Ben</cp:lastModifiedBy>
  <cp:revision>18</cp:revision>
  <dcterms:created xsi:type="dcterms:W3CDTF">2014-10-20T10:55:00Z</dcterms:created>
  <dcterms:modified xsi:type="dcterms:W3CDTF">2018-03-14T15:57:00Z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0x010100220E8377CE4CF34F8C016D9BC00A7B1B020100DD1AF0459022334495CFECE09D24317D</vt:lpwstr>
  </property>
  <property fmtid="{D5CDD505-2E9C-101B-9397-08002B2CF9AE}" pid="3" name="CustLanguage">
    <vt:lpwstr>N</vt:lpwstr>
  </property>
  <property fmtid="{D5CDD505-2E9C-101B-9397-08002B2CF9AE}" pid="4" name="Template description">
    <vt:lpwstr>Vergadergingsverslag, memo...</vt:lpwstr>
  </property>
  <property fmtid="{D5CDD505-2E9C-101B-9397-08002B2CF9AE}" pid="5" name="MOSS library">
    <vt:lpwstr>3</vt:lpwstr>
  </property>
  <property fmtid="{D5CDD505-2E9C-101B-9397-08002B2CF9AE}" pid="6" name="Office2007">
    <vt:lpwstr>false</vt:lpwstr>
  </property>
  <property fmtid="{D5CDD505-2E9C-101B-9397-08002B2CF9AE}" pid="7" name="Owner">
    <vt:lpwstr>Verheyden Kristine12</vt:lpwstr>
  </property>
  <property fmtid="{D5CDD505-2E9C-101B-9397-08002B2CF9AE}" pid="8" name="Template Reference">
    <vt:lpwstr>34</vt:lpwstr>
  </property>
  <property fmtid="{D5CDD505-2E9C-101B-9397-08002B2CF9AE}" pid="9" name="Moss">
    <vt:lpwstr>true</vt:lpwstr>
  </property>
  <property fmtid="{D5CDD505-2E9C-101B-9397-08002B2CF9AE}" pid="10" name="Document distribution">
    <vt:lpwstr>Beperkt</vt:lpwstr>
  </property>
  <property fmtid="{D5CDD505-2E9C-101B-9397-08002B2CF9AE}" pid="11" name="ProjectConfidentiality">
    <vt:lpwstr>false</vt:lpwstr>
  </property>
</Properties>
</file>