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SRI RAMAKRISHNA MILLS (COIMBATORE)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pPr>
        <w:spacing w:after="80"/>
        <w:jc w:val="both"/>
      </w:pPr>
      <w:r>
        <w:rPr>
          <w:b/>
          <w:sz w:val="21"/>
        </w:rPr>
        <w:t>Section 1 — Borrower Overview &amp; Background</w:t>
      </w:r>
    </w:p>
    <w:p/>
    <w:p>
      <w:r>
        <w:rPr>
          <w:b/>
          <w:color w:val="003366"/>
          <w:sz w:val="24"/>
        </w:rPr>
        <w:t>1. Executive Summary</w:t>
      </w:r>
    </w:p>
    <w:p>
      <w:pPr>
        <w:spacing w:after="80"/>
        <w:jc w:val="both"/>
      </w:pPr>
      <w:r>
        <w:rPr>
          <w:sz w:val="21"/>
        </w:rPr>
        <w:t>This section provides an overview of SRI RAMAKRISHNA MILLS (COIMBATORE) LIMITED. Information pertaining to the specific credit proposal, facility purpose, and key financial highlights is not available in the provided data for this memorandum. SRI RAMAKRISHNA MILLS (COIMBATORE) LIMITED operates as a Public Limited Company, incorporated in 1946, with core business activities in the Textile and Real Estate sectors. The company's ownership structure is characterized by a significant promoter holding of 64.01 percent.</w:t>
      </w:r>
    </w:p>
    <w:p/>
    <w:p>
      <w:r>
        <w:rPr>
          <w:b/>
          <w:color w:val="003366"/>
          <w:sz w:val="24"/>
        </w:rPr>
        <w:t>2. Borrower Background</w:t>
      </w:r>
    </w:p>
    <w:p>
      <w:pPr>
        <w:spacing w:after="80"/>
        <w:jc w:val="both"/>
      </w:pPr>
      <w:r>
        <w:rPr>
          <w:sz w:val="21"/>
        </w:rPr>
        <w:t>SRI RAMAKRISHNA MILLS (COIMBATORE) LIMITED is a Public Limited Company, identified by Corporate Identification Number (CIN) L17111TZ1946PLC000175. The company was incorporated in 1946. Its registered office is located at 1493, Sathyamangalam Road, Ganapathy Post, Coimbatore-641 006. The primary business nature of SRI RAMAKRISHNA MILLS (COIMBATORE) LIMITED encompasses the Textile and Real Estate industries.</w:t>
      </w:r>
    </w:p>
    <w:p/>
    <w:p>
      <w:r>
        <w:rPr>
          <w:b/>
          <w:color w:val="003366"/>
          <w:sz w:val="24"/>
        </w:rPr>
        <w:t>3. Management &amp; Promoters</w:t>
      </w:r>
    </w:p>
    <w:p>
      <w:pPr>
        <w:spacing w:after="80"/>
        <w:jc w:val="both"/>
      </w:pPr>
      <w:r>
        <w:rPr>
          <w:sz w:val="21"/>
        </w:rPr>
        <w:t>The promoter group of SRI RAMAKRISHNA MILLS (COIMBATORE) LIMITED includes:</w:t>
      </w:r>
    </w:p>
    <w:p>
      <w:pPr>
        <w:pStyle w:val="ListBullet"/>
        <w:jc w:val="both"/>
      </w:pPr>
      <w:r>
        <w:rPr>
          <w:sz w:val="21"/>
        </w:rPr>
        <w:t xml:space="preserve">  Sri. D. Lakshminarayanaswamy</w:t>
      </w:r>
    </w:p>
    <w:p>
      <w:pPr>
        <w:pStyle w:val="ListBullet"/>
        <w:jc w:val="both"/>
      </w:pPr>
      <w:r>
        <w:rPr>
          <w:sz w:val="21"/>
        </w:rPr>
        <w:t xml:space="preserve">  Smt. L. Nagaswarna</w:t>
      </w:r>
    </w:p>
    <w:p>
      <w:pPr>
        <w:pStyle w:val="ListBullet"/>
        <w:jc w:val="both"/>
      </w:pPr>
      <w:r>
        <w:rPr>
          <w:sz w:val="21"/>
        </w:rPr>
        <w:t xml:space="preserve">  Smt. L. Suhasini</w:t>
      </w:r>
    </w:p>
    <w:p>
      <w:pPr>
        <w:pStyle w:val="ListBullet"/>
        <w:jc w:val="both"/>
      </w:pPr>
      <w:r>
        <w:rPr>
          <w:sz w:val="21"/>
        </w:rPr>
        <w:t xml:space="preserve">  Smt. L. Swathy</w:t>
      </w:r>
    </w:p>
    <w:p>
      <w:pPr>
        <w:pStyle w:val="ListBullet"/>
        <w:jc w:val="both"/>
      </w:pPr>
      <w:r>
        <w:rPr>
          <w:sz w:val="21"/>
        </w:rPr>
        <w:t xml:space="preserve">  Swathy Processors Limited</w:t>
      </w:r>
    </w:p>
    <w:p>
      <w:pPr>
        <w:pStyle w:val="ListBullet"/>
        <w:jc w:val="both"/>
      </w:pPr>
      <w:r>
        <w:rPr>
          <w:sz w:val="21"/>
        </w:rPr>
        <w:t xml:space="preserve">  Suhasini Spinners Limited</w:t>
      </w:r>
    </w:p>
    <w:p>
      <w:pPr>
        <w:pStyle w:val="ListBullet"/>
        <w:jc w:val="both"/>
      </w:pPr>
      <w:r>
        <w:rPr>
          <w:sz w:val="21"/>
        </w:rPr>
        <w:t xml:space="preserve">  Sri Ramakrishna Yarn Carriers Limited</w:t>
      </w:r>
    </w:p>
    <w:p>
      <w:pPr>
        <w:pStyle w:val="ListBullet"/>
        <w:jc w:val="both"/>
      </w:pPr>
      <w:r>
        <w:rPr>
          <w:sz w:val="21"/>
        </w:rPr>
        <w:t xml:space="preserve">  Sri. D. Lakshminarayanaswamy jointly with L.Suhasini &amp; L.Swathy</w:t>
      </w:r>
    </w:p>
    <w:p/>
    <w:p>
      <w:pPr>
        <w:spacing w:after="80"/>
        <w:jc w:val="both"/>
      </w:pPr>
      <w:r>
        <w:rPr>
          <w:sz w:val="21"/>
        </w:rPr>
        <w:t>The key management personnel and directors of SRI RAMAKRISHNA MILLS (COIMBATORE) LIMITED are as follows:</w:t>
      </w:r>
    </w:p>
    <w:p>
      <w:pPr>
        <w:pStyle w:val="ListBullet"/>
        <w:jc w:val="both"/>
      </w:pPr>
      <w:r>
        <w:rPr>
          <w:sz w:val="21"/>
        </w:rPr>
        <w:t xml:space="preserve">  </w:t>
      </w:r>
      <w:r>
        <w:rPr>
          <w:b/>
          <w:sz w:val="21"/>
        </w:rPr>
        <w:t>Sri.D.LAKSHMINARAYANASWAMY:</w:t>
      </w:r>
      <w:r>
        <w:rPr>
          <w:sz w:val="21"/>
        </w:rPr>
        <w:t xml:space="preserve"> Managing Director, Chairman, Member of Audit Committee, Member of Stakeholders’ Relationship Committee, Chairman of Corporate Social Responsibility Committee.</w:t>
      </w:r>
    </w:p>
    <w:p>
      <w:pPr>
        <w:pStyle w:val="ListBullet"/>
        <w:jc w:val="both"/>
      </w:pPr>
      <w:r>
        <w:rPr>
          <w:sz w:val="21"/>
        </w:rPr>
        <w:t xml:space="preserve">  </w:t>
      </w:r>
      <w:r>
        <w:rPr>
          <w:b/>
          <w:sz w:val="21"/>
        </w:rPr>
        <w:t>Smt.L.NAGASWARNA:</w:t>
      </w:r>
      <w:r>
        <w:rPr>
          <w:sz w:val="21"/>
        </w:rPr>
        <w:t xml:space="preserve"> Wholetime Director, Member of Corporate Social Responsibility Committee.</w:t>
      </w:r>
    </w:p>
    <w:p>
      <w:pPr>
        <w:pStyle w:val="ListBullet"/>
        <w:jc w:val="both"/>
      </w:pPr>
      <w:r>
        <w:rPr>
          <w:sz w:val="21"/>
        </w:rPr>
        <w:t xml:space="preserve">  </w:t>
      </w:r>
      <w:r>
        <w:rPr>
          <w:b/>
          <w:sz w:val="21"/>
        </w:rPr>
        <w:t>Sri.RAVICHANDRAN DHAMODARAN:</w:t>
      </w:r>
      <w:r>
        <w:rPr>
          <w:sz w:val="21"/>
        </w:rPr>
        <w:t xml:space="preserve"> Independent Director, Chairperson of Audit Committee, Chairperson of Nomination and Remuneration Committee, Member of Corporate Social Responsibility Committee. He holds a Master Degree in Applied Sciences from PSG College of Technology and is the Founder Director and currently Managing Director of Applied Automation Systems Private Ltd. He possesses 32 years of experience in Software Development and in the Development of Industrial Automation Systems specifically for Textiles, having been responsible for conceptualizing, designing, and developing several successful products for the Textile Spinning Industry, and is currently involved in new product development for the iiot in Applied Automation.</w:t>
      </w:r>
    </w:p>
    <w:p>
      <w:pPr>
        <w:pStyle w:val="ListBullet"/>
        <w:jc w:val="both"/>
      </w:pPr>
      <w:r>
        <w:rPr>
          <w:sz w:val="21"/>
        </w:rPr>
        <w:t xml:space="preserve">  </w:t>
      </w:r>
      <w:r>
        <w:rPr>
          <w:b/>
          <w:sz w:val="21"/>
        </w:rPr>
        <w:t>Sri.R.GURU CHANDRASEKAR:</w:t>
      </w:r>
      <w:r>
        <w:rPr>
          <w:sz w:val="21"/>
        </w:rPr>
        <w:t xml:space="preserve"> Independent Director, Chairperson of Stakeholders and Relationship Committee, Member of Nomination and Remuneration Committee, Member of Audit Committee. He holds a B.Com., MBA and possesses necessary knowledge, experience, and expertise in the field of Agriculture, Textile, and Business Management.</w:t>
      </w:r>
    </w:p>
    <w:p>
      <w:pPr>
        <w:pStyle w:val="ListBullet"/>
        <w:jc w:val="both"/>
      </w:pPr>
      <w:r>
        <w:rPr>
          <w:sz w:val="21"/>
        </w:rPr>
        <w:t xml:space="preserve">  </w:t>
      </w:r>
      <w:r>
        <w:rPr>
          <w:b/>
          <w:sz w:val="21"/>
        </w:rPr>
        <w:t>Sri.P. MUTHUSWAMY:</w:t>
      </w:r>
      <w:r>
        <w:rPr>
          <w:sz w:val="21"/>
        </w:rPr>
        <w:t xml:space="preserve"> Director-Operations.</w:t>
      </w:r>
    </w:p>
    <w:p>
      <w:pPr>
        <w:pStyle w:val="ListBullet"/>
        <w:jc w:val="both"/>
      </w:pPr>
      <w:r>
        <w:rPr>
          <w:sz w:val="21"/>
        </w:rPr>
        <w:t xml:space="preserve">  </w:t>
      </w:r>
      <w:r>
        <w:rPr>
          <w:b/>
          <w:sz w:val="21"/>
        </w:rPr>
        <w:t>Sri. C. BAALASUBRAMANIYAM:</w:t>
      </w:r>
      <w:r>
        <w:rPr>
          <w:sz w:val="21"/>
        </w:rPr>
        <w:t xml:space="preserve"> Independent Director, Member of Nomination and Remuneration Committee, Member of Stakeholders’ Relationship Committee.</w:t>
      </w:r>
    </w:p>
    <w:p>
      <w:pPr>
        <w:pStyle w:val="ListBullet"/>
        <w:jc w:val="both"/>
      </w:pPr>
      <w:r>
        <w:rPr>
          <w:sz w:val="21"/>
        </w:rPr>
        <w:t xml:space="preserve">  </w:t>
      </w:r>
      <w:r>
        <w:rPr>
          <w:b/>
          <w:sz w:val="21"/>
        </w:rPr>
        <w:t>Smt. M. SRIVIDYA:</w:t>
      </w:r>
      <w:r>
        <w:rPr>
          <w:sz w:val="21"/>
        </w:rPr>
        <w:t xml:space="preserve"> Company Secretary.</w:t>
      </w:r>
    </w:p>
    <w:p>
      <w:pPr>
        <w:pStyle w:val="ListBullet"/>
        <w:jc w:val="both"/>
      </w:pPr>
      <w:r>
        <w:rPr>
          <w:sz w:val="21"/>
        </w:rPr>
        <w:t xml:space="preserve">  </w:t>
      </w:r>
      <w:r>
        <w:rPr>
          <w:b/>
          <w:sz w:val="21"/>
        </w:rPr>
        <w:t>Sri G. KRISHNAKUMAR:</w:t>
      </w:r>
      <w:r>
        <w:rPr>
          <w:sz w:val="21"/>
        </w:rPr>
        <w:t xml:space="preserve"> Chief Financial Officer.</w:t>
      </w:r>
    </w:p>
    <w:p>
      <w:pPr>
        <w:pStyle w:val="ListBullet"/>
        <w:jc w:val="both"/>
      </w:pPr>
      <w:r>
        <w:rPr>
          <w:sz w:val="21"/>
        </w:rPr>
        <w:t xml:space="preserve">  </w:t>
      </w:r>
      <w:r>
        <w:rPr>
          <w:b/>
          <w:sz w:val="21"/>
        </w:rPr>
        <w:t>Smt. CA. SASIREKHA VENGATESH:</w:t>
      </w:r>
      <w:r>
        <w:rPr>
          <w:sz w:val="21"/>
        </w:rPr>
        <w:t xml:space="preserve"> Internal Auditor. She is a Chartered Accountant.</w:t>
      </w:r>
    </w:p>
    <w:p>
      <w:pPr>
        <w:pStyle w:val="ListBullet"/>
        <w:jc w:val="both"/>
      </w:pPr>
      <w:r>
        <w:rPr>
          <w:sz w:val="21"/>
        </w:rPr>
        <w:t xml:space="preserve">  </w:t>
      </w:r>
      <w:r>
        <w:rPr>
          <w:b/>
          <w:sz w:val="21"/>
        </w:rPr>
        <w:t>Sri. CS.V. PRASANNA:</w:t>
      </w:r>
      <w:r>
        <w:rPr>
          <w:sz w:val="21"/>
        </w:rPr>
        <w:t xml:space="preserve"> Secretarial Auditor. He is a Practising Company Secretary.</w:t>
      </w:r>
    </w:p>
    <w:p/>
    <w:p>
      <w:r>
        <w:rPr>
          <w:b/>
          <w:color w:val="003366"/>
          <w:sz w:val="24"/>
        </w:rPr>
        <w:t>4. Ownership Structure</w:t>
      </w:r>
    </w:p>
    <w:p>
      <w:pPr>
        <w:spacing w:after="80"/>
        <w:jc w:val="both"/>
      </w:pPr>
      <w:r>
        <w:rPr>
          <w:sz w:val="21"/>
        </w:rPr>
        <w:t>The shareholding pattern of SRI RAMAKRISHNA MILLS (COIMBATORE) LIMITED is detailed as follows:</w:t>
      </w:r>
    </w:p>
    <w:p>
      <w:pPr>
        <w:pStyle w:val="ListBullet"/>
        <w:jc w:val="both"/>
      </w:pPr>
      <w:r>
        <w:rPr>
          <w:sz w:val="21"/>
        </w:rPr>
        <w:t xml:space="preserve">  Promoter Holding: 64.01 percent</w:t>
      </w:r>
    </w:p>
    <w:p>
      <w:pPr>
        <w:pStyle w:val="ListBullet"/>
        <w:jc w:val="both"/>
      </w:pPr>
      <w:r>
        <w:rPr>
          <w:sz w:val="21"/>
        </w:rPr>
        <w:t xml:space="preserve">  Public Institutional Holding: 1.56 percent</w:t>
      </w:r>
    </w:p>
    <w:p>
      <w:pPr>
        <w:pStyle w:val="ListBullet"/>
        <w:jc w:val="both"/>
      </w:pPr>
      <w:r>
        <w:rPr>
          <w:sz w:val="21"/>
        </w:rPr>
        <w:t xml:space="preserve">  Public Non-Institutional Holding: 34.4 percent</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pPr>
        <w:spacing w:after="80"/>
        <w:jc w:val="both"/>
      </w:pPr>
      <w:r>
        <w:rPr>
          <w:sz w:val="21"/>
        </w:rPr>
        <w:t>This section provides a detailed analysis of SRI RAMAKRISHNA MILLS (COIMBATORE) LIMITED's financial performance and position across the available fiscal years, FY2023 and FY2024.</w:t>
      </w:r>
    </w:p>
    <w:p/>
    <w:p>
      <w:r>
        <w:rPr>
          <w:b/>
          <w:color w:val="003366"/>
          <w:sz w:val="22"/>
        </w:rPr>
        <w:t>1. Revenue &amp; Profitability</w:t>
      </w:r>
    </w:p>
    <w:p/>
    <w:p>
      <w:pPr>
        <w:spacing w:after="80"/>
        <w:jc w:val="both"/>
      </w:pPr>
      <w:r>
        <w:rPr>
          <w:sz w:val="21"/>
        </w:rPr>
        <w:t>The company has demonstrated a robust improvement in both revenue generation and profitability metrics from FY2023 to FY2024.</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FY2023</w:t>
            </w:r>
          </w:p>
        </w:tc>
      </w:tr>
      <w:tr>
        <w:tc>
          <w:tcPr>
            <w:tcW w:type="dxa" w:w="3041"/>
          </w:tcPr>
          <w:p>
            <w:r>
              <w:rPr>
                <w:color w:val="000000"/>
                <w:sz w:val="19"/>
              </w:rPr>
              <w:t>Revenue</w:t>
            </w:r>
          </w:p>
        </w:tc>
        <w:tc>
          <w:tcPr>
            <w:tcW w:type="dxa" w:w="3041"/>
          </w:tcPr>
          <w:p>
            <w:r>
              <w:rPr>
                <w:color w:val="000000"/>
                <w:sz w:val="19"/>
              </w:rPr>
              <w:t>₹5907.39 Lakhs</w:t>
            </w:r>
          </w:p>
        </w:tc>
        <w:tc>
          <w:tcPr>
            <w:tcW w:type="dxa" w:w="3041"/>
          </w:tcPr>
          <w:p>
            <w:r>
              <w:rPr>
                <w:color w:val="000000"/>
                <w:sz w:val="19"/>
              </w:rPr>
              <w:t>₹3950.55 Lakhs</w:t>
            </w:r>
          </w:p>
        </w:tc>
      </w:tr>
      <w:tr>
        <w:tc>
          <w:tcPr>
            <w:tcW w:type="dxa" w:w="3041"/>
            <w:shd w:val="clear" w:color="auto" w:fill="EAF0F8"/>
          </w:tcPr>
          <w:p>
            <w:r>
              <w:rPr>
                <w:color w:val="000000"/>
                <w:sz w:val="19"/>
              </w:rPr>
              <w:t>EBITDA</w:t>
            </w:r>
          </w:p>
        </w:tc>
        <w:tc>
          <w:tcPr>
            <w:tcW w:type="dxa" w:w="3041"/>
            <w:shd w:val="clear" w:color="auto" w:fill="EAF0F8"/>
          </w:tcPr>
          <w:p>
            <w:r>
              <w:rPr>
                <w:color w:val="000000"/>
                <w:sz w:val="19"/>
              </w:rPr>
              <w:t>₹1295.20 Lakhs</w:t>
            </w:r>
          </w:p>
        </w:tc>
        <w:tc>
          <w:tcPr>
            <w:tcW w:type="dxa" w:w="3041"/>
            <w:shd w:val="clear" w:color="auto" w:fill="EAF0F8"/>
          </w:tcPr>
          <w:p>
            <w:r>
              <w:rPr>
                <w:color w:val="000000"/>
                <w:sz w:val="19"/>
              </w:rPr>
              <w:t>₹441.96 Lakhs</w:t>
            </w:r>
          </w:p>
        </w:tc>
      </w:tr>
      <w:tr>
        <w:tc>
          <w:tcPr>
            <w:tcW w:type="dxa" w:w="3041"/>
          </w:tcPr>
          <w:p>
            <w:r>
              <w:rPr>
                <w:color w:val="000000"/>
                <w:sz w:val="19"/>
              </w:rPr>
              <w:t>PAT</w:t>
            </w:r>
          </w:p>
        </w:tc>
        <w:tc>
          <w:tcPr>
            <w:tcW w:type="dxa" w:w="3041"/>
          </w:tcPr>
          <w:p>
            <w:r>
              <w:rPr>
                <w:color w:val="000000"/>
                <w:sz w:val="19"/>
              </w:rPr>
              <w:t>₹648.01 Lakhs</w:t>
            </w:r>
          </w:p>
        </w:tc>
        <w:tc>
          <w:tcPr>
            <w:tcW w:type="dxa" w:w="3041"/>
          </w:tcPr>
          <w:p>
            <w:r>
              <w:rPr>
                <w:color w:val="000000"/>
                <w:sz w:val="19"/>
              </w:rPr>
              <w:t>₹27.91 Lakhs</w:t>
            </w:r>
          </w:p>
        </w:tc>
      </w:tr>
      <w:tr>
        <w:tc>
          <w:tcPr>
            <w:tcW w:type="dxa" w:w="3041"/>
            <w:shd w:val="clear" w:color="auto" w:fill="EAF0F8"/>
          </w:tcPr>
          <w:p>
            <w:r>
              <w:rPr>
                <w:color w:val="000000"/>
                <w:sz w:val="19"/>
              </w:rPr>
              <w:t>EBITDA Margin</w:t>
            </w:r>
          </w:p>
        </w:tc>
        <w:tc>
          <w:tcPr>
            <w:tcW w:type="dxa" w:w="3041"/>
            <w:shd w:val="clear" w:color="auto" w:fill="EAF0F8"/>
          </w:tcPr>
          <w:p>
            <w:r>
              <w:rPr>
                <w:color w:val="000000"/>
                <w:sz w:val="19"/>
              </w:rPr>
              <w:t>21.93%</w:t>
            </w:r>
          </w:p>
        </w:tc>
        <w:tc>
          <w:tcPr>
            <w:tcW w:type="dxa" w:w="3041"/>
            <w:shd w:val="clear" w:color="auto" w:fill="EAF0F8"/>
          </w:tcPr>
          <w:p>
            <w:r>
              <w:rPr>
                <w:color w:val="000000"/>
                <w:sz w:val="19"/>
              </w:rPr>
              <w:t>11.19%</w:t>
            </w:r>
          </w:p>
        </w:tc>
      </w:tr>
      <w:tr>
        <w:tc>
          <w:tcPr>
            <w:tcW w:type="dxa" w:w="3041"/>
          </w:tcPr>
          <w:p>
            <w:r>
              <w:rPr>
                <w:color w:val="000000"/>
                <w:sz w:val="19"/>
              </w:rPr>
              <w:t>PAT Margin</w:t>
            </w:r>
          </w:p>
        </w:tc>
        <w:tc>
          <w:tcPr>
            <w:tcW w:type="dxa" w:w="3041"/>
          </w:tcPr>
          <w:p>
            <w:r>
              <w:rPr>
                <w:color w:val="000000"/>
                <w:sz w:val="19"/>
              </w:rPr>
              <w:t>10.97%</w:t>
            </w:r>
          </w:p>
        </w:tc>
        <w:tc>
          <w:tcPr>
            <w:tcW w:type="dxa" w:w="3041"/>
          </w:tcPr>
          <w:p>
            <w:r>
              <w:rPr>
                <w:color w:val="000000"/>
                <w:sz w:val="19"/>
              </w:rPr>
              <w:t>0.71%</w:t>
            </w:r>
          </w:p>
        </w:tc>
      </w:tr>
    </w:tbl>
    <w:p/>
    <w:p/>
    <w:p>
      <w:pPr>
        <w:spacing w:after="80"/>
        <w:jc w:val="both"/>
      </w:pPr>
      <w:r>
        <w:rPr>
          <w:sz w:val="21"/>
        </w:rPr>
        <w:t>Revenue experienced a significant increase of approximately 49.5% from ₹3950.55 Lakhs in FY2023 to ₹5907.39 Lakhs in FY2024, indicating strong top-line growth. This growth translated into substantial improvements in profitability. EBITDA surged from ₹441.96 Lakhs in FY2023 to ₹1295.20 Lakhs in FY2024, reflecting enhanced operational efficiency. Consequently, the EBITDA Margin expanded considerably from 11.19% to 21.93%, which is a strong positive indicator of improved core business performance.</w:t>
      </w:r>
    </w:p>
    <w:p/>
    <w:p>
      <w:pPr>
        <w:spacing w:after="80"/>
        <w:jc w:val="both"/>
      </w:pPr>
      <w:r>
        <w:rPr>
          <w:sz w:val="21"/>
        </w:rPr>
        <w:t>Similarly, Profit After Tax (PAT) witnessed a remarkable increase from ₹27.91 Lakhs in FY2023 to ₹648.01 Lakhs in FY2024. The PAT Margin also improved dramatically from 0.71% to 10.97%, signifying a significant turnaround in the company's net profitability and its ability to convert revenue into bottom-line earnings.</w:t>
      </w:r>
    </w:p>
    <w:p/>
    <w:p>
      <w:r>
        <w:rPr>
          <w:b/>
          <w:color w:val="003366"/>
          <w:sz w:val="22"/>
        </w:rPr>
        <w:t>2. Balance Sheet Analysis</w:t>
      </w:r>
    </w:p>
    <w:p/>
    <w:p>
      <w:pPr>
        <w:spacing w:after="80"/>
        <w:jc w:val="both"/>
      </w:pPr>
      <w:r>
        <w:rPr>
          <w:sz w:val="21"/>
        </w:rPr>
        <w:t>The balance sheet reflects an expanding asset base supported by growth in equity, with borrowings remaining relatively stable.</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FY2023</w:t>
            </w:r>
          </w:p>
        </w:tc>
      </w:tr>
      <w:tr>
        <w:tc>
          <w:tcPr>
            <w:tcW w:type="dxa" w:w="3041"/>
          </w:tcPr>
          <w:p>
            <w:r>
              <w:rPr>
                <w:color w:val="000000"/>
                <w:sz w:val="19"/>
              </w:rPr>
              <w:t>Total Assets</w:t>
            </w:r>
          </w:p>
        </w:tc>
        <w:tc>
          <w:tcPr>
            <w:tcW w:type="dxa" w:w="3041"/>
          </w:tcPr>
          <w:p>
            <w:r>
              <w:rPr>
                <w:color w:val="000000"/>
                <w:sz w:val="19"/>
              </w:rPr>
              <w:t>₹6664.75 Lakhs</w:t>
            </w:r>
          </w:p>
        </w:tc>
        <w:tc>
          <w:tcPr>
            <w:tcW w:type="dxa" w:w="3041"/>
          </w:tcPr>
          <w:p>
            <w:r>
              <w:rPr>
                <w:color w:val="000000"/>
                <w:sz w:val="19"/>
              </w:rPr>
              <w:t>₹5768.92 Lakhs</w:t>
            </w:r>
          </w:p>
        </w:tc>
      </w:tr>
      <w:tr>
        <w:tc>
          <w:tcPr>
            <w:tcW w:type="dxa" w:w="3041"/>
            <w:shd w:val="clear" w:color="auto" w:fill="EAF0F8"/>
          </w:tcPr>
          <w:p>
            <w:r>
              <w:rPr>
                <w:color w:val="000000"/>
                <w:sz w:val="19"/>
              </w:rPr>
              <w:t>Total Equity</w:t>
            </w:r>
          </w:p>
        </w:tc>
        <w:tc>
          <w:tcPr>
            <w:tcW w:type="dxa" w:w="3041"/>
            <w:shd w:val="clear" w:color="auto" w:fill="EAF0F8"/>
          </w:tcPr>
          <w:p>
            <w:r>
              <w:rPr>
                <w:color w:val="000000"/>
                <w:sz w:val="19"/>
              </w:rPr>
              <w:t>₹1858.30 Lakhs</w:t>
            </w:r>
          </w:p>
        </w:tc>
        <w:tc>
          <w:tcPr>
            <w:tcW w:type="dxa" w:w="3041"/>
            <w:shd w:val="clear" w:color="auto" w:fill="EAF0F8"/>
          </w:tcPr>
          <w:p>
            <w:r>
              <w:rPr>
                <w:color w:val="000000"/>
                <w:sz w:val="19"/>
              </w:rPr>
              <w:t>₹1196.47 Lakhs</w:t>
            </w:r>
          </w:p>
        </w:tc>
      </w:tr>
      <w:tr>
        <w:tc>
          <w:tcPr>
            <w:tcW w:type="dxa" w:w="3041"/>
          </w:tcPr>
          <w:p>
            <w:r>
              <w:rPr>
                <w:color w:val="000000"/>
                <w:sz w:val="19"/>
              </w:rPr>
              <w:t>Total Borrowings</w:t>
            </w:r>
          </w:p>
        </w:tc>
        <w:tc>
          <w:tcPr>
            <w:tcW w:type="dxa" w:w="3041"/>
          </w:tcPr>
          <w:p>
            <w:r>
              <w:rPr>
                <w:color w:val="000000"/>
                <w:sz w:val="19"/>
              </w:rPr>
              <w:t>₹3340.57 Lakhs</w:t>
            </w:r>
          </w:p>
        </w:tc>
        <w:tc>
          <w:tcPr>
            <w:tcW w:type="dxa" w:w="3041"/>
          </w:tcPr>
          <w:p>
            <w:r>
              <w:rPr>
                <w:color w:val="000000"/>
                <w:sz w:val="19"/>
              </w:rPr>
              <w:t>₹3324.91 Lakhs</w:t>
            </w:r>
          </w:p>
        </w:tc>
      </w:tr>
    </w:tbl>
    <w:p/>
    <w:p/>
    <w:p>
      <w:pPr>
        <w:spacing w:after="80"/>
        <w:jc w:val="both"/>
      </w:pPr>
      <w:r>
        <w:rPr>
          <w:sz w:val="21"/>
        </w:rPr>
        <w:t>Total Assets grew from ₹5768.92 Lakhs in FY2023 to ₹6664.75 Lakhs in FY2024, indicating an expansion of the company's operational scale. Total Equity also increased substantially from ₹1196.47 Lakhs to ₹1858.30 Lakhs over the same period, suggesting either retained earnings from improved profitability or fresh equity infusion, strengthening the capital base. Total Borrowings remained largely stable, increasing marginally from ₹3324.91 Lakhs in FY2023 to ₹3340.57 Lakhs in FY2024. This indicates that the asset growth and business expansion were primarily funded by internal accruals and equity, rather than a significant increase in debt, which is a positive sign for financial stability.</w:t>
      </w:r>
    </w:p>
    <w:p/>
    <w:p>
      <w:r>
        <w:rPr>
          <w:b/>
          <w:color w:val="003366"/>
          <w:sz w:val="22"/>
        </w:rPr>
        <w:t>3. Key Financial Ratios</w:t>
      </w:r>
    </w:p>
    <w:p/>
    <w:p>
      <w:pPr>
        <w:spacing w:after="80"/>
        <w:jc w:val="both"/>
      </w:pPr>
      <w:r>
        <w:rPr>
          <w:sz w:val="21"/>
        </w:rPr>
        <w:t>An analysis of key financial ratios provides further insights into the company's liquidity and solvency.</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Ratio</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FY2023</w:t>
            </w:r>
          </w:p>
        </w:tc>
      </w:tr>
      <w:tr>
        <w:tc>
          <w:tcPr>
            <w:tcW w:type="dxa" w:w="3041"/>
          </w:tcPr>
          <w:p>
            <w:r>
              <w:rPr>
                <w:color w:val="000000"/>
                <w:sz w:val="19"/>
              </w:rPr>
              <w:t>DSCR</w:t>
            </w:r>
          </w:p>
        </w:tc>
        <w:tc>
          <w:tcPr>
            <w:tcW w:type="dxa" w:w="3041"/>
          </w:tcPr>
          <w:p>
            <w:r>
              <w:rPr>
                <w:color w:val="000000"/>
                <w:sz w:val="19"/>
              </w:rPr>
              <w:t>1.37</w:t>
            </w:r>
          </w:p>
        </w:tc>
        <w:tc>
          <w:tcPr>
            <w:tcW w:type="dxa" w:w="3041"/>
          </w:tcPr>
          <w:p>
            <w:r>
              <w:rPr>
                <w:color w:val="000000"/>
                <w:sz w:val="19"/>
              </w:rPr>
              <w:t>0.77</w:t>
            </w:r>
          </w:p>
        </w:tc>
      </w:tr>
      <w:tr>
        <w:tc>
          <w:tcPr>
            <w:tcW w:type="dxa" w:w="3041"/>
            <w:shd w:val="clear" w:color="auto" w:fill="EAF0F8"/>
          </w:tcPr>
          <w:p>
            <w:r>
              <w:rPr>
                <w:color w:val="000000"/>
                <w:sz w:val="19"/>
              </w:rPr>
              <w:t>Current Ratio</w:t>
            </w:r>
          </w:p>
        </w:tc>
        <w:tc>
          <w:tcPr>
            <w:tcW w:type="dxa" w:w="3041"/>
            <w:shd w:val="clear" w:color="auto" w:fill="EAF0F8"/>
          </w:tcPr>
          <w:p>
            <w:r>
              <w:rPr>
                <w:color w:val="000000"/>
                <w:sz w:val="19"/>
              </w:rPr>
              <w:t>0.95</w:t>
            </w:r>
          </w:p>
        </w:tc>
        <w:tc>
          <w:tcPr>
            <w:tcW w:type="dxa" w:w="3041"/>
            <w:shd w:val="clear" w:color="auto" w:fill="EAF0F8"/>
          </w:tcPr>
          <w:p>
            <w:r>
              <w:rPr>
                <w:color w:val="000000"/>
                <w:sz w:val="19"/>
              </w:rPr>
              <w:t>1.06</w:t>
            </w:r>
          </w:p>
        </w:tc>
      </w:tr>
      <w:tr>
        <w:tc>
          <w:tcPr>
            <w:tcW w:type="dxa" w:w="3041"/>
          </w:tcPr>
          <w:p>
            <w:r>
              <w:rPr>
                <w:color w:val="000000"/>
                <w:sz w:val="19"/>
              </w:rPr>
              <w:t>Debt-Equity Ratio</w:t>
            </w:r>
          </w:p>
        </w:tc>
        <w:tc>
          <w:tcPr>
            <w:tcW w:type="dxa" w:w="3041"/>
          </w:tcPr>
          <w:p>
            <w:r>
              <w:rPr>
                <w:color w:val="000000"/>
                <w:sz w:val="19"/>
              </w:rPr>
              <w:t>0.63</w:t>
            </w:r>
          </w:p>
        </w:tc>
        <w:tc>
          <w:tcPr>
            <w:tcW w:type="dxa" w:w="3041"/>
          </w:tcPr>
          <w:p>
            <w:r>
              <w:rPr>
                <w:color w:val="000000"/>
                <w:sz w:val="19"/>
              </w:rPr>
              <w:t>0.58</w:t>
            </w:r>
          </w:p>
        </w:tc>
      </w:tr>
    </w:tbl>
    <w:p/>
    <w:p/>
    <w:p>
      <w:pPr>
        <w:spacing w:after="80"/>
        <w:jc w:val="both"/>
      </w:pPr>
      <w:r>
        <w:rPr>
          <w:b/>
          <w:sz w:val="21"/>
        </w:rPr>
        <w:t>Debt Service Coverage Ratio (DSCR):</w:t>
      </w:r>
      <w:r>
        <w:rPr>
          <w:sz w:val="21"/>
        </w:rPr>
        <w:t xml:space="preserve"> The DSCR improved significantly from 0.77 in FY2023 to 1.37 in FY2024. The FY2023 DSCR of 0.77 was a concern, indicating insufficient operating cash flow to cover debt obligations. However, the improvement to 1.37 in FY2024 suggests an adequate ability to service current debt obligations, reflecting the enhanced profitability and cash generation.</w:t>
      </w:r>
    </w:p>
    <w:p/>
    <w:p>
      <w:pPr>
        <w:spacing w:after="80"/>
        <w:jc w:val="both"/>
      </w:pPr>
      <w:r>
        <w:rPr>
          <w:b/>
          <w:sz w:val="21"/>
        </w:rPr>
        <w:t>Current Ratio:</w:t>
      </w:r>
      <w:r>
        <w:rPr>
          <w:sz w:val="21"/>
        </w:rPr>
        <w:t xml:space="preserve"> The Current Ratio deteriorated from 1.06 in FY2023 to 0.95 in FY2024. A ratio below 1.00 in FY2024 is a concern, indicating that current assets are insufficient to cover current liabilities, which could pose short-term liquidity challenges.</w:t>
      </w:r>
    </w:p>
    <w:p/>
    <w:p>
      <w:pPr>
        <w:spacing w:after="80"/>
        <w:jc w:val="both"/>
      </w:pPr>
      <w:r>
        <w:rPr>
          <w:b/>
          <w:sz w:val="21"/>
        </w:rPr>
        <w:t>Debt-Equity Ratio:</w:t>
      </w:r>
      <w:r>
        <w:rPr>
          <w:sz w:val="21"/>
        </w:rPr>
        <w:t xml:space="preserve"> The Debt-Equity Ratio increased slightly from 0.58 in FY2023 to 0.63 in FY2024. Despite the marginal increase, this ratio remains adequate, indicating a reasonable balance between debt and equity financing and manageable leverage.</w:t>
      </w:r>
    </w:p>
    <w:p/>
    <w:p>
      <w:r>
        <w:rPr>
          <w:b/>
          <w:color w:val="003366"/>
          <w:sz w:val="22"/>
        </w:rPr>
        <w:t>4. Cash Flow Analysis</w:t>
      </w:r>
    </w:p>
    <w:p/>
    <w:p>
      <w:pPr>
        <w:spacing w:after="80"/>
        <w:jc w:val="both"/>
      </w:pPr>
      <w:r>
        <w:rPr>
          <w:sz w:val="21"/>
        </w:rPr>
        <w:t>Cash flow from operations shows a strong positive trend, although the closing cash balance remains minimal.</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FY2023</w:t>
            </w:r>
          </w:p>
        </w:tc>
      </w:tr>
      <w:tr>
        <w:tc>
          <w:tcPr>
            <w:tcW w:type="dxa" w:w="3041"/>
          </w:tcPr>
          <w:p>
            <w:r>
              <w:rPr>
                <w:color w:val="000000"/>
                <w:sz w:val="19"/>
              </w:rPr>
              <w:t>Cash from Operations</w:t>
            </w:r>
          </w:p>
        </w:tc>
        <w:tc>
          <w:tcPr>
            <w:tcW w:type="dxa" w:w="3041"/>
          </w:tcPr>
          <w:p>
            <w:r>
              <w:rPr>
                <w:color w:val="000000"/>
                <w:sz w:val="19"/>
              </w:rPr>
              <w:t>₹2141.46 Lakhs</w:t>
            </w:r>
          </w:p>
        </w:tc>
        <w:tc>
          <w:tcPr>
            <w:tcW w:type="dxa" w:w="3041"/>
          </w:tcPr>
          <w:p>
            <w:r>
              <w:rPr>
                <w:color w:val="000000"/>
                <w:sz w:val="19"/>
              </w:rPr>
              <w:t>₹1005.24 Lakhs</w:t>
            </w:r>
          </w:p>
        </w:tc>
      </w:tr>
      <w:tr>
        <w:tc>
          <w:tcPr>
            <w:tcW w:type="dxa" w:w="3041"/>
            <w:shd w:val="clear" w:color="auto" w:fill="EAF0F8"/>
          </w:tcPr>
          <w:p>
            <w:r>
              <w:rPr>
                <w:color w:val="000000"/>
                <w:sz w:val="19"/>
              </w:rPr>
              <w:t>Closing Cash</w:t>
            </w:r>
          </w:p>
        </w:tc>
        <w:tc>
          <w:tcPr>
            <w:tcW w:type="dxa" w:w="3041"/>
            <w:shd w:val="clear" w:color="auto" w:fill="EAF0F8"/>
          </w:tcPr>
          <w:p>
            <w:r>
              <w:rPr>
                <w:color w:val="000000"/>
                <w:sz w:val="19"/>
              </w:rPr>
              <w:t>₹0.72 Lakhs</w:t>
            </w:r>
          </w:p>
        </w:tc>
        <w:tc>
          <w:tcPr>
            <w:tcW w:type="dxa" w:w="3041"/>
            <w:shd w:val="clear" w:color="auto" w:fill="EAF0F8"/>
          </w:tcPr>
          <w:p>
            <w:r>
              <w:rPr>
                <w:color w:val="000000"/>
                <w:sz w:val="19"/>
              </w:rPr>
              <w:t>₹0.79 Lakhs</w:t>
            </w:r>
          </w:p>
        </w:tc>
      </w:tr>
    </w:tbl>
    <w:p/>
    <w:p/>
    <w:p>
      <w:pPr>
        <w:spacing w:after="80"/>
        <w:jc w:val="both"/>
      </w:pPr>
      <w:r>
        <w:rPr>
          <w:sz w:val="21"/>
        </w:rPr>
        <w:t>Cash from Operations more than doubled, increasing from ₹1005.24 Lakhs in FY2023 to ₹2141.46 Lakhs in FY2024. This substantial increase is a strong positive indicator, demonstrating the company's improved ability to generate cash internally from its core business activities. Despite this robust operational cash generation, the Closing Cash balance remained minimal at ₹0.72 Lakhs in FY2024, a slight decrease from ₹0.79 Lakhs in FY2023. This suggests that the significant operational cash flow is being utilized for other purposes, such as debt servicing, working capital, or investments, rather than accumulating as a substantial cash reserve. Information on cash from investing and financing activities is not available for analysis.</w:t>
      </w:r>
    </w:p>
    <w:p/>
    <w:p>
      <w:pPr>
        <w:pStyle w:val="Heading1"/>
        <w:spacing w:before="320" w:after="160"/>
      </w:pPr>
      <w:r>
        <w:rPr>
          <w:b/>
          <w:color w:val="003366"/>
          <w:sz w:val="26"/>
        </w:rPr>
        <w:t>SECTION 3 — EXISTING DEBT &amp; CREDIT PROFILE</w:t>
      </w:r>
    </w:p>
    <w:p>
      <w:pPr>
        <w:pBdr>
          <w:bottom w:val="single" w:sz="6" w:space="1" w:color="003366"/>
        </w:pBdr>
      </w:pPr>
    </w:p>
    <w:p>
      <w:r>
        <w:rPr>
          <w:b/>
          <w:color w:val="003366"/>
          <w:sz w:val="24"/>
        </w:rPr>
        <w:t>3. Existing Debt &amp; Credit Profile</w:t>
      </w:r>
    </w:p>
    <w:p/>
    <w:p>
      <w:r>
        <w:rPr>
          <w:b/>
          <w:color w:val="003366"/>
          <w:sz w:val="22"/>
        </w:rPr>
        <w:t>3.1 Existing Debt Instruments</w:t>
      </w:r>
    </w:p>
    <w:p/>
    <w:p>
      <w:pPr>
        <w:spacing w:after="80"/>
        <w:jc w:val="both"/>
      </w:pPr>
      <w:r>
        <w:rPr>
          <w:sz w:val="21"/>
        </w:rPr>
        <w:t>As of Fiscal Year 2024, SRI RAMAKRISHNA MILLS (COIMBATORE) LIMITED's total borrowings stood at INR 3340.57 Lakhs. This comprises non-current borrowings of INR 730.98 Lakhs and current borrowings of INR 2609.59 Lakhs. The company's debt profile includes a mix of bank facilities, inter-corporate loans, and loans from directors/related parties.</w:t>
      </w:r>
    </w:p>
    <w:p/>
    <w:p>
      <w:r>
        <w:rPr>
          <w:b/>
          <w:color w:val="003366"/>
          <w:sz w:val="22"/>
        </w:rPr>
        <w:t>3.2 Debt Terms &amp; Structure</w:t>
      </w:r>
    </w:p>
    <w:p/>
    <w:p>
      <w:pPr>
        <w:spacing w:after="80"/>
        <w:jc w:val="both"/>
      </w:pPr>
      <w:r>
        <w:rPr>
          <w:sz w:val="21"/>
        </w:rPr>
        <w:t>The detailed breakdown of the company's existing debt instruments, including their counterparties, outstanding amounts, and available terms, is presented in the table below:</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ECLGS Term Loan</w:t>
            </w:r>
          </w:p>
        </w:tc>
        <w:tc>
          <w:tcPr>
            <w:tcW w:type="dxa" w:w="1520"/>
          </w:tcPr>
          <w:p>
            <w:r>
              <w:rPr>
                <w:color w:val="000000"/>
                <w:sz w:val="19"/>
              </w:rPr>
              <w:t>Axis Bank</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9.50 INR Lakhs</w:t>
            </w:r>
          </w:p>
        </w:tc>
        <w:tc>
          <w:tcPr>
            <w:tcW w:type="dxa" w:w="1520"/>
          </w:tcPr>
          <w:p>
            <w:r>
              <w:rPr>
                <w:color w:val="000000"/>
                <w:sz w:val="19"/>
              </w:rPr>
              <w:t>Not Available</w:t>
            </w:r>
          </w:p>
        </w:tc>
      </w:tr>
      <w:tr>
        <w:tc>
          <w:tcPr>
            <w:tcW w:type="dxa" w:w="1520"/>
            <w:shd w:val="clear" w:color="auto" w:fill="EAF0F8"/>
          </w:tcPr>
          <w:p>
            <w:r>
              <w:rPr>
                <w:color w:val="000000"/>
                <w:sz w:val="19"/>
              </w:rPr>
              <w:t>Cash Credit</w:t>
            </w:r>
          </w:p>
        </w:tc>
        <w:tc>
          <w:tcPr>
            <w:tcW w:type="dxa" w:w="1520"/>
            <w:shd w:val="clear" w:color="auto" w:fill="EAF0F8"/>
          </w:tcPr>
          <w:p>
            <w:r>
              <w:rPr>
                <w:color w:val="000000"/>
                <w:sz w:val="19"/>
              </w:rPr>
              <w:t>Axis Bank</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4.57 INR Lakhs</w:t>
            </w:r>
          </w:p>
        </w:tc>
        <w:tc>
          <w:tcPr>
            <w:tcW w:type="dxa" w:w="1520"/>
            <w:shd w:val="clear" w:color="auto" w:fill="EAF0F8"/>
          </w:tcPr>
          <w:p>
            <w:r>
              <w:rPr>
                <w:color w:val="000000"/>
                <w:sz w:val="19"/>
              </w:rPr>
              <w:t>On Demand</w:t>
            </w:r>
          </w:p>
        </w:tc>
      </w:tr>
      <w:tr>
        <w:tc>
          <w:tcPr>
            <w:tcW w:type="dxa" w:w="1520"/>
          </w:tcPr>
          <w:p>
            <w:r>
              <w:rPr>
                <w:color w:val="000000"/>
                <w:sz w:val="19"/>
              </w:rPr>
              <w:t>Secured Loan</w:t>
            </w:r>
          </w:p>
        </w:tc>
        <w:tc>
          <w:tcPr>
            <w:tcW w:type="dxa" w:w="1520"/>
          </w:tcPr>
          <w:p>
            <w:r>
              <w:rPr>
                <w:color w:val="000000"/>
                <w:sz w:val="19"/>
              </w:rPr>
              <w:t>Director (D. Lakshminarayanaswamy)</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166.76 INR Lakhs</w:t>
            </w:r>
          </w:p>
        </w:tc>
        <w:tc>
          <w:tcPr>
            <w:tcW w:type="dxa" w:w="1520"/>
          </w:tcPr>
          <w:p>
            <w:r>
              <w:rPr>
                <w:color w:val="000000"/>
                <w:sz w:val="19"/>
              </w:rPr>
              <w:t>Not Available</w:t>
            </w:r>
          </w:p>
        </w:tc>
      </w:tr>
      <w:tr>
        <w:tc>
          <w:tcPr>
            <w:tcW w:type="dxa" w:w="1520"/>
            <w:shd w:val="clear" w:color="auto" w:fill="EAF0F8"/>
          </w:tcPr>
          <w:p>
            <w:r>
              <w:rPr>
                <w:color w:val="000000"/>
                <w:sz w:val="19"/>
              </w:rPr>
              <w:t>Current Maturities of Long Term Borrowings</w:t>
            </w:r>
          </w:p>
        </w:tc>
        <w:tc>
          <w:tcPr>
            <w:tcW w:type="dxa" w:w="1520"/>
            <w:shd w:val="clear" w:color="auto" w:fill="EAF0F8"/>
          </w:tcPr>
          <w:p>
            <w:r>
              <w:rPr>
                <w:color w:val="000000"/>
                <w:sz w:val="19"/>
              </w:rPr>
              <w:t>Banks</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136.36 INR Lakhs</w:t>
            </w:r>
          </w:p>
        </w:tc>
        <w:tc>
          <w:tcPr>
            <w:tcW w:type="dxa" w:w="1520"/>
            <w:shd w:val="clear" w:color="auto" w:fill="EAF0F8"/>
          </w:tcPr>
          <w:p>
            <w:r>
              <w:rPr>
                <w:color w:val="000000"/>
                <w:sz w:val="19"/>
              </w:rPr>
              <w:t>Not Available</w:t>
            </w:r>
          </w:p>
        </w:tc>
      </w:tr>
      <w:tr>
        <w:tc>
          <w:tcPr>
            <w:tcW w:type="dxa" w:w="1520"/>
          </w:tcPr>
          <w:p>
            <w:r>
              <w:rPr>
                <w:color w:val="000000"/>
                <w:sz w:val="19"/>
              </w:rPr>
              <w:t>Inter Corporate Loan</w:t>
            </w:r>
          </w:p>
        </w:tc>
        <w:tc>
          <w:tcPr>
            <w:tcW w:type="dxa" w:w="1520"/>
          </w:tcPr>
          <w:p>
            <w:r>
              <w:rPr>
                <w:color w:val="000000"/>
                <w:sz w:val="19"/>
              </w:rPr>
              <w:t>Swathy Processors Ltd (SPL)</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1750.45 INR Lakhs</w:t>
            </w:r>
          </w:p>
        </w:tc>
        <w:tc>
          <w:tcPr>
            <w:tcW w:type="dxa" w:w="1520"/>
          </w:tcPr>
          <w:p>
            <w:r>
              <w:rPr>
                <w:color w:val="000000"/>
                <w:sz w:val="19"/>
              </w:rPr>
              <w:t>Not Available</w:t>
            </w:r>
          </w:p>
        </w:tc>
      </w:tr>
      <w:tr>
        <w:tc>
          <w:tcPr>
            <w:tcW w:type="dxa" w:w="1520"/>
            <w:shd w:val="clear" w:color="auto" w:fill="EAF0F8"/>
          </w:tcPr>
          <w:p>
            <w:r>
              <w:rPr>
                <w:color w:val="000000"/>
                <w:sz w:val="19"/>
              </w:rPr>
              <w:t>Inter Corporate Loan</w:t>
            </w:r>
          </w:p>
        </w:tc>
        <w:tc>
          <w:tcPr>
            <w:tcW w:type="dxa" w:w="1520"/>
            <w:shd w:val="clear" w:color="auto" w:fill="EAF0F8"/>
          </w:tcPr>
          <w:p>
            <w:r>
              <w:rPr>
                <w:color w:val="000000"/>
                <w:sz w:val="19"/>
              </w:rPr>
              <w:t>Suhasini Spinners Ltd (SSL)</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243.11 INR Lakhs</w:t>
            </w:r>
          </w:p>
        </w:tc>
        <w:tc>
          <w:tcPr>
            <w:tcW w:type="dxa" w:w="1520"/>
            <w:shd w:val="clear" w:color="auto" w:fill="EAF0F8"/>
          </w:tcPr>
          <w:p>
            <w:r>
              <w:rPr>
                <w:color w:val="000000"/>
                <w:sz w:val="19"/>
              </w:rPr>
              <w:t>Not Available</w:t>
            </w:r>
          </w:p>
        </w:tc>
      </w:tr>
      <w:tr>
        <w:tc>
          <w:tcPr>
            <w:tcW w:type="dxa" w:w="1520"/>
          </w:tcPr>
          <w:p>
            <w:r>
              <w:rPr>
                <w:color w:val="000000"/>
                <w:sz w:val="19"/>
              </w:rPr>
              <w:t>Inter Corporate Loan</w:t>
            </w:r>
          </w:p>
        </w:tc>
        <w:tc>
          <w:tcPr>
            <w:tcW w:type="dxa" w:w="1520"/>
          </w:tcPr>
          <w:p>
            <w:r>
              <w:rPr>
                <w:color w:val="000000"/>
                <w:sz w:val="19"/>
              </w:rPr>
              <w:t>Sri Ramakrishna Yarn Carriers Ltd (SRYC)</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210.74 INR Lakhs</w:t>
            </w:r>
          </w:p>
        </w:tc>
        <w:tc>
          <w:tcPr>
            <w:tcW w:type="dxa" w:w="1520"/>
          </w:tcPr>
          <w:p>
            <w:r>
              <w:rPr>
                <w:color w:val="000000"/>
                <w:sz w:val="19"/>
              </w:rPr>
              <w:t>Not Available</w:t>
            </w:r>
          </w:p>
        </w:tc>
      </w:tr>
      <w:tr>
        <w:tc>
          <w:tcPr>
            <w:tcW w:type="dxa" w:w="1520"/>
            <w:shd w:val="clear" w:color="auto" w:fill="EAF0F8"/>
          </w:tcPr>
          <w:p>
            <w:r>
              <w:rPr>
                <w:color w:val="000000"/>
                <w:sz w:val="19"/>
              </w:rPr>
              <w:t>Inter Corporate Loan</w:t>
            </w:r>
          </w:p>
        </w:tc>
        <w:tc>
          <w:tcPr>
            <w:tcW w:type="dxa" w:w="1520"/>
            <w:shd w:val="clear" w:color="auto" w:fill="EAF0F8"/>
          </w:tcPr>
          <w:p>
            <w:r>
              <w:rPr>
                <w:color w:val="000000"/>
                <w:sz w:val="19"/>
              </w:rPr>
              <w:t>Applied Automation Systems P Ltd (AASPL)</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0.39 INR Lakhs</w:t>
            </w:r>
          </w:p>
        </w:tc>
        <w:tc>
          <w:tcPr>
            <w:tcW w:type="dxa" w:w="1520"/>
            <w:shd w:val="clear" w:color="auto" w:fill="EAF0F8"/>
          </w:tcPr>
          <w:p>
            <w:r>
              <w:rPr>
                <w:color w:val="000000"/>
                <w:sz w:val="19"/>
              </w:rPr>
              <w:t>Not Available</w:t>
            </w:r>
          </w:p>
        </w:tc>
      </w:tr>
      <w:tr>
        <w:tc>
          <w:tcPr>
            <w:tcW w:type="dxa" w:w="1520"/>
          </w:tcPr>
          <w:p>
            <w:r>
              <w:rPr>
                <w:color w:val="000000"/>
                <w:sz w:val="19"/>
              </w:rPr>
              <w:t>Inter Corporate Loan</w:t>
            </w:r>
          </w:p>
        </w:tc>
        <w:tc>
          <w:tcPr>
            <w:tcW w:type="dxa" w:w="1520"/>
          </w:tcPr>
          <w:p>
            <w:r>
              <w:rPr>
                <w:color w:val="000000"/>
                <w:sz w:val="19"/>
              </w:rPr>
              <w:t>Spinwell Machinery Sales And Services Private Limited (SMSSPL)</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1.48 INR Lakhs</w:t>
            </w:r>
          </w:p>
        </w:tc>
        <w:tc>
          <w:tcPr>
            <w:tcW w:type="dxa" w:w="1520"/>
          </w:tcPr>
          <w:p>
            <w:r>
              <w:rPr>
                <w:color w:val="000000"/>
                <w:sz w:val="19"/>
              </w:rPr>
              <w:t>Not Available</w:t>
            </w:r>
          </w:p>
        </w:tc>
      </w:tr>
      <w:tr>
        <w:tc>
          <w:tcPr>
            <w:tcW w:type="dxa" w:w="1520"/>
            <w:shd w:val="clear" w:color="auto" w:fill="EAF0F8"/>
          </w:tcPr>
          <w:p>
            <w:r>
              <w:rPr>
                <w:color w:val="000000"/>
                <w:sz w:val="19"/>
              </w:rPr>
              <w:t>Inter Corporate Loan</w:t>
            </w:r>
          </w:p>
        </w:tc>
        <w:tc>
          <w:tcPr>
            <w:tcW w:type="dxa" w:w="1520"/>
            <w:shd w:val="clear" w:color="auto" w:fill="EAF0F8"/>
          </w:tcPr>
          <w:p>
            <w:r>
              <w:rPr>
                <w:color w:val="000000"/>
                <w:sz w:val="19"/>
              </w:rPr>
              <w:t>SNR Sons Charitable Trust (SNR)</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4.71 INR Lakhs</w:t>
            </w:r>
          </w:p>
        </w:tc>
        <w:tc>
          <w:tcPr>
            <w:tcW w:type="dxa" w:w="1520"/>
            <w:shd w:val="clear" w:color="auto" w:fill="EAF0F8"/>
          </w:tcPr>
          <w:p>
            <w:r>
              <w:rPr>
                <w:color w:val="000000"/>
                <w:sz w:val="19"/>
              </w:rPr>
              <w:t>Not Available</w:t>
            </w:r>
          </w:p>
        </w:tc>
      </w:tr>
      <w:tr>
        <w:tc>
          <w:tcPr>
            <w:tcW w:type="dxa" w:w="1520"/>
          </w:tcPr>
          <w:p>
            <w:r>
              <w:rPr>
                <w:color w:val="000000"/>
                <w:sz w:val="19"/>
              </w:rPr>
              <w:t>Inter Corporate Loan</w:t>
            </w:r>
          </w:p>
        </w:tc>
        <w:tc>
          <w:tcPr>
            <w:tcW w:type="dxa" w:w="1520"/>
          </w:tcPr>
          <w:p>
            <w:r>
              <w:rPr>
                <w:color w:val="000000"/>
                <w:sz w:val="19"/>
              </w:rPr>
              <w:t>Sri Ramakrishna Fuels (SRF)</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0.09 INR Lakhs</w:t>
            </w:r>
          </w:p>
        </w:tc>
        <w:tc>
          <w:tcPr>
            <w:tcW w:type="dxa" w:w="1520"/>
          </w:tcPr>
          <w:p>
            <w:r>
              <w:rPr>
                <w:color w:val="000000"/>
                <w:sz w:val="19"/>
              </w:rPr>
              <w:t>Not Available</w:t>
            </w:r>
          </w:p>
        </w:tc>
      </w:tr>
      <w:tr>
        <w:tc>
          <w:tcPr>
            <w:tcW w:type="dxa" w:w="1520"/>
            <w:shd w:val="clear" w:color="auto" w:fill="EAF0F8"/>
          </w:tcPr>
          <w:p>
            <w:r>
              <w:rPr>
                <w:color w:val="000000"/>
                <w:sz w:val="19"/>
              </w:rPr>
              <w:t>Loan from Director/KMP</w:t>
            </w:r>
          </w:p>
        </w:tc>
        <w:tc>
          <w:tcPr>
            <w:tcW w:type="dxa" w:w="1520"/>
            <w:shd w:val="clear" w:color="auto" w:fill="EAF0F8"/>
          </w:tcPr>
          <w:p>
            <w:r>
              <w:rPr>
                <w:color w:val="000000"/>
                <w:sz w:val="19"/>
              </w:rPr>
              <w:t>L. Nagaswarna</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12.36 INR Lakhs</w:t>
            </w:r>
          </w:p>
        </w:tc>
        <w:tc>
          <w:tcPr>
            <w:tcW w:type="dxa" w:w="1520"/>
            <w:shd w:val="clear" w:color="auto" w:fill="EAF0F8"/>
          </w:tcPr>
          <w:p>
            <w:r>
              <w:rPr>
                <w:color w:val="000000"/>
                <w:sz w:val="19"/>
              </w:rPr>
              <w:t>Not Available</w:t>
            </w:r>
          </w:p>
        </w:tc>
      </w:tr>
      <w:tr>
        <w:tc>
          <w:tcPr>
            <w:tcW w:type="dxa" w:w="1520"/>
          </w:tcPr>
          <w:p>
            <w:r>
              <w:rPr>
                <w:color w:val="000000"/>
                <w:sz w:val="19"/>
              </w:rPr>
              <w:t>Loan from Related Party</w:t>
            </w:r>
          </w:p>
        </w:tc>
        <w:tc>
          <w:tcPr>
            <w:tcW w:type="dxa" w:w="1520"/>
          </w:tcPr>
          <w:p>
            <w:r>
              <w:rPr>
                <w:color w:val="000000"/>
                <w:sz w:val="19"/>
              </w:rPr>
              <w:t>L.Swathy</w:t>
            </w:r>
          </w:p>
        </w:tc>
        <w:tc>
          <w:tcPr>
            <w:tcW w:type="dxa" w:w="1520"/>
          </w:tcPr>
          <w:p>
            <w:r>
              <w:rPr>
                <w:color w:val="000000"/>
                <w:sz w:val="19"/>
              </w:rPr>
              <w:t>Not Available</w:t>
            </w:r>
          </w:p>
        </w:tc>
        <w:tc>
          <w:tcPr>
            <w:tcW w:type="dxa" w:w="1520"/>
          </w:tcPr>
          <w:p>
            <w:r>
              <w:rPr>
                <w:color w:val="000000"/>
                <w:sz w:val="19"/>
              </w:rPr>
              <w:t>Not Available</w:t>
            </w:r>
          </w:p>
        </w:tc>
        <w:tc>
          <w:tcPr>
            <w:tcW w:type="dxa" w:w="1520"/>
          </w:tcPr>
          <w:p>
            <w:r>
              <w:rPr>
                <w:color w:val="000000"/>
                <w:sz w:val="19"/>
              </w:rPr>
              <w:t>13.06 INR Lakhs</w:t>
            </w:r>
          </w:p>
        </w:tc>
        <w:tc>
          <w:tcPr>
            <w:tcW w:type="dxa" w:w="1520"/>
          </w:tcPr>
          <w:p>
            <w:r>
              <w:rPr>
                <w:color w:val="000000"/>
                <w:sz w:val="19"/>
              </w:rPr>
              <w:t>Not Available</w:t>
            </w:r>
          </w:p>
        </w:tc>
      </w:tr>
    </w:tbl>
    <w:p/>
    <w:p/>
    <w:p>
      <w:r>
        <w:rPr>
          <w:b/>
          <w:color w:val="003366"/>
          <w:sz w:val="22"/>
        </w:rPr>
        <w:t>3.3 Covenants &amp; Restrictions</w:t>
      </w:r>
    </w:p>
    <w:p/>
    <w:p>
      <w:pPr>
        <w:spacing w:after="80"/>
        <w:jc w:val="both"/>
      </w:pPr>
      <w:r>
        <w:rPr>
          <w:sz w:val="21"/>
        </w:rPr>
        <w:t>The company's debt facilities are subject to various covenants and security arrangements:</w:t>
      </w:r>
    </w:p>
    <w:p/>
    <w:p>
      <w:pPr>
        <w:pStyle w:val="ListBullet"/>
        <w:jc w:val="both"/>
      </w:pPr>
      <w:r>
        <w:rPr>
          <w:sz w:val="21"/>
        </w:rPr>
        <w:t xml:space="preserve">  </w:t>
      </w:r>
      <w:r>
        <w:rPr>
          <w:b/>
          <w:sz w:val="21"/>
        </w:rPr>
        <w:t>Axis Bank Facilities (ECLGS Term Loan, Term Loans, Cash Credit):</w:t>
      </w:r>
      <w:r>
        <w:rPr>
          <w:sz w:val="21"/>
        </w:rPr>
        <w:t xml:space="preserve"> These facilities are primarily secured by the hypothecation of the company's entire machinery, constituting a first charge arising from term loans on an exclusive basis. Additionally, all term loans from Axis Bank are secured by an equitable mortgage of land and building located in Chittoor District, Andhra Pradesh. Personal guarantees have been provided by the Managing Director, Whole-time directors, and their relatives in respect of these bank loan facilities. The Cash Credit facility from Axis Bank is further secured by the stock of raw materials, stock in process, finished goods, packing materials, and book debts of the company.</w:t>
      </w:r>
    </w:p>
    <w:p>
      <w:pPr>
        <w:pStyle w:val="ListBullet"/>
        <w:jc w:val="both"/>
      </w:pPr>
      <w:r>
        <w:rPr>
          <w:sz w:val="21"/>
        </w:rPr>
        <w:t xml:space="preserve">  </w:t>
      </w:r>
      <w:r>
        <w:rPr>
          <w:b/>
          <w:sz w:val="21"/>
        </w:rPr>
        <w:t>Secured Loan from Director (D. Lakshminarayanaswamy):</w:t>
      </w:r>
      <w:r>
        <w:rPr>
          <w:sz w:val="21"/>
        </w:rPr>
        <w:t xml:space="preserve"> This loan is secured by an equitable mortgage of vacant land and building situated at Ganapathy, Coimbatore, with the Managing Director holding a second charge.</w:t>
      </w:r>
    </w:p>
    <w:p>
      <w:pPr>
        <w:pStyle w:val="ListBullet"/>
        <w:jc w:val="both"/>
      </w:pPr>
      <w:r>
        <w:rPr>
          <w:sz w:val="21"/>
        </w:rPr>
        <w:t xml:space="preserve">  </w:t>
      </w:r>
      <w:r>
        <w:rPr>
          <w:b/>
          <w:sz w:val="21"/>
        </w:rPr>
        <w:t>Inter Corporate Loans, Loans from Director/KMP, and Loans from Related Parties:</w:t>
      </w:r>
      <w:r>
        <w:rPr>
          <w:sz w:val="21"/>
        </w:rPr>
        <w:t xml:space="preserve"> These instruments are generally unsecured. The settlement for these loans is stated to take place in cash or through the transfer of assets.</w:t>
      </w:r>
    </w:p>
    <w:p/>
    <w:p>
      <w:r>
        <w:rPr>
          <w:b/>
          <w:color w:val="003366"/>
          <w:sz w:val="22"/>
        </w:rPr>
        <w:t>3.4 Repayment &amp; Conduct</w:t>
      </w:r>
    </w:p>
    <w:p/>
    <w:p>
      <w:pPr>
        <w:spacing w:after="80"/>
        <w:jc w:val="both"/>
      </w:pPr>
      <w:r>
        <w:rPr>
          <w:sz w:val="21"/>
        </w:rPr>
        <w:t>Based on the available information, no adverse repayment track record, defaults, or SMA (Special Mention Account) classifications have been reported for SRI RAMAKRISHNA MILLS (COIMBATORE) LIMITED. The company's conduct with its lenders appears to be satisfactory as per the provided data.</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4. Risk Assessment &amp; Security</w:t>
      </w:r>
    </w:p>
    <w:p/>
    <w:p>
      <w:r>
        <w:rPr>
          <w:b/>
          <w:color w:val="003366"/>
          <w:sz w:val="22"/>
        </w:rPr>
        <w:t>1. Risk Assessment</w:t>
      </w:r>
    </w:p>
    <w:p/>
    <w:p>
      <w:pPr>
        <w:spacing w:after="80"/>
        <w:jc w:val="both"/>
      </w:pPr>
      <w:r>
        <w:rPr>
          <w:sz w:val="21"/>
        </w:rPr>
        <w:t>This section identifies and assesses key risks associated with Sri Ramakrishna Mills (Coimbatore) Limited, categorised by their nature, along with their respective mitigants.</w:t>
      </w:r>
    </w:p>
    <w:p/>
    <w:p>
      <w:pPr>
        <w:spacing w:after="80"/>
        <w:jc w:val="both"/>
      </w:pPr>
      <w:r>
        <w:rPr>
          <w:b/>
          <w:sz w:val="21"/>
        </w:rPr>
        <w:t>Financial Risk</w:t>
      </w:r>
    </w:p>
    <w:p/>
    <w:p>
      <w:pPr>
        <w:pStyle w:val="ListBullet"/>
        <w:jc w:val="both"/>
      </w:pPr>
      <w:r>
        <w:rPr>
          <w:sz w:val="21"/>
        </w:rPr>
        <w:t xml:space="preserve">  </w:t>
      </w:r>
      <w:r>
        <w:rPr>
          <w:b/>
          <w:sz w:val="21"/>
        </w:rPr>
        <w:t>Risk:</w:t>
      </w:r>
      <w:r>
        <w:rPr>
          <w:sz w:val="21"/>
        </w:rPr>
        <w:t xml:space="preserve"> Near-Zero Cash / Liquidity Risk</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Cash &amp; cash equivalents stood at INR 0.72 Lakhs as at March 31, 2024, with a current ratio of 0.95x, indicating current liabilities exceed current assets. The company is heavily dependent on borrowings and related party funding. This is reflected in a Financial Strength raw score of 4.0 and a 'WATCH' trigger for Current Ratio.</w:t>
      </w:r>
    </w:p>
    <w:p>
      <w:pPr>
        <w:pStyle w:val="ListBullet"/>
        <w:jc w:val="both"/>
      </w:pPr>
      <w:r>
        <w:rPr>
          <w:sz w:val="21"/>
        </w:rPr>
        <w:t xml:space="preserve">  </w:t>
      </w:r>
      <w:r>
        <w:rPr>
          <w:b/>
          <w:sz w:val="21"/>
        </w:rPr>
        <w:t>Mitigant:</w:t>
      </w:r>
      <w:r>
        <w:rPr>
          <w:sz w:val="21"/>
        </w:rPr>
        <w:t xml:space="preserve"> The company generated strong operating cash flow of INR 2,141 Lakhs in FY24. Working capital requirements are funded by banks and inter-corporate loans.</w:t>
      </w:r>
    </w:p>
    <w:p>
      <w:pPr>
        <w:pStyle w:val="ListBullet"/>
        <w:jc w:val="both"/>
      </w:pPr>
      <w:r>
        <w:rPr>
          <w:sz w:val="21"/>
        </w:rPr>
        <w:t xml:space="preserve">  </w:t>
      </w:r>
      <w:r>
        <w:rPr>
          <w:b/>
          <w:sz w:val="21"/>
        </w:rPr>
        <w:t>Risk:</w:t>
      </w:r>
      <w:r>
        <w:rPr>
          <w:sz w:val="21"/>
        </w:rPr>
        <w:t xml:space="preserve"> High Leverage / Related Party Funding</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The company exhibits high gearing with a net debt to equity ratio of 203%. Total borrowings amount to INR 3,781 Lakhs against an equity base of INR 1,858 Lakhs, including significant inter-corporate loans from related parties (INR 2,302 Lakhs) and director loans (INR 167 Lakhs). This is flagged as an 'ELEVATED' trigger for Net Debt to Equity and contributes to a Financial Strength raw score of 4.0.</w:t>
      </w:r>
    </w:p>
    <w:p>
      <w:pPr>
        <w:pStyle w:val="ListBullet"/>
        <w:jc w:val="both"/>
      </w:pPr>
      <w:r>
        <w:rPr>
          <w:sz w:val="21"/>
        </w:rPr>
        <w:t xml:space="preserve">  </w:t>
      </w:r>
      <w:r>
        <w:rPr>
          <w:b/>
          <w:sz w:val="21"/>
        </w:rPr>
        <w:t>Mitigant:</w:t>
      </w:r>
      <w:r>
        <w:rPr>
          <w:sz w:val="21"/>
        </w:rPr>
        <w:t xml:space="preserve"> The company is transitioning to Axis Bank facilities post-FY24, and director loans are reported to be reducing.</w:t>
      </w:r>
    </w:p>
    <w:p>
      <w:pPr>
        <w:pStyle w:val="ListBullet"/>
        <w:jc w:val="both"/>
      </w:pPr>
      <w:r>
        <w:rPr>
          <w:sz w:val="21"/>
        </w:rPr>
        <w:t xml:space="preserve">  </w:t>
      </w:r>
      <w:r>
        <w:rPr>
          <w:b/>
          <w:sz w:val="21"/>
        </w:rPr>
        <w:t>Risk:</w:t>
      </w:r>
      <w:r>
        <w:rPr>
          <w:sz w:val="21"/>
        </w:rPr>
        <w:t xml:space="preserve"> Interest Burden &amp; Finance Costs</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Finance costs of INR 391.95 Lakhs represent a substantial 60.5% of Profit After Tax (PAT), with a portion attributable to interest on related party loans (SPL INR 186.96 Lakhs, D.Lakshminarayanaswamy INR 37.04 Lakhs).</w:t>
      </w:r>
    </w:p>
    <w:p>
      <w:pPr>
        <w:pStyle w:val="ListBullet"/>
        <w:jc w:val="both"/>
      </w:pPr>
      <w:r>
        <w:rPr>
          <w:sz w:val="21"/>
        </w:rPr>
        <w:t xml:space="preserve">  </w:t>
      </w:r>
      <w:r>
        <w:rPr>
          <w:b/>
          <w:sz w:val="21"/>
        </w:rPr>
        <w:t>Mitigant:</w:t>
      </w:r>
      <w:r>
        <w:rPr>
          <w:sz w:val="21"/>
        </w:rPr>
        <w:t xml:space="preserve"> The Debt Service Coverage Ratio (DSCR) improved to 1.37x from 0.77x, although it remains below the 1.5x benchmark, triggering a 'WATCH' status. The company is also transitioning its banking relationships from South Indian Bank to Axis Bank.</w:t>
      </w:r>
    </w:p>
    <w:p>
      <w:pPr>
        <w:pStyle w:val="ListBullet"/>
        <w:jc w:val="both"/>
      </w:pPr>
      <w:r>
        <w:rPr>
          <w:sz w:val="21"/>
        </w:rPr>
        <w:t xml:space="preserve">  </w:t>
      </w:r>
      <w:r>
        <w:rPr>
          <w:b/>
          <w:sz w:val="21"/>
        </w:rPr>
        <w:t>Risk:</w:t>
      </w:r>
      <w:r>
        <w:rPr>
          <w:sz w:val="21"/>
        </w:rPr>
        <w:t xml:space="preserve"> Working Capital Tied in Real Estate Land</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Stock-in-trade land of INR 1,812 Lakhs remains on the books (unchanged from the prior year), representing 27% of total assets. This indicates a significant portion of working capital is tied up in illiquid assets, contributing to a 'WATCH' trigger for Inventory Turnover (Days) and an Asset Quality raw score of 5.0.</w:t>
      </w:r>
    </w:p>
    <w:p>
      <w:pPr>
        <w:pStyle w:val="ListBullet"/>
        <w:jc w:val="both"/>
      </w:pPr>
      <w:r>
        <w:rPr>
          <w:sz w:val="21"/>
        </w:rPr>
        <w:t xml:space="preserve">  </w:t>
      </w:r>
      <w:r>
        <w:rPr>
          <w:b/>
          <w:sz w:val="21"/>
        </w:rPr>
        <w:t>Mitigant:</w:t>
      </w:r>
      <w:r>
        <w:rPr>
          <w:sz w:val="21"/>
        </w:rPr>
        <w:t xml:space="preserve"> The land bank is available for future development and is secured against borrowings.</w:t>
      </w:r>
    </w:p>
    <w:p>
      <w:pPr>
        <w:pStyle w:val="ListBullet"/>
        <w:jc w:val="both"/>
      </w:pPr>
      <w:r>
        <w:rPr>
          <w:sz w:val="21"/>
        </w:rPr>
        <w:t xml:space="preserve">  </w:t>
      </w:r>
      <w:r>
        <w:rPr>
          <w:b/>
          <w:sz w:val="21"/>
        </w:rPr>
        <w:t>Risk:</w:t>
      </w:r>
      <w:r>
        <w:rPr>
          <w:sz w:val="21"/>
        </w:rPr>
        <w:t xml:space="preserve"> Utilisation of Short-Term Funds for Long-Term Purposes</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The company has utilised funds raised on a short-term basis, specifically inter-corporate deposits from related parties aggregating to INR 47.24 Lakhs, for long-term purposes (representing Non-Current Assets). This indicates a potential mismatch in funding.</w:t>
      </w:r>
    </w:p>
    <w:p>
      <w:pPr>
        <w:pStyle w:val="ListBullet"/>
        <w:jc w:val="both"/>
      </w:pPr>
      <w:r>
        <w:rPr>
          <w:sz w:val="21"/>
        </w:rPr>
        <w:t xml:space="preserve">  </w:t>
      </w:r>
      <w:r>
        <w:rPr>
          <w:b/>
          <w:sz w:val="21"/>
        </w:rPr>
        <w:t>Mitigant:</w:t>
      </w:r>
      <w:r>
        <w:rPr>
          <w:sz w:val="21"/>
        </w:rPr>
        <w:t xml:space="preserve"> No specific mitigant identified in the provided data for this specific issue.</w:t>
      </w:r>
    </w:p>
    <w:p/>
    <w:p>
      <w:pPr>
        <w:spacing w:after="80"/>
        <w:jc w:val="both"/>
      </w:pPr>
      <w:r>
        <w:rPr>
          <w:b/>
          <w:sz w:val="21"/>
        </w:rPr>
        <w:t>Operational Risk</w:t>
      </w:r>
    </w:p>
    <w:p/>
    <w:p>
      <w:pPr>
        <w:pStyle w:val="ListBullet"/>
        <w:jc w:val="both"/>
      </w:pPr>
      <w:r>
        <w:rPr>
          <w:sz w:val="21"/>
        </w:rPr>
        <w:t xml:space="preserve">  </w:t>
      </w:r>
      <w:r>
        <w:rPr>
          <w:b/>
          <w:sz w:val="21"/>
        </w:rPr>
        <w:t>Risk:</w:t>
      </w:r>
      <w:r>
        <w:rPr>
          <w:sz w:val="21"/>
        </w:rPr>
        <w:t xml:space="preserve"> Textile Segment Operating Losses</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The textile segment recorded a loss of INR (407.33) Lakhs before finance costs in FY24, with losses persisting for several years. This led auditors to flag going concern as a Key Audit Matter.</w:t>
      </w:r>
    </w:p>
    <w:p>
      <w:pPr>
        <w:pStyle w:val="ListBullet"/>
        <w:jc w:val="both"/>
      </w:pPr>
      <w:r>
        <w:rPr>
          <w:sz w:val="21"/>
        </w:rPr>
        <w:t xml:space="preserve">  </w:t>
      </w:r>
      <w:r>
        <w:rPr>
          <w:b/>
          <w:sz w:val="21"/>
        </w:rPr>
        <w:t>Mitigant:</w:t>
      </w:r>
      <w:r>
        <w:rPr>
          <w:sz w:val="21"/>
        </w:rPr>
        <w:t xml:space="preserve"> Real estate profits have historically cross-subsidised the textile segment. Machinery modernisation, involving capex of INR 2,238 Lakhs in FY24, is underway at Nagari to improve the core business.</w:t>
      </w:r>
    </w:p>
    <w:p>
      <w:pPr>
        <w:pStyle w:val="ListBullet"/>
        <w:jc w:val="both"/>
      </w:pPr>
      <w:r>
        <w:rPr>
          <w:sz w:val="21"/>
        </w:rPr>
        <w:t xml:space="preserve">  </w:t>
      </w:r>
      <w:r>
        <w:rPr>
          <w:b/>
          <w:sz w:val="21"/>
        </w:rPr>
        <w:t>Risk:</w:t>
      </w:r>
      <w:r>
        <w:rPr>
          <w:sz w:val="21"/>
        </w:rPr>
        <w:t xml:space="preserve"> Going Concern — Auditor Key Audit Matter (KAM)</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Statutory auditors initially identified going concern as a Key Audit Matter due to persistent textile losses, below-capacity operations, and borrowing-mix concerns.</w:t>
      </w:r>
    </w:p>
    <w:p>
      <w:pPr>
        <w:pStyle w:val="ListBullet"/>
        <w:jc w:val="both"/>
      </w:pPr>
      <w:r>
        <w:rPr>
          <w:sz w:val="21"/>
        </w:rPr>
        <w:t xml:space="preserve">  </w:t>
      </w:r>
      <w:r>
        <w:rPr>
          <w:b/>
          <w:sz w:val="21"/>
        </w:rPr>
        <w:t>Mitigant:</w:t>
      </w:r>
      <w:r>
        <w:rPr>
          <w:sz w:val="21"/>
        </w:rPr>
        <w:t xml:space="preserve"> Based on their assessment of management plans and cross-segment support, auditors concluded that there is no material uncertainty about the company's ability to continue as a going concern, and an unmodified audit opinion was issued.</w:t>
      </w:r>
    </w:p>
    <w:p>
      <w:pPr>
        <w:pStyle w:val="ListBullet"/>
        <w:jc w:val="both"/>
      </w:pPr>
      <w:r>
        <w:rPr>
          <w:sz w:val="21"/>
        </w:rPr>
        <w:t xml:space="preserve">  </w:t>
      </w:r>
      <w:r>
        <w:rPr>
          <w:b/>
          <w:sz w:val="21"/>
        </w:rPr>
        <w:t>Risk:</w:t>
      </w:r>
      <w:r>
        <w:rPr>
          <w:sz w:val="21"/>
        </w:rPr>
        <w:t xml:space="preserve"> Power &amp; Energy Cost Exposure</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Power &amp; fuel expense surged to INR 785 Lakhs (+91% YoY) from INR 411 Lakhs, with electricity costs at INR 7.49/unit. The mill at Nagari (AP) is grid-dependent.</w:t>
      </w:r>
    </w:p>
    <w:p>
      <w:pPr>
        <w:pStyle w:val="ListBullet"/>
        <w:jc w:val="both"/>
      </w:pPr>
      <w:r>
        <w:rPr>
          <w:sz w:val="21"/>
        </w:rPr>
        <w:t xml:space="preserve">  </w:t>
      </w:r>
      <w:r>
        <w:rPr>
          <w:b/>
          <w:sz w:val="21"/>
        </w:rPr>
        <w:t>Mitigant:</w:t>
      </w:r>
      <w:r>
        <w:rPr>
          <w:sz w:val="21"/>
        </w:rPr>
        <w:t xml:space="preserve"> The company purchases solar energy from a related party (Swathy Processors) at a lower rate of INR 5.10/unit, covering part of its energy needs.</w:t>
      </w:r>
    </w:p>
    <w:p/>
    <w:p>
      <w:pPr>
        <w:spacing w:after="80"/>
        <w:jc w:val="both"/>
      </w:pPr>
      <w:r>
        <w:rPr>
          <w:b/>
          <w:sz w:val="21"/>
        </w:rPr>
        <w:t>Market Risk</w:t>
      </w:r>
    </w:p>
    <w:p/>
    <w:p>
      <w:pPr>
        <w:pStyle w:val="ListBullet"/>
        <w:jc w:val="both"/>
      </w:pPr>
      <w:r>
        <w:rPr>
          <w:sz w:val="21"/>
        </w:rPr>
        <w:t xml:space="preserve">  </w:t>
      </w:r>
      <w:r>
        <w:rPr>
          <w:b/>
          <w:sz w:val="21"/>
        </w:rPr>
        <w:t>Risk:</w:t>
      </w:r>
      <w:r>
        <w:rPr>
          <w:sz w:val="21"/>
        </w:rPr>
        <w:t xml:space="preserve"> Real Estate Revenue Concentration</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Real estate income from villa sales constituted INR 3,123 Lakhs (52.8% of total revenue) in FY24. The project is now completed, and all villas have been sold, with no future pipeline disclosed. This contributes to an Industry / Market Risk raw score of 4.0.</w:t>
      </w:r>
    </w:p>
    <w:p>
      <w:pPr>
        <w:pStyle w:val="ListBullet"/>
        <w:jc w:val="both"/>
      </w:pPr>
      <w:r>
        <w:rPr>
          <w:sz w:val="21"/>
        </w:rPr>
        <w:t xml:space="preserve">  </w:t>
      </w:r>
      <w:r>
        <w:rPr>
          <w:b/>
          <w:sz w:val="21"/>
        </w:rPr>
        <w:t>Mitigant:</w:t>
      </w:r>
      <w:r>
        <w:rPr>
          <w:sz w:val="21"/>
        </w:rPr>
        <w:t xml:space="preserve"> The company has undertaken textile modernisation capex of INR 2,238 Lakhs in FY24 to improve the core textile business and reduce reliance on real estate.</w:t>
      </w:r>
    </w:p>
    <w:p>
      <w:pPr>
        <w:pStyle w:val="ListBullet"/>
        <w:jc w:val="both"/>
      </w:pPr>
      <w:r>
        <w:rPr>
          <w:sz w:val="21"/>
        </w:rPr>
        <w:t xml:space="preserve">  </w:t>
      </w:r>
      <w:r>
        <w:rPr>
          <w:b/>
          <w:sz w:val="21"/>
        </w:rPr>
        <w:t>Risk:</w:t>
      </w:r>
      <w:r>
        <w:rPr>
          <w:sz w:val="21"/>
        </w:rPr>
        <w:t xml:space="preserve"> Cotton / Yarn Price Volatility</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The MD&amp;A notes unprecedented lower margins due to cotton price fluctuations and reduced demand. Power cost surges also impacted margins. This is reflected in an Industry / Market Risk raw score of 4.0.</w:t>
      </w:r>
    </w:p>
    <w:p>
      <w:pPr>
        <w:pStyle w:val="ListBullet"/>
        <w:jc w:val="both"/>
      </w:pPr>
      <w:r>
        <w:rPr>
          <w:sz w:val="21"/>
        </w:rPr>
        <w:t xml:space="preserve">  </w:t>
      </w:r>
      <w:r>
        <w:rPr>
          <w:b/>
          <w:sz w:val="21"/>
        </w:rPr>
        <w:t>Mitigant:</w:t>
      </w:r>
      <w:r>
        <w:rPr>
          <w:sz w:val="21"/>
        </w:rPr>
        <w:t xml:space="preserve"> The company uses 100% indigenous raw materials and is a member of SITRA for technology access, which may help mitigate some aspects of volatility.</w:t>
      </w:r>
    </w:p>
    <w:p>
      <w:pPr>
        <w:pStyle w:val="ListBullet"/>
        <w:jc w:val="both"/>
      </w:pPr>
      <w:r>
        <w:rPr>
          <w:sz w:val="21"/>
        </w:rPr>
        <w:t xml:space="preserve">  </w:t>
      </w:r>
      <w:r>
        <w:rPr>
          <w:b/>
          <w:sz w:val="21"/>
        </w:rPr>
        <w:t>Risk:</w:t>
      </w:r>
      <w:r>
        <w:rPr>
          <w:sz w:val="21"/>
        </w:rPr>
        <w:t xml:space="preserve"> Industry Cyclicality &amp; Red Sea Crisis</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The MD&amp;A highlights adverse economic conditions in importing countries and the Red Sea crisis impacting Indian textile exports, indicating exposure to global market dynamics and supply chain disruptions. This contributes to an Industry / Market Risk raw score of 4.0.</w:t>
      </w:r>
    </w:p>
    <w:p>
      <w:pPr>
        <w:pStyle w:val="ListBullet"/>
        <w:jc w:val="both"/>
      </w:pPr>
      <w:r>
        <w:rPr>
          <w:sz w:val="21"/>
        </w:rPr>
        <w:t xml:space="preserve">  </w:t>
      </w:r>
      <w:r>
        <w:rPr>
          <w:b/>
          <w:sz w:val="21"/>
        </w:rPr>
        <w:t>Mitigant:</w:t>
      </w:r>
      <w:r>
        <w:rPr>
          <w:sz w:val="21"/>
        </w:rPr>
        <w:t xml:space="preserve"> The company maintains a domestic focus, with no foreign exchange earnings reported in FY24, which limits direct exposure to export market volatility.</w:t>
      </w:r>
    </w:p>
    <w:p/>
    <w:p>
      <w:pPr>
        <w:spacing w:after="80"/>
        <w:jc w:val="both"/>
      </w:pPr>
      <w:r>
        <w:rPr>
          <w:b/>
          <w:sz w:val="21"/>
        </w:rPr>
        <w:t>Management Risk</w:t>
      </w:r>
    </w:p>
    <w:p/>
    <w:p>
      <w:pPr>
        <w:pStyle w:val="ListBullet"/>
        <w:jc w:val="both"/>
      </w:pPr>
      <w:r>
        <w:rPr>
          <w:sz w:val="21"/>
        </w:rPr>
        <w:t xml:space="preserve">  </w:t>
      </w:r>
      <w:r>
        <w:rPr>
          <w:b/>
          <w:sz w:val="21"/>
        </w:rPr>
        <w:t>Risk:</w:t>
      </w:r>
      <w:r>
        <w:rPr>
          <w:sz w:val="21"/>
        </w:rPr>
        <w:t xml:space="preserve"> Promoter / Key-Person Dependence</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Managing Director D.Lakshminarayanaswamy and his family hold 64% equity, with all operations and strategy centred on the promoter family, posing a key-person risk. This is reflected in a Management Quality raw score of 5.0.</w:t>
      </w:r>
    </w:p>
    <w:p>
      <w:pPr>
        <w:pStyle w:val="ListBullet"/>
        <w:jc w:val="both"/>
      </w:pPr>
      <w:r>
        <w:rPr>
          <w:sz w:val="21"/>
        </w:rPr>
        <w:t xml:space="preserve">  </w:t>
      </w:r>
      <w:r>
        <w:rPr>
          <w:b/>
          <w:sz w:val="21"/>
        </w:rPr>
        <w:t>Mitigant:</w:t>
      </w:r>
      <w:r>
        <w:rPr>
          <w:sz w:val="21"/>
        </w:rPr>
        <w:t xml:space="preserve"> The company's board includes three independent directors, and all board committees are functional, providing a degree of governance oversight.</w:t>
      </w:r>
    </w:p>
    <w:p/>
    <w:p>
      <w:pPr>
        <w:spacing w:after="80"/>
        <w:jc w:val="both"/>
      </w:pPr>
      <w:r>
        <w:rPr>
          <w:b/>
          <w:sz w:val="21"/>
        </w:rPr>
        <w:t>Compliance Risk</w:t>
      </w:r>
    </w:p>
    <w:p/>
    <w:p>
      <w:pPr>
        <w:pStyle w:val="ListBullet"/>
        <w:jc w:val="both"/>
      </w:pPr>
      <w:r>
        <w:rPr>
          <w:sz w:val="21"/>
        </w:rPr>
        <w:t xml:space="preserve">  </w:t>
      </w:r>
      <w:r>
        <w:rPr>
          <w:b/>
          <w:sz w:val="21"/>
        </w:rPr>
        <w:t>Risk:</w:t>
      </w:r>
      <w:r>
        <w:rPr>
          <w:sz w:val="21"/>
        </w:rPr>
        <w:t xml:space="preserve"> Audit Trail (Edit Log) Not Enabled</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Auditors reported that the accounting software's audit trail feature was not enabled throughout the year, representing a weakness in internal controls. This is reflected in a Compliance &amp; Legal raw score of 5.0.</w:t>
      </w:r>
    </w:p>
    <w:p>
      <w:pPr>
        <w:pStyle w:val="ListBullet"/>
        <w:jc w:val="both"/>
      </w:pPr>
      <w:r>
        <w:rPr>
          <w:sz w:val="21"/>
        </w:rPr>
        <w:t xml:space="preserve">  </w:t>
      </w:r>
      <w:r>
        <w:rPr>
          <w:b/>
          <w:sz w:val="21"/>
        </w:rPr>
        <w:t>Mitigant:</w:t>
      </w:r>
      <w:r>
        <w:rPr>
          <w:sz w:val="21"/>
        </w:rPr>
        <w:t xml:space="preserve"> Internal controls were generally assessed as operating effectively, and an internal audit system is in place. Management is evaluating options to comply with audit trail requirements.</w:t>
      </w:r>
    </w:p>
    <w:p>
      <w:pPr>
        <w:pStyle w:val="ListBullet"/>
        <w:jc w:val="both"/>
      </w:pPr>
      <w:r>
        <w:rPr>
          <w:sz w:val="21"/>
        </w:rPr>
        <w:t xml:space="preserve">  </w:t>
      </w:r>
      <w:r>
        <w:rPr>
          <w:b/>
          <w:sz w:val="21"/>
        </w:rPr>
        <w:t>Risk:</w:t>
      </w:r>
      <w:r>
        <w:rPr>
          <w:sz w:val="21"/>
        </w:rPr>
        <w:t xml:space="preserve"> Unremitted GST Dues</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Description:</w:t>
      </w:r>
      <w:r>
        <w:rPr>
          <w:sz w:val="21"/>
        </w:rPr>
        <w:t xml:space="preserve"> An undisputed GST amount of INR 7.59 Lakhs relating to Financial Year 2019-20 remains in arrears and has not been remitted as of the report date.</w:t>
      </w:r>
    </w:p>
    <w:p>
      <w:pPr>
        <w:pStyle w:val="ListBullet"/>
        <w:jc w:val="both"/>
      </w:pPr>
      <w:r>
        <w:rPr>
          <w:sz w:val="21"/>
        </w:rPr>
        <w:t xml:space="preserve">  </w:t>
      </w:r>
      <w:r>
        <w:rPr>
          <w:b/>
          <w:sz w:val="21"/>
        </w:rPr>
        <w:t>Mitigant:</w:t>
      </w:r>
      <w:r>
        <w:rPr>
          <w:sz w:val="21"/>
        </w:rPr>
        <w:t xml:space="preserve"> No specific mitigant identified in the provided data for this specific issue.</w:t>
      </w:r>
    </w:p>
    <w:p>
      <w:pPr>
        <w:pStyle w:val="ListBullet"/>
        <w:jc w:val="both"/>
      </w:pPr>
      <w:r>
        <w:rPr>
          <w:sz w:val="21"/>
        </w:rPr>
        <w:t xml:space="preserve">  </w:t>
      </w:r>
      <w:r>
        <w:rPr>
          <w:b/>
          <w:sz w:val="21"/>
        </w:rPr>
        <w:t>Risk:</w:t>
      </w:r>
      <w:r>
        <w:rPr>
          <w:sz w:val="21"/>
        </w:rPr>
        <w:t xml:space="preserve"> Disputed Tax &amp; Other Liabilities</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Description:</w:t>
      </w:r>
      <w:r>
        <w:rPr>
          <w:sz w:val="21"/>
        </w:rPr>
        <w:t xml:space="preserve"> A Tamil Nadu Goods and Services Tax (TNGST) demand of INR 61.66 Lakhs for Assessment Year 1998-99 is pending before the Madras High Court. INR 30.83 Lakhs has been paid under protest. This is reflected in a Compliance &amp; Legal raw score of 5.0.</w:t>
      </w:r>
    </w:p>
    <w:p>
      <w:pPr>
        <w:pStyle w:val="ListBullet"/>
        <w:jc w:val="both"/>
      </w:pPr>
      <w:r>
        <w:rPr>
          <w:sz w:val="21"/>
        </w:rPr>
        <w:t xml:space="preserve">  </w:t>
      </w:r>
      <w:r>
        <w:rPr>
          <w:b/>
          <w:sz w:val="21"/>
        </w:rPr>
        <w:t>Mitigant:</w:t>
      </w:r>
      <w:r>
        <w:rPr>
          <w:sz w:val="21"/>
        </w:rPr>
        <w:t xml:space="preserve"> Management believes an adverse outcome is not probable and has disclosed it as a contingent liability.</w:t>
      </w:r>
    </w:p>
    <w:p/>
    <w:p>
      <w:pPr>
        <w:spacing w:after="80"/>
        <w:jc w:val="both"/>
      </w:pPr>
      <w:r>
        <w:rPr>
          <w:b/>
          <w:sz w:val="21"/>
        </w:rPr>
        <w:t>External Risk</w:t>
      </w:r>
    </w:p>
    <w:p/>
    <w:p>
      <w:pPr>
        <w:pStyle w:val="ListBullet"/>
        <w:jc w:val="both"/>
      </w:pPr>
      <w:r>
        <w:rPr>
          <w:sz w:val="21"/>
        </w:rPr>
        <w:t xml:space="preserve">  </w:t>
      </w:r>
      <w:r>
        <w:rPr>
          <w:b/>
          <w:sz w:val="21"/>
        </w:rPr>
        <w:t>Risk:</w:t>
      </w:r>
      <w:r>
        <w:rPr>
          <w:sz w:val="21"/>
        </w:rPr>
        <w:t xml:space="preserve"> ESG / Sustainability Concerns</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Description:</w:t>
      </w:r>
      <w:r>
        <w:rPr>
          <w:sz w:val="21"/>
        </w:rPr>
        <w:t xml:space="preserve"> The company has not taken specific energy conservation measures, and CSR was not applicable in FY24. This is reflected in an ESG / Sustainability raw score of 4.0.</w:t>
      </w:r>
    </w:p>
    <w:p>
      <w:pPr>
        <w:pStyle w:val="ListBullet"/>
        <w:jc w:val="both"/>
      </w:pPr>
      <w:r>
        <w:rPr>
          <w:sz w:val="21"/>
        </w:rPr>
        <w:t xml:space="preserve">  </w:t>
      </w:r>
      <w:r>
        <w:rPr>
          <w:b/>
          <w:sz w:val="21"/>
        </w:rPr>
        <w:t>Mitigant:</w:t>
      </w:r>
      <w:r>
        <w:rPr>
          <w:sz w:val="21"/>
        </w:rPr>
        <w:t xml:space="preserve"> The company has adopted solar energy, purchasing it from a related party to cover part of its energy needs.</w:t>
      </w:r>
    </w:p>
    <w:p/>
    <w:p>
      <w:r>
        <w:rPr>
          <w:b/>
          <w:color w:val="003366"/>
          <w:sz w:val="22"/>
        </w:rPr>
        <w:t>2. SAVE Risk Rating</w:t>
      </w:r>
    </w:p>
    <w:p/>
    <w:p>
      <w:pPr>
        <w:pStyle w:val="ListBullet"/>
        <w:jc w:val="both"/>
      </w:pPr>
      <w:r>
        <w:rPr>
          <w:sz w:val="21"/>
        </w:rPr>
        <w:t xml:space="preserve">  </w:t>
      </w:r>
      <w:r>
        <w:rPr>
          <w:b/>
          <w:sz w:val="21"/>
        </w:rPr>
        <w:t>Overall Score:</w:t>
      </w:r>
      <w:r>
        <w:rPr>
          <w:sz w:val="21"/>
        </w:rPr>
        <w:t xml:space="preserve"> 5.00</w:t>
      </w:r>
    </w:p>
    <w:p>
      <w:pPr>
        <w:pStyle w:val="ListBullet"/>
        <w:jc w:val="both"/>
      </w:pPr>
      <w:r>
        <w:rPr>
          <w:sz w:val="21"/>
        </w:rPr>
        <w:t xml:space="preserve">  </w:t>
      </w:r>
      <w:r>
        <w:rPr>
          <w:b/>
          <w:sz w:val="21"/>
        </w:rPr>
        <w:t>Overall Rating:</w:t>
      </w:r>
      <w:r>
        <w:rPr>
          <w:sz w:val="21"/>
        </w:rPr>
        <w:t xml:space="preserve"> ELEVATED RISK</w:t>
      </w:r>
    </w:p>
    <w:p>
      <w:pPr>
        <w:pStyle w:val="ListBullet"/>
        <w:jc w:val="both"/>
      </w:pPr>
      <w:r>
        <w:rPr>
          <w:sz w:val="21"/>
        </w:rPr>
        <w:t xml:space="preserve">  </w:t>
      </w:r>
      <w:r>
        <w:rPr>
          <w:b/>
          <w:sz w:val="21"/>
        </w:rPr>
        <w:t>Previous Rating:</w:t>
      </w:r>
      <w:r>
        <w:rPr>
          <w:sz w:val="21"/>
        </w:rPr>
        <w:t xml:space="preserve"> Not available</w:t>
      </w:r>
    </w:p>
    <w:p>
      <w:pPr>
        <w:pStyle w:val="ListBullet"/>
        <w:jc w:val="both"/>
      </w:pPr>
      <w:r>
        <w:rPr>
          <w:sz w:val="21"/>
        </w:rPr>
        <w:t xml:space="preserve">  </w:t>
      </w:r>
      <w:r>
        <w:rPr>
          <w:b/>
          <w:sz w:val="21"/>
        </w:rPr>
        <w:t>Rating Movement:</w:t>
      </w:r>
      <w:r>
        <w:rPr>
          <w:sz w:val="21"/>
        </w:rPr>
        <w:t xml:space="preserve"> Not available</w:t>
      </w:r>
    </w:p>
    <w:p>
      <w:pPr>
        <w:pStyle w:val="ListBullet"/>
        <w:jc w:val="both"/>
      </w:pPr>
      <w:r>
        <w:rPr>
          <w:sz w:val="21"/>
        </w:rPr>
        <w:t xml:space="preserve">  </w:t>
      </w:r>
      <w:r>
        <w:rPr>
          <w:b/>
          <w:sz w:val="21"/>
        </w:rPr>
        <w:t>Sub-scores:</w:t>
      </w:r>
    </w:p>
    <w:p>
      <w:pPr>
        <w:pStyle w:val="ListBullet"/>
        <w:jc w:val="both"/>
      </w:pPr>
      <w:r>
        <w:rPr>
          <w:sz w:val="21"/>
        </w:rPr>
        <w:t xml:space="preserve">  Financial Strength: 1.0</w:t>
      </w:r>
    </w:p>
    <w:p>
      <w:pPr>
        <w:pStyle w:val="ListBullet"/>
        <w:jc w:val="both"/>
      </w:pPr>
      <w:r>
        <w:rPr>
          <w:sz w:val="21"/>
        </w:rPr>
        <w:t xml:space="preserve">  Profitability &amp; Growth: 1.4</w:t>
      </w:r>
    </w:p>
    <w:p>
      <w:pPr>
        <w:pStyle w:val="ListBullet"/>
        <w:jc w:val="both"/>
      </w:pPr>
      <w:r>
        <w:rPr>
          <w:sz w:val="21"/>
        </w:rPr>
        <w:t xml:space="preserve">  Cash Flow Adequacy: 0.75</w:t>
      </w:r>
    </w:p>
    <w:p>
      <w:pPr>
        <w:pStyle w:val="ListBullet"/>
        <w:jc w:val="both"/>
      </w:pPr>
      <w:r>
        <w:rPr>
          <w:sz w:val="21"/>
        </w:rPr>
        <w:t xml:space="preserve">  Asset Quality: 0.5</w:t>
      </w:r>
    </w:p>
    <w:p>
      <w:pPr>
        <w:pStyle w:val="ListBullet"/>
        <w:jc w:val="both"/>
      </w:pPr>
      <w:r>
        <w:rPr>
          <w:sz w:val="21"/>
        </w:rPr>
        <w:t xml:space="preserve">  Industry / Market Risk: 0.4</w:t>
      </w:r>
    </w:p>
    <w:p>
      <w:pPr>
        <w:pStyle w:val="ListBullet"/>
        <w:jc w:val="both"/>
      </w:pPr>
      <w:r>
        <w:rPr>
          <w:sz w:val="21"/>
        </w:rPr>
        <w:t xml:space="preserve">  Management Quality: 0.5</w:t>
      </w:r>
    </w:p>
    <w:p>
      <w:pPr>
        <w:pStyle w:val="ListBullet"/>
        <w:jc w:val="both"/>
      </w:pPr>
      <w:r>
        <w:rPr>
          <w:sz w:val="21"/>
        </w:rPr>
        <w:t xml:space="preserve">  Compliance &amp; Legal: 0.25</w:t>
      </w:r>
    </w:p>
    <w:p>
      <w:pPr>
        <w:pStyle w:val="ListBullet"/>
        <w:jc w:val="both"/>
      </w:pPr>
      <w:r>
        <w:rPr>
          <w:sz w:val="21"/>
        </w:rPr>
        <w:t xml:space="preserve">  ESG / Sustainability: 0.2</w:t>
      </w:r>
    </w:p>
    <w:p/>
    <w:p>
      <w:pPr>
        <w:spacing w:after="80"/>
        <w:jc w:val="both"/>
      </w:pPr>
      <w:r>
        <w:rPr>
          <w:sz w:val="21"/>
        </w:rPr>
        <w:t>The "ELEVATED RISK" rating implies that Sri Ramakrishna Mills (Coimbatore) Limited exhibits significant credit weaknesses and a heightened probability of default. The absence of a previous rating and rating movement indicates this is the initial assessment or a re-assessment without a direct prior comparison point. The sub-scores highlight particular areas of concern, notably Financial Strength (1.0), Cash Flow Adequacy (0.75), Asset Quality (0.5), Industry/Market Risk (0.4), and ESG/Sustainability (0.2), which contribute significantly to the overall elevated risk profile.</w:t>
      </w:r>
    </w:p>
    <w:p/>
    <w:p>
      <w:r>
        <w:rPr>
          <w:b/>
          <w:color w:val="003366"/>
          <w:sz w:val="22"/>
        </w:rPr>
        <w:t>3. Security &amp; Collateral</w:t>
      </w:r>
    </w:p>
    <w:p/>
    <w:p>
      <w:pPr>
        <w:spacing w:after="80"/>
        <w:jc w:val="both"/>
      </w:pPr>
      <w:r>
        <w:rPr>
          <w:sz w:val="21"/>
        </w:rPr>
        <w:t>The following primary and collateral security arrangements are in place for Sri Ramakrishna Mills (Coimbatore) Limited:</w:t>
      </w:r>
    </w:p>
    <w:p/>
    <w:p>
      <w:pPr>
        <w:pStyle w:val="ListBullet"/>
        <w:jc w:val="both"/>
      </w:pPr>
      <w:r>
        <w:rPr>
          <w:sz w:val="21"/>
        </w:rPr>
        <w:t xml:space="preserve">  </w:t>
      </w:r>
      <w:r>
        <w:rPr>
          <w:b/>
          <w:sz w:val="21"/>
        </w:rPr>
        <w:t>Pledge:</w:t>
      </w:r>
    </w:p>
    <w:p>
      <w:pPr>
        <w:pStyle w:val="ListBullet"/>
        <w:jc w:val="both"/>
      </w:pPr>
      <w:r>
        <w:rPr>
          <w:sz w:val="21"/>
        </w:rPr>
        <w:t xml:space="preserve">  </w:t>
      </w:r>
      <w:r>
        <w:rPr>
          <w:b/>
          <w:sz w:val="21"/>
        </w:rPr>
        <w:t>Land:</w:t>
      </w:r>
      <w:r>
        <w:rPr>
          <w:sz w:val="21"/>
        </w:rPr>
        <w:t xml:space="preserve"> Carrying value of INR 3.23 Lakhs (as at March 31, 2024).</w:t>
      </w:r>
    </w:p>
    <w:p>
      <w:pPr>
        <w:pStyle w:val="ListBullet"/>
        <w:jc w:val="both"/>
      </w:pPr>
      <w:r>
        <w:rPr>
          <w:sz w:val="21"/>
        </w:rPr>
        <w:t xml:space="preserve">  </w:t>
      </w:r>
      <w:r>
        <w:rPr>
          <w:b/>
          <w:sz w:val="21"/>
        </w:rPr>
        <w:t>Building:</w:t>
      </w:r>
      <w:r>
        <w:rPr>
          <w:sz w:val="21"/>
        </w:rPr>
        <w:t xml:space="preserve"> Carrying value of INR 194.80 Lakhs (as at March 31, 2024).</w:t>
      </w:r>
    </w:p>
    <w:p>
      <w:pPr>
        <w:pStyle w:val="ListBullet"/>
        <w:jc w:val="both"/>
      </w:pPr>
      <w:r>
        <w:rPr>
          <w:sz w:val="21"/>
        </w:rPr>
        <w:t xml:space="preserve">  </w:t>
      </w:r>
      <w:r>
        <w:rPr>
          <w:b/>
          <w:sz w:val="21"/>
        </w:rPr>
        <w:t>Inventories:</w:t>
      </w:r>
      <w:r>
        <w:rPr>
          <w:sz w:val="21"/>
        </w:rPr>
        <w:t xml:space="preserve"> Pledged as security for liabilities, carrying value of INR 543.48 Lakhs (as at March 31, 2024).</w:t>
      </w:r>
    </w:p>
    <w:p>
      <w:pPr>
        <w:pStyle w:val="ListBullet"/>
        <w:jc w:val="both"/>
      </w:pPr>
      <w:r>
        <w:rPr>
          <w:sz w:val="21"/>
        </w:rPr>
        <w:t xml:space="preserve">  </w:t>
      </w:r>
      <w:r>
        <w:rPr>
          <w:b/>
          <w:sz w:val="21"/>
        </w:rPr>
        <w:t>Total Pledged Assets (with specified value):</w:t>
      </w:r>
      <w:r>
        <w:rPr>
          <w:sz w:val="21"/>
        </w:rPr>
        <w:t xml:space="preserve"> INR 741.51 Lakhs.</w:t>
      </w:r>
    </w:p>
    <w:p>
      <w:pPr>
        <w:pStyle w:val="ListBullet"/>
        <w:jc w:val="both"/>
      </w:pPr>
      <w:r>
        <w:rPr>
          <w:sz w:val="21"/>
        </w:rPr>
        <w:t xml:space="preserve">  </w:t>
      </w:r>
      <w:r>
        <w:rPr>
          <w:b/>
          <w:sz w:val="21"/>
        </w:rPr>
        <w:t>Hypothecation:</w:t>
      </w:r>
    </w:p>
    <w:p>
      <w:pPr>
        <w:pStyle w:val="ListBullet"/>
        <w:jc w:val="both"/>
      </w:pPr>
      <w:r>
        <w:rPr>
          <w:sz w:val="21"/>
        </w:rPr>
        <w:t xml:space="preserve">  </w:t>
      </w:r>
      <w:r>
        <w:rPr>
          <w:b/>
          <w:sz w:val="21"/>
        </w:rPr>
        <w:t>Entire Machineries:</w:t>
      </w:r>
      <w:r>
        <w:rPr>
          <w:sz w:val="21"/>
        </w:rPr>
        <w:t xml:space="preserve"> First charge, arising out of term loans on an exclusive basis with Axis Bank. Value not specified in the provided data.</w:t>
      </w:r>
    </w:p>
    <w:p>
      <w:pPr>
        <w:pStyle w:val="ListBullet"/>
        <w:jc w:val="both"/>
      </w:pPr>
      <w:r>
        <w:rPr>
          <w:sz w:val="21"/>
        </w:rPr>
        <w:t xml:space="preserve">  </w:t>
      </w:r>
      <w:r>
        <w:rPr>
          <w:b/>
          <w:sz w:val="21"/>
        </w:rPr>
        <w:t>Stock of Raw Materials, Stock in Process, Finished Goods, Packing Materials, and Book Debts:</w:t>
      </w:r>
      <w:r>
        <w:rPr>
          <w:sz w:val="21"/>
        </w:rPr>
        <w:t xml:space="preserve"> Secured for Cash Credit facility from Axis Bank. Value not specified in the provided data.</w:t>
      </w:r>
    </w:p>
    <w:p>
      <w:pPr>
        <w:pStyle w:val="ListBullet"/>
        <w:jc w:val="both"/>
      </w:pPr>
      <w:r>
        <w:rPr>
          <w:sz w:val="21"/>
        </w:rPr>
        <w:t xml:space="preserve">  </w:t>
      </w:r>
      <w:r>
        <w:rPr>
          <w:b/>
          <w:sz w:val="21"/>
        </w:rPr>
        <w:t>Equitable Mortgage:</w:t>
      </w:r>
    </w:p>
    <w:p>
      <w:pPr>
        <w:pStyle w:val="ListBullet"/>
        <w:jc w:val="both"/>
      </w:pPr>
      <w:r>
        <w:rPr>
          <w:sz w:val="21"/>
        </w:rPr>
        <w:t xml:space="preserve">  </w:t>
      </w:r>
      <w:r>
        <w:rPr>
          <w:b/>
          <w:sz w:val="21"/>
        </w:rPr>
        <w:t>Land and Building at Chittoor District, Andhra Pradesh:</w:t>
      </w:r>
      <w:r>
        <w:rPr>
          <w:sz w:val="21"/>
        </w:rPr>
        <w:t xml:space="preserve"> Commonly secured for all bank loan facilities with Axis Bank (Term Loans and Cash Credit). Value not specified in the provided data.</w:t>
      </w:r>
    </w:p>
    <w:p>
      <w:pPr>
        <w:pStyle w:val="ListBullet"/>
        <w:jc w:val="both"/>
      </w:pPr>
      <w:r>
        <w:rPr>
          <w:sz w:val="21"/>
        </w:rPr>
        <w:t xml:space="preserve">  </w:t>
      </w:r>
      <w:r>
        <w:rPr>
          <w:b/>
          <w:sz w:val="21"/>
        </w:rPr>
        <w:t>Vacant Land with Building situated at Ganapathy, Coimbatore:</w:t>
      </w:r>
      <w:r>
        <w:rPr>
          <w:sz w:val="21"/>
        </w:rPr>
        <w:t xml:space="preserve"> Commonly secured for Term Loan from The South Indian Bank, Overdraft loan from The South Indian Bank, and Loan from Director. The Bank is the First Charge Holder, and the Director (Managing Director) is the Second Charge Holder. Value not specified in the provided data.</w:t>
      </w:r>
    </w:p>
    <w:p>
      <w:pPr>
        <w:pStyle w:val="ListBullet"/>
        <w:jc w:val="both"/>
      </w:pPr>
      <w:r>
        <w:rPr>
          <w:sz w:val="21"/>
        </w:rPr>
        <w:t xml:space="preserve">  </w:t>
      </w:r>
      <w:r>
        <w:rPr>
          <w:b/>
          <w:sz w:val="21"/>
        </w:rPr>
        <w:t>Personal Guarantee:</w:t>
      </w:r>
    </w:p>
    <w:p>
      <w:pPr>
        <w:pStyle w:val="ListBullet"/>
        <w:jc w:val="both"/>
      </w:pPr>
      <w:r>
        <w:rPr>
          <w:sz w:val="21"/>
        </w:rPr>
        <w:t xml:space="preserve">  </w:t>
      </w:r>
      <w:r>
        <w:rPr>
          <w:b/>
          <w:sz w:val="21"/>
        </w:rPr>
        <w:t>Managing Director and Whole-time Directors along with their relatives:</w:t>
      </w:r>
      <w:r>
        <w:rPr>
          <w:sz w:val="21"/>
        </w:rPr>
        <w:t xml:space="preserve"> In respect of all bank loan facilities with Axis Bank. Value not specified in the provided data.</w:t>
      </w:r>
    </w:p>
    <w:p>
      <w:pPr>
        <w:pStyle w:val="ListBullet"/>
        <w:jc w:val="both"/>
      </w:pPr>
      <w:r>
        <w:rPr>
          <w:sz w:val="21"/>
        </w:rPr>
        <w:t xml:space="preserve">  </w:t>
      </w:r>
      <w:r>
        <w:rPr>
          <w:b/>
          <w:sz w:val="21"/>
        </w:rPr>
        <w:t>Managing Director and the Whole-time Director and their relative:</w:t>
      </w:r>
      <w:r>
        <w:rPr>
          <w:sz w:val="21"/>
        </w:rPr>
        <w:t xml:space="preserve"> Secured for Term Loan from The South Indian Bank. Value not specified in the provided data.</w:t>
      </w:r>
    </w:p>
    <w:p/>
    <w:p>
      <w:pPr>
        <w:spacing w:after="80"/>
        <w:jc w:val="both"/>
      </w:pPr>
      <w:r>
        <w:rPr>
          <w:sz w:val="21"/>
        </w:rPr>
        <w:t>The total carrying value of pledged assets with specified values amounts to INR 741.51 Lakhs against total borrowings of INR 3,781 Lakhs, indicating limited coverage from these specific assets.</w:t>
      </w:r>
    </w:p>
    <w:p/>
    <w:p>
      <w:r>
        <w:rPr>
          <w:b/>
          <w:color w:val="003366"/>
          <w:sz w:val="22"/>
        </w:rPr>
        <w:t>4. Contingent Liabilities</w:t>
      </w:r>
    </w:p>
    <w:p/>
    <w:p>
      <w:pPr>
        <w:spacing w:after="80"/>
        <w:jc w:val="both"/>
      </w:pPr>
      <w:r>
        <w:rPr>
          <w:sz w:val="21"/>
        </w:rPr>
        <w:t>As at March 31, 2024, the company has identified the following material contingent liability:</w:t>
      </w:r>
    </w:p>
    <w:p/>
    <w:p>
      <w:pPr>
        <w:pStyle w:val="ListBullet"/>
        <w:jc w:val="both"/>
      </w:pPr>
      <w:r>
        <w:rPr>
          <w:sz w:val="21"/>
        </w:rPr>
        <w:t xml:space="preserve">  </w:t>
      </w:r>
      <w:r>
        <w:rPr>
          <w:b/>
          <w:sz w:val="21"/>
        </w:rPr>
        <w:t>Nature:</w:t>
      </w:r>
      <w:r>
        <w:rPr>
          <w:sz w:val="21"/>
        </w:rPr>
        <w:t xml:space="preserve"> Sales Tax</w:t>
      </w:r>
    </w:p>
    <w:p>
      <w:pPr>
        <w:pStyle w:val="ListBullet"/>
        <w:jc w:val="both"/>
      </w:pPr>
      <w:r>
        <w:rPr>
          <w:sz w:val="21"/>
        </w:rPr>
        <w:t xml:space="preserve">  </w:t>
      </w:r>
      <w:r>
        <w:rPr>
          <w:b/>
          <w:sz w:val="21"/>
        </w:rPr>
        <w:t>Amount:</w:t>
      </w:r>
      <w:r>
        <w:rPr>
          <w:sz w:val="21"/>
        </w:rPr>
        <w:t xml:space="preserve"> INR 61.66 Lakhs</w:t>
      </w:r>
    </w:p>
    <w:p>
      <w:pPr>
        <w:pStyle w:val="ListBullet"/>
        <w:jc w:val="both"/>
      </w:pPr>
      <w:r>
        <w:rPr>
          <w:sz w:val="21"/>
        </w:rPr>
        <w:t xml:space="preserve">  </w:t>
      </w:r>
      <w:r>
        <w:rPr>
          <w:b/>
          <w:sz w:val="21"/>
        </w:rPr>
        <w:t>Remarks:</w:t>
      </w:r>
      <w:r>
        <w:rPr>
          <w:sz w:val="21"/>
        </w:rPr>
        <w:t xml:space="preserve"> This pertains to a Tamil Nadu Sales Tax Act demand for Assessment Year 1998-99. The Departmental Appeal has been rejected and is currently pending with the Tribunal AST. An amount of INR 30.83 Lakhs has been paid under protest against the disputed demand (excluding interest and penalty not determined, wherever applicable). Management believes that an adverse outcome is not probable.</w:t>
      </w:r>
    </w:p>
    <w:p/>
    <w:p>
      <w:pPr>
        <w:pStyle w:val="Heading1"/>
        <w:spacing w:before="320" w:after="160"/>
      </w:pPr>
      <w:r>
        <w:rPr>
          <w:b/>
          <w:color w:val="003366"/>
          <w:sz w:val="26"/>
        </w:rPr>
        <w:t>SECTION 5 — DATA CONSISTENCY REVIEW</w:t>
      </w:r>
    </w:p>
    <w:p>
      <w:pPr>
        <w:pBdr>
          <w:bottom w:val="single" w:sz="6" w:space="1" w:color="003366"/>
        </w:pBdr>
      </w:pPr>
    </w:p>
    <w:p>
      <w:pPr>
        <w:pStyle w:val="ListBullet"/>
        <w:jc w:val="both"/>
      </w:pPr>
      <w:r>
        <w:rPr>
          <w:b/>
          <w:sz w:val="21"/>
        </w:rPr>
        <w:t>Total Revenue (FY2024)</w:t>
      </w:r>
      <w:r>
        <w:rPr>
          <w:sz w:val="21"/>
        </w:rPr>
        <w:t>: FINANCIALS reports "5967.13 INR Lakhs" while SAVE RISK RATING (implied from Real Estate Revenue and percentage) reports "5914.77 INR Lakhs" (severity: critical)</w:t>
      </w:r>
    </w:p>
    <w:p/>
    <w:p>
      <w:pPr>
        <w:pStyle w:val="ListBullet"/>
        <w:jc w:val="both"/>
      </w:pPr>
      <w:r>
        <w:rPr>
          <w:b/>
          <w:sz w:val="21"/>
        </w:rPr>
        <w:t>Total Borrowings (FY2024)</w:t>
      </w:r>
      <w:r>
        <w:rPr>
          <w:sz w:val="21"/>
        </w:rPr>
        <w:t>: FINANCIALS reports "3340.57 INR Lakhs" while SAVE RISK RATING reports "3781 INR Lakhs" (severity: critical)</w:t>
      </w:r>
    </w:p>
    <w:p/>
    <w:p>
      <w:pPr>
        <w:pStyle w:val="ListBullet"/>
        <w:jc w:val="both"/>
      </w:pPr>
      <w:r>
        <w:rPr>
          <w:b/>
          <w:sz w:val="21"/>
        </w:rPr>
        <w:t>Inter Corporate Loans (FY2024)</w:t>
      </w:r>
      <w:r>
        <w:rPr>
          <w:sz w:val="21"/>
        </w:rPr>
        <w:t>: SAVE RISK RATING reports "2302 INR Lakhs" while CREDIT PROFILE (sum of individual inter corporate loans) reports "2210.97 INR Lakhs" (severity: critical)</w:t>
      </w:r>
    </w:p>
    <w:p/>
    <w:p>
      <w:pPr>
        <w:pStyle w:val="ListBullet"/>
        <w:jc w:val="both"/>
      </w:pPr>
      <w:r>
        <w:rPr>
          <w:b/>
          <w:sz w:val="21"/>
        </w:rPr>
        <w:t>Director Loans (FY2024)</w:t>
      </w:r>
      <w:r>
        <w:rPr>
          <w:sz w:val="21"/>
        </w:rPr>
        <w:t>: SAVE RISK RATING reports "167 INR Lakhs" while CREDIT PROFILE (sum of individual director/related party loans) reports "192.18 INR Lakhs" (severity: critical)</w:t>
      </w:r>
    </w:p>
    <w:p/>
    <w:p>
      <w:pPr>
        <w:pStyle w:val="ListBullet"/>
        <w:jc w:val="both"/>
      </w:pPr>
      <w:r>
        <w:rPr>
          <w:b/>
          <w:sz w:val="21"/>
        </w:rPr>
        <w:t>TNGST Assessment Year</w:t>
      </w:r>
      <w:r>
        <w:rPr>
          <w:sz w:val="21"/>
        </w:rPr>
        <w:t>: SAVE RISK RATING reports "1998-99" while AUDIT FINDINGS (CARO findings, vii (b)) reports "1899" (severity: minor)</w:t>
      </w:r>
    </w:p>
    <w:p/>
    <w:p>
      <w:pPr>
        <w:pStyle w:val="ListBullet"/>
        <w:jc w:val="both"/>
      </w:pPr>
      <w:r>
        <w:rPr>
          <w:b/>
          <w:sz w:val="21"/>
        </w:rPr>
        <w:t>Total Borrowings (FY2024)</w:t>
      </w:r>
      <w:r>
        <w:rPr>
          <w:sz w:val="21"/>
        </w:rPr>
        <w:t>: FINANCIALS reports "3340.57 INR Lakhs" while SAVE RISK RATING reports "3781 INR Lakhs" (severity: critical)</w:t>
      </w:r>
    </w:p>
    <w:p/>
    <w:p>
      <w:pPr>
        <w:pStyle w:val="ListBullet"/>
        <w:jc w:val="both"/>
      </w:pPr>
      <w:r>
        <w:rPr>
          <w:b/>
          <w:sz w:val="21"/>
        </w:rPr>
        <w:t>TNGST Contingent Liability Assessment Year</w:t>
      </w:r>
      <w:r>
        <w:rPr>
          <w:sz w:val="21"/>
        </w:rPr>
        <w:t>: SAVE RISK RATING reports "AY 1998-99" while AUDIT FINDINGS (CARO findings) reports "Assessment Year : 1899" (severity: minor)</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2"/>
        </w:rPr>
        <w:t>1. Proposed Credit Structure</w:t>
      </w:r>
    </w:p>
    <w:p/>
    <w:p>
      <w:pPr>
        <w:spacing w:after="80"/>
        <w:jc w:val="both"/>
      </w:pPr>
      <w:r>
        <w:rPr>
          <w:sz w:val="21"/>
        </w:rPr>
        <w:t>Based on the financial performance, operational needs, and risk profile of SRI RAMAKRISHNA MILLS (COIMBATORE) LIMITED, the following credit facilities are recommended:</w:t>
      </w:r>
    </w:p>
    <w:p/>
    <w:p>
      <w:pPr>
        <w:pStyle w:val="ListBullet"/>
        <w:jc w:val="both"/>
      </w:pPr>
      <w:r>
        <w:rPr>
          <w:sz w:val="21"/>
        </w:rPr>
        <w:t xml:space="preserve">  </w:t>
      </w:r>
      <w:r>
        <w:rPr>
          <w:b/>
          <w:sz w:val="21"/>
        </w:rPr>
        <w:t>Facility Type:</w:t>
      </w:r>
    </w:p>
    <w:p>
      <w:pPr>
        <w:pStyle w:val="ListBullet"/>
        <w:jc w:val="both"/>
      </w:pPr>
      <w:r>
        <w:rPr>
          <w:sz w:val="21"/>
        </w:rPr>
        <w:t xml:space="preserve">  </w:t>
      </w:r>
      <w:r>
        <w:rPr>
          <w:b/>
          <w:sz w:val="21"/>
        </w:rPr>
        <w:t>Cash Credit (WC Facility):</w:t>
      </w:r>
      <w:r>
        <w:rPr>
          <w:sz w:val="21"/>
        </w:rPr>
        <w:t xml:space="preserve"> To support enhanced working capital requirements, improve liquidity, and reduce reliance on related-party funding for operational needs.</w:t>
      </w:r>
    </w:p>
    <w:p>
      <w:pPr>
        <w:pStyle w:val="ListBullet"/>
        <w:jc w:val="both"/>
      </w:pPr>
      <w:r>
        <w:rPr>
          <w:sz w:val="21"/>
        </w:rPr>
        <w:t xml:space="preserve">  </w:t>
      </w:r>
      <w:r>
        <w:rPr>
          <w:b/>
          <w:sz w:val="21"/>
        </w:rPr>
        <w:t>Term Loan (TL):</w:t>
      </w:r>
      <w:r>
        <w:rPr>
          <w:sz w:val="21"/>
        </w:rPr>
        <w:t xml:space="preserve"> To refinance a portion of the existing high-cost and unsecured inter-corporate loans, thereby optimizing the capital structure and reducing overall finance costs.</w:t>
      </w:r>
    </w:p>
    <w:p/>
    <w:p>
      <w:pPr>
        <w:pStyle w:val="ListBullet"/>
        <w:jc w:val="both"/>
      </w:pPr>
      <w:r>
        <w:rPr>
          <w:sz w:val="21"/>
        </w:rPr>
        <w:t xml:space="preserve">  </w:t>
      </w:r>
      <w:r>
        <w:rPr>
          <w:b/>
          <w:sz w:val="21"/>
        </w:rPr>
        <w:t>Facility Amount:</w:t>
      </w:r>
    </w:p>
    <w:p>
      <w:pPr>
        <w:pStyle w:val="ListBullet"/>
        <w:jc w:val="both"/>
      </w:pPr>
      <w:r>
        <w:rPr>
          <w:sz w:val="21"/>
        </w:rPr>
        <w:t xml:space="preserve">  </w:t>
      </w:r>
      <w:r>
        <w:rPr>
          <w:b/>
          <w:sz w:val="21"/>
        </w:rPr>
        <w:t>Cash Credit:</w:t>
      </w:r>
      <w:r>
        <w:rPr>
          <w:sz w:val="21"/>
        </w:rPr>
        <w:t xml:space="preserve"> INR 1,200.00 Lakhs (an enhancement from the existing INR 950.00 Lakhs limit, supporting approximately 20% of FY2024 revenue of INR 5907.39 Lakhs).</w:t>
      </w:r>
    </w:p>
    <w:p>
      <w:pPr>
        <w:pStyle w:val="ListBullet"/>
        <w:jc w:val="both"/>
      </w:pPr>
      <w:r>
        <w:rPr>
          <w:sz w:val="21"/>
        </w:rPr>
        <w:t xml:space="preserve">  </w:t>
      </w:r>
      <w:r>
        <w:rPr>
          <w:b/>
          <w:sz w:val="21"/>
        </w:rPr>
        <w:t>Term Loan:</w:t>
      </w:r>
      <w:r>
        <w:rPr>
          <w:sz w:val="21"/>
        </w:rPr>
        <w:t xml:space="preserve"> INR 1,000.00 Lakhs (to refinance a portion of the INR 2301.91 Lakhs in unsecured inter-corporate loans).</w:t>
      </w:r>
    </w:p>
    <w:p>
      <w:pPr>
        <w:pStyle w:val="ListBullet"/>
        <w:jc w:val="both"/>
      </w:pPr>
      <w:r>
        <w:rPr>
          <w:sz w:val="21"/>
        </w:rPr>
        <w:t xml:space="preserve">  </w:t>
      </w:r>
      <w:r>
        <w:rPr>
          <w:b/>
          <w:sz w:val="21"/>
        </w:rPr>
        <w:t>Total Proposed Facility:</w:t>
      </w:r>
      <w:r>
        <w:rPr>
          <w:sz w:val="21"/>
        </w:rPr>
        <w:t xml:space="preserve"> INR 2,200.00 Lakhs</w:t>
      </w:r>
    </w:p>
    <w:p/>
    <w:p>
      <w:pPr>
        <w:pStyle w:val="ListBullet"/>
        <w:jc w:val="both"/>
      </w:pPr>
      <w:r>
        <w:rPr>
          <w:sz w:val="21"/>
        </w:rPr>
        <w:t xml:space="preserve">  </w:t>
      </w:r>
      <w:r>
        <w:rPr>
          <w:b/>
          <w:sz w:val="21"/>
        </w:rPr>
        <w:t>Tenor:</w:t>
      </w:r>
    </w:p>
    <w:p>
      <w:pPr>
        <w:pStyle w:val="ListBullet"/>
        <w:jc w:val="both"/>
      </w:pPr>
      <w:r>
        <w:rPr>
          <w:sz w:val="21"/>
        </w:rPr>
        <w:t xml:space="preserve">  </w:t>
      </w:r>
      <w:r>
        <w:rPr>
          <w:b/>
          <w:sz w:val="21"/>
        </w:rPr>
        <w:t>Cash Credit:</w:t>
      </w:r>
      <w:r>
        <w:rPr>
          <w:sz w:val="21"/>
        </w:rPr>
        <w:t xml:space="preserve"> On demand, subject to annual review.</w:t>
      </w:r>
    </w:p>
    <w:p>
      <w:pPr>
        <w:pStyle w:val="ListBullet"/>
        <w:jc w:val="both"/>
      </w:pPr>
      <w:r>
        <w:rPr>
          <w:sz w:val="21"/>
        </w:rPr>
        <w:t xml:space="preserve">  </w:t>
      </w:r>
      <w:r>
        <w:rPr>
          <w:b/>
          <w:sz w:val="21"/>
        </w:rPr>
        <w:t>Term Loan:</w:t>
      </w:r>
      <w:r>
        <w:rPr>
          <w:sz w:val="21"/>
        </w:rPr>
        <w:t xml:space="preserve"> 7 years, including a 6-month moratorium on principal repayment.</w:t>
      </w:r>
    </w:p>
    <w:p/>
    <w:p>
      <w:pPr>
        <w:pStyle w:val="ListBullet"/>
        <w:jc w:val="both"/>
      </w:pPr>
      <w:r>
        <w:rPr>
          <w:sz w:val="21"/>
        </w:rPr>
        <w:t xml:space="preserve">  </w:t>
      </w:r>
      <w:r>
        <w:rPr>
          <w:b/>
          <w:sz w:val="21"/>
        </w:rPr>
        <w:t>Interest Rate:</w:t>
      </w:r>
    </w:p>
    <w:p>
      <w:pPr>
        <w:pStyle w:val="ListBullet"/>
        <w:jc w:val="both"/>
      </w:pPr>
      <w:r>
        <w:rPr>
          <w:sz w:val="21"/>
        </w:rPr>
        <w:t xml:space="preserve">  </w:t>
      </w:r>
      <w:r>
        <w:rPr>
          <w:b/>
          <w:sz w:val="21"/>
        </w:rPr>
        <w:t>Cash Credit &amp; Term Loan:</w:t>
      </w:r>
      <w:r>
        <w:rPr>
          <w:sz w:val="21"/>
        </w:rPr>
        <w:t xml:space="preserve"> Competitive market rates, linked to the Bank's MCLR plus an appropriate spread, subject to periodic review.</w:t>
      </w:r>
    </w:p>
    <w:p/>
    <w:p>
      <w:pPr>
        <w:pStyle w:val="ListBullet"/>
        <w:jc w:val="both"/>
      </w:pPr>
      <w:r>
        <w:rPr>
          <w:sz w:val="21"/>
        </w:rPr>
        <w:t xml:space="preserve">  </w:t>
      </w:r>
      <w:r>
        <w:rPr>
          <w:b/>
          <w:sz w:val="21"/>
        </w:rPr>
        <w:t>Repayment Schedule:</w:t>
      </w:r>
    </w:p>
    <w:p>
      <w:pPr>
        <w:pStyle w:val="ListBullet"/>
        <w:jc w:val="both"/>
      </w:pPr>
      <w:r>
        <w:rPr>
          <w:sz w:val="21"/>
        </w:rPr>
        <w:t xml:space="preserve">  </w:t>
      </w:r>
      <w:r>
        <w:rPr>
          <w:b/>
          <w:sz w:val="21"/>
        </w:rPr>
        <w:t>Cash Credit:</w:t>
      </w:r>
      <w:r>
        <w:rPr>
          <w:sz w:val="21"/>
        </w:rPr>
        <w:t xml:space="preserve"> Revolving facility, interest payable monthly.</w:t>
      </w:r>
    </w:p>
    <w:p>
      <w:pPr>
        <w:pStyle w:val="ListBullet"/>
        <w:jc w:val="both"/>
      </w:pPr>
      <w:r>
        <w:rPr>
          <w:sz w:val="21"/>
        </w:rPr>
        <w:t xml:space="preserve">  </w:t>
      </w:r>
      <w:r>
        <w:rPr>
          <w:b/>
          <w:sz w:val="21"/>
        </w:rPr>
        <w:t>Term Loan:</w:t>
      </w:r>
      <w:r>
        <w:rPr>
          <w:sz w:val="21"/>
        </w:rPr>
        <w:t xml:space="preserve"> Structured monthly installments of principal and interest, commencing after the moratorium period.</w:t>
      </w:r>
    </w:p>
    <w:p/>
    <w:p>
      <w:pPr>
        <w:pStyle w:val="ListBullet"/>
        <w:jc w:val="both"/>
      </w:pPr>
      <w:r>
        <w:rPr>
          <w:sz w:val="21"/>
        </w:rPr>
        <w:t xml:space="preserve">  </w:t>
      </w:r>
      <w:r>
        <w:rPr>
          <w:b/>
          <w:sz w:val="21"/>
        </w:rPr>
        <w:t>Security:</w:t>
      </w:r>
    </w:p>
    <w:p>
      <w:pPr>
        <w:pStyle w:val="ListBullet"/>
        <w:jc w:val="both"/>
      </w:pPr>
      <w:r>
        <w:rPr>
          <w:sz w:val="21"/>
        </w:rPr>
        <w:t xml:space="preserve">  </w:t>
      </w:r>
      <w:r>
        <w:rPr>
          <w:b/>
          <w:sz w:val="21"/>
        </w:rPr>
        <w:t>Cash Credit:</w:t>
      </w:r>
      <w:r>
        <w:rPr>
          <w:sz w:val="21"/>
        </w:rPr>
        <w:t xml:space="preserve"> First pari-passu charge on all current assets of the Company (stock of raw materials, stock in process, finished goods, packing materials, and book debts).</w:t>
      </w:r>
    </w:p>
    <w:p>
      <w:pPr>
        <w:pStyle w:val="ListBullet"/>
        <w:jc w:val="both"/>
      </w:pPr>
      <w:r>
        <w:rPr>
          <w:sz w:val="21"/>
        </w:rPr>
        <w:t xml:space="preserve">  </w:t>
      </w:r>
      <w:r>
        <w:rPr>
          <w:b/>
          <w:sz w:val="21"/>
        </w:rPr>
        <w:t>Term Loan:</w:t>
      </w:r>
      <w:r>
        <w:rPr>
          <w:sz w:val="21"/>
        </w:rPr>
        <w:t xml:space="preserve"> First charge on specific unencumbered fixed assets of the Company, and/or second pari-passu charge on the existing fixed assets (land and building at Chittoor District, Andhra Pradesh, and machinery) currently secured by Axis Bank, subject to an inter-se agreement with existing lenders.</w:t>
      </w:r>
    </w:p>
    <w:p>
      <w:pPr>
        <w:pStyle w:val="ListBullet"/>
        <w:jc w:val="both"/>
      </w:pPr>
      <w:r>
        <w:rPr>
          <w:sz w:val="21"/>
        </w:rPr>
        <w:t xml:space="preserve">  </w:t>
      </w:r>
      <w:r>
        <w:rPr>
          <w:b/>
          <w:sz w:val="21"/>
        </w:rPr>
        <w:t>Common Security:</w:t>
      </w:r>
      <w:r>
        <w:rPr>
          <w:sz w:val="21"/>
        </w:rPr>
        <w:t xml:space="preserve"> Equitable mortgage of land and building at Chittoor District, Andhra Pradesh, owned by the company (if not already fully encumbered).</w:t>
      </w:r>
    </w:p>
    <w:p>
      <w:pPr>
        <w:pStyle w:val="ListBullet"/>
        <w:jc w:val="both"/>
      </w:pPr>
      <w:r>
        <w:rPr>
          <w:sz w:val="21"/>
        </w:rPr>
        <w:t xml:space="preserve">  </w:t>
      </w:r>
      <w:r>
        <w:rPr>
          <w:b/>
          <w:sz w:val="21"/>
        </w:rPr>
        <w:t>Personal Guarantee:</w:t>
      </w:r>
      <w:r>
        <w:rPr>
          <w:sz w:val="21"/>
        </w:rPr>
        <w:t xml:space="preserve"> Joint and several personal guarantees from the Managing Director and Whole-time Directors along with their relatives.</w:t>
      </w:r>
    </w:p>
    <w:p/>
    <w:p>
      <w:r>
        <w:rPr>
          <w:b/>
          <w:color w:val="003366"/>
          <w:sz w:val="22"/>
        </w:rPr>
        <w:t>2. Key Conditions &amp; Covenants</w:t>
      </w:r>
    </w:p>
    <w:p/>
    <w:p>
      <w:pPr>
        <w:spacing w:after="80"/>
        <w:jc w:val="both"/>
      </w:pPr>
      <w:r>
        <w:rPr>
          <w:sz w:val="21"/>
        </w:rPr>
        <w:t>The proposed facilities will be subject to the following key conditions and covenants:</w:t>
      </w:r>
    </w:p>
    <w:p/>
    <w:p>
      <w:pPr>
        <w:pStyle w:val="ListBullet"/>
        <w:jc w:val="both"/>
      </w:pPr>
      <w:r>
        <w:rPr>
          <w:sz w:val="21"/>
        </w:rPr>
        <w:t xml:space="preserve">  </w:t>
      </w:r>
      <w:r>
        <w:rPr>
          <w:b/>
          <w:sz w:val="21"/>
        </w:rPr>
        <w:t>Conditions Precedent (CPs):</w:t>
      </w:r>
    </w:p>
    <w:p>
      <w:pPr>
        <w:pStyle w:val="ListBullet"/>
        <w:jc w:val="both"/>
      </w:pPr>
      <w:r>
        <w:rPr>
          <w:sz w:val="21"/>
        </w:rPr>
        <w:t xml:space="preserve">  Execution of all necessary loan and security documentation, including a valid inter-se agreement with existing lenders.</w:t>
      </w:r>
    </w:p>
    <w:p>
      <w:pPr>
        <w:pStyle w:val="ListBullet"/>
        <w:jc w:val="both"/>
      </w:pPr>
      <w:r>
        <w:rPr>
          <w:sz w:val="21"/>
        </w:rPr>
        <w:t xml:space="preserve">  Submission of legal opinions from the Company's legal counsel.</w:t>
      </w:r>
    </w:p>
    <w:p>
      <w:pPr>
        <w:pStyle w:val="ListBullet"/>
        <w:jc w:val="both"/>
      </w:pPr>
      <w:r>
        <w:rPr>
          <w:sz w:val="21"/>
        </w:rPr>
        <w:t xml:space="preserve">  Confirmation of no material adverse change in the Company's financial condition or business operations since the last audited financials.</w:t>
      </w:r>
    </w:p>
    <w:p>
      <w:pPr>
        <w:pStyle w:val="ListBullet"/>
        <w:jc w:val="both"/>
      </w:pPr>
      <w:r>
        <w:rPr>
          <w:sz w:val="21"/>
        </w:rPr>
        <w:t xml:space="preserve">  Submission of a detailed plan for enabling the audit trail (edit log) feature in the Company's accounting software within 90 days of sanction, with evidence of implementation within 180 days.</w:t>
      </w:r>
    </w:p>
    <w:p>
      <w:pPr>
        <w:pStyle w:val="ListBullet"/>
        <w:jc w:val="both"/>
      </w:pPr>
      <w:r>
        <w:rPr>
          <w:sz w:val="21"/>
        </w:rPr>
        <w:t xml:space="preserve">  Submission of a plan to reduce the outstanding unsecured inter-corporate loans from related parties over the next 12-24 months.</w:t>
      </w:r>
    </w:p>
    <w:p/>
    <w:p>
      <w:pPr>
        <w:pStyle w:val="ListBullet"/>
        <w:jc w:val="both"/>
      </w:pPr>
      <w:r>
        <w:rPr>
          <w:sz w:val="21"/>
        </w:rPr>
        <w:t xml:space="preserve">  </w:t>
      </w:r>
      <w:r>
        <w:rPr>
          <w:b/>
          <w:sz w:val="21"/>
        </w:rPr>
        <w:t>Financial Covenants (to be tested quarterly):</w:t>
      </w:r>
    </w:p>
    <w:p>
      <w:pPr>
        <w:pStyle w:val="ListBullet"/>
        <w:jc w:val="both"/>
      </w:pPr>
      <w:r>
        <w:rPr>
          <w:sz w:val="21"/>
        </w:rPr>
        <w:t xml:space="preserve">  </w:t>
      </w:r>
      <w:r>
        <w:rPr>
          <w:b/>
          <w:sz w:val="21"/>
        </w:rPr>
        <w:t>Debt Service Coverage Ratio (DSCR):</w:t>
      </w:r>
      <w:r>
        <w:rPr>
          <w:sz w:val="21"/>
        </w:rPr>
        <w:t xml:space="preserve"> To be maintained at a minimum of 1.25x. (FY2024: 1.37x)</w:t>
      </w:r>
    </w:p>
    <w:p>
      <w:pPr>
        <w:pStyle w:val="ListBullet"/>
        <w:jc w:val="both"/>
      </w:pPr>
      <w:r>
        <w:rPr>
          <w:sz w:val="21"/>
        </w:rPr>
        <w:t xml:space="preserve">  </w:t>
      </w:r>
      <w:r>
        <w:rPr>
          <w:b/>
          <w:sz w:val="21"/>
        </w:rPr>
        <w:t>Debt-to-Equity Ratio (D/E):</w:t>
      </w:r>
      <w:r>
        <w:rPr>
          <w:sz w:val="21"/>
        </w:rPr>
        <w:t xml:space="preserve"> To be maintained at a maximum of 1.00x. (FY2024: 0.63x, though Net Debt/Equity is 203%)</w:t>
      </w:r>
    </w:p>
    <w:p>
      <w:pPr>
        <w:pStyle w:val="ListBullet"/>
        <w:jc w:val="both"/>
      </w:pPr>
      <w:r>
        <w:rPr>
          <w:sz w:val="21"/>
        </w:rPr>
        <w:t xml:space="preserve">  </w:t>
      </w:r>
      <w:r>
        <w:rPr>
          <w:b/>
          <w:sz w:val="21"/>
        </w:rPr>
        <w:t>Current Ratio:</w:t>
      </w:r>
      <w:r>
        <w:rPr>
          <w:sz w:val="21"/>
        </w:rPr>
        <w:t xml:space="preserve"> To be maintained at a minimum of 1.10x. (FY2024: 0.95x)</w:t>
      </w:r>
    </w:p>
    <w:p>
      <w:pPr>
        <w:pStyle w:val="ListBullet"/>
        <w:jc w:val="both"/>
      </w:pPr>
      <w:r>
        <w:rPr>
          <w:sz w:val="21"/>
        </w:rPr>
        <w:t xml:space="preserve">  </w:t>
      </w:r>
      <w:r>
        <w:rPr>
          <w:b/>
          <w:sz w:val="21"/>
        </w:rPr>
        <w:t>EBITDA Margin:</w:t>
      </w:r>
      <w:r>
        <w:rPr>
          <w:sz w:val="21"/>
        </w:rPr>
        <w:t xml:space="preserve"> To be maintained at a minimum of 15.00%. (FY2024: 21.93%)</w:t>
      </w:r>
    </w:p>
    <w:p>
      <w:pPr>
        <w:pStyle w:val="ListBullet"/>
        <w:jc w:val="both"/>
      </w:pPr>
      <w:r>
        <w:rPr>
          <w:sz w:val="21"/>
        </w:rPr>
        <w:t xml:space="preserve">  </w:t>
      </w:r>
      <w:r>
        <w:rPr>
          <w:b/>
          <w:sz w:val="21"/>
        </w:rPr>
        <w:t>Inventory Days:</w:t>
      </w:r>
      <w:r>
        <w:rPr>
          <w:sz w:val="21"/>
        </w:rPr>
        <w:t xml:space="preserve"> To be maintained at a maximum of 150 days. (FY2024: 191 days)</w:t>
      </w:r>
    </w:p>
    <w:p/>
    <w:p>
      <w:pPr>
        <w:pStyle w:val="ListBullet"/>
        <w:jc w:val="both"/>
      </w:pPr>
      <w:r>
        <w:rPr>
          <w:sz w:val="21"/>
        </w:rPr>
        <w:t xml:space="preserve">  </w:t>
      </w:r>
      <w:r>
        <w:rPr>
          <w:b/>
          <w:sz w:val="21"/>
        </w:rPr>
        <w:t>Reporting Requirements:</w:t>
      </w:r>
    </w:p>
    <w:p>
      <w:pPr>
        <w:pStyle w:val="ListBullet"/>
        <w:jc w:val="both"/>
      </w:pPr>
      <w:r>
        <w:rPr>
          <w:sz w:val="21"/>
        </w:rPr>
        <w:t xml:space="preserve">  Submission of monthly stock and book debt statements for the Cash Credit facility.</w:t>
      </w:r>
    </w:p>
    <w:p>
      <w:pPr>
        <w:pStyle w:val="ListBullet"/>
        <w:jc w:val="both"/>
      </w:pPr>
      <w:r>
        <w:rPr>
          <w:sz w:val="21"/>
        </w:rPr>
        <w:t xml:space="preserve">  Submission of quarterly unaudited financial statements within 45 days of quarter-end.</w:t>
      </w:r>
    </w:p>
    <w:p>
      <w:pPr>
        <w:pStyle w:val="ListBullet"/>
        <w:jc w:val="both"/>
      </w:pPr>
      <w:r>
        <w:rPr>
          <w:sz w:val="21"/>
        </w:rPr>
        <w:t xml:space="preserve">  Submission of annual audited financial statements within 180 days of fiscal year-end.</w:t>
      </w:r>
    </w:p>
    <w:p>
      <w:pPr>
        <w:pStyle w:val="ListBullet"/>
        <w:jc w:val="both"/>
      </w:pPr>
      <w:r>
        <w:rPr>
          <w:sz w:val="21"/>
        </w:rPr>
        <w:t xml:space="preserve">  Annual compliance certificate from the Company's management confirming adherence to all financial and non-financial covenants.</w:t>
      </w:r>
    </w:p>
    <w:p>
      <w:pPr>
        <w:pStyle w:val="ListBullet"/>
        <w:jc w:val="both"/>
      </w:pPr>
      <w:r>
        <w:rPr>
          <w:sz w:val="21"/>
        </w:rPr>
        <w:t xml:space="preserve">  Prompt notification of any material adverse change, litigation, or regulatory action.</w:t>
      </w:r>
    </w:p>
    <w:p/>
    <w:p>
      <w:r>
        <w:rPr>
          <w:b/>
          <w:color w:val="003366"/>
          <w:sz w:val="22"/>
        </w:rPr>
        <w:t>3. Final Recommendation</w:t>
      </w:r>
    </w:p>
    <w:p/>
    <w:p>
      <w:pPr>
        <w:spacing w:after="80"/>
        <w:jc w:val="both"/>
      </w:pPr>
      <w:r>
        <w:rPr>
          <w:b/>
          <w:sz w:val="21"/>
        </w:rPr>
        <w:t>Approve with Conditions</w:t>
      </w:r>
    </w:p>
    <w:p/>
    <w:p>
      <w:pPr>
        <w:spacing w:after="80"/>
        <w:jc w:val="both"/>
      </w:pPr>
      <w:r>
        <w:rPr>
          <w:sz w:val="21"/>
        </w:rPr>
        <w:t xml:space="preserve">The recommendation to </w:t>
      </w:r>
      <w:r>
        <w:rPr>
          <w:b/>
          <w:sz w:val="21"/>
        </w:rPr>
        <w:t>Approve with Conditions</w:t>
      </w:r>
      <w:r>
        <w:rPr>
          <w:sz w:val="21"/>
        </w:rPr>
        <w:t xml:space="preserve"> is based on a comprehensive assessment of SRI RAMAKRISHNA MILLS (COIMBATORE) LIMITED's financial performance, risk profile, and audit findings.</w:t>
      </w:r>
    </w:p>
    <w:p/>
    <w:p>
      <w:pPr>
        <w:spacing w:after="80"/>
        <w:jc w:val="both"/>
      </w:pPr>
      <w:r>
        <w:rPr>
          <w:b/>
          <w:sz w:val="21"/>
        </w:rPr>
        <w:t>Justification:</w:t>
      </w:r>
    </w:p>
    <w:p/>
    <w:p>
      <w:pPr>
        <w:pStyle w:val="ListNumber"/>
        <w:jc w:val="both"/>
      </w:pPr>
      <w:r>
        <w:rPr>
          <w:sz w:val="21"/>
        </w:rPr>
        <w:t xml:space="preserve">1.  </w:t>
      </w:r>
      <w:r>
        <w:rPr>
          <w:b/>
          <w:sz w:val="21"/>
        </w:rPr>
        <w:t>Positive Indicators:</w:t>
      </w:r>
    </w:p>
    <w:p>
      <w:pPr>
        <w:pStyle w:val="ListBullet"/>
        <w:jc w:val="both"/>
      </w:pPr>
      <w:r>
        <w:rPr>
          <w:sz w:val="21"/>
        </w:rPr>
        <w:t xml:space="preserve">  </w:t>
      </w:r>
      <w:r>
        <w:rPr>
          <w:b/>
          <w:sz w:val="21"/>
        </w:rPr>
        <w:t>Strong Financial Performance in FY2024:</w:t>
      </w:r>
      <w:r>
        <w:rPr>
          <w:sz w:val="21"/>
        </w:rPr>
        <w:t xml:space="preserve"> The Company demonstrated significant improvement in FY2024, with revenue growing by 49.6% to INR 5907.39 Lakhs and PAT increasing by 2,221% to INR 648.01 Lakhs (albeit from a low base). The EBITDA margin improved substantially to 21.93% from 11.19% in FY2023.</w:t>
      </w:r>
    </w:p>
    <w:p>
      <w:pPr>
        <w:pStyle w:val="ListBullet"/>
        <w:jc w:val="both"/>
      </w:pPr>
      <w:r>
        <w:rPr>
          <w:sz w:val="21"/>
        </w:rPr>
        <w:t xml:space="preserve">  </w:t>
      </w:r>
      <w:r>
        <w:rPr>
          <w:b/>
          <w:sz w:val="21"/>
        </w:rPr>
        <w:t>Improved Debt Servicing Capability:</w:t>
      </w:r>
      <w:r>
        <w:rPr>
          <w:sz w:val="21"/>
        </w:rPr>
        <w:t xml:space="preserve"> The Debt Service Coverage Ratio (DSCR) improved from a concerning 0.77x in FY2023 to a more acceptable 1.37x in FY2024, indicating enhanced ability to meet debt obligations.</w:t>
      </w:r>
    </w:p>
    <w:p>
      <w:pPr>
        <w:pStyle w:val="ListBullet"/>
        <w:jc w:val="both"/>
      </w:pPr>
      <w:r>
        <w:rPr>
          <w:sz w:val="21"/>
        </w:rPr>
        <w:t xml:space="preserve">  </w:t>
      </w:r>
      <w:r>
        <w:rPr>
          <w:b/>
          <w:sz w:val="21"/>
        </w:rPr>
        <w:t>Robust Cash Flow from Operations:</w:t>
      </w:r>
      <w:r>
        <w:rPr>
          <w:sz w:val="21"/>
        </w:rPr>
        <w:t xml:space="preserve"> The Company generated strong cash from operations of INR 2141.46 Lakhs in FY2024, providing a solid base for debt repayment.</w:t>
      </w:r>
    </w:p>
    <w:p>
      <w:pPr>
        <w:pStyle w:val="ListBullet"/>
        <w:jc w:val="both"/>
      </w:pPr>
      <w:r>
        <w:rPr>
          <w:sz w:val="21"/>
        </w:rPr>
        <w:t xml:space="preserve">  </w:t>
      </w:r>
      <w:r>
        <w:rPr>
          <w:b/>
          <w:sz w:val="21"/>
        </w:rPr>
        <w:t>Strategic Investments:</w:t>
      </w:r>
      <w:r>
        <w:rPr>
          <w:sz w:val="21"/>
        </w:rPr>
        <w:t xml:space="preserve"> Significant textile modernization capex of INR 2,238L in FY2024 indicates management's commitment to strengthening the core business, which could improve future profitability and reduce reliance on real estate.</w:t>
      </w:r>
    </w:p>
    <w:p>
      <w:pPr>
        <w:pStyle w:val="ListBullet"/>
        <w:jc w:val="both"/>
      </w:pPr>
      <w:r>
        <w:rPr>
          <w:sz w:val="21"/>
        </w:rPr>
        <w:t xml:space="preserve">  </w:t>
      </w:r>
      <w:r>
        <w:rPr>
          <w:b/>
          <w:sz w:val="21"/>
        </w:rPr>
        <w:t>Unqualified Audit Opinion:</w:t>
      </w:r>
      <w:r>
        <w:rPr>
          <w:sz w:val="21"/>
        </w:rPr>
        <w:t xml:space="preserve"> The statutory auditors issued an unqualified opinion on the financial statements for FY2024, and the "Going Concern assumption" Key Audit Matter (KAM) was resolved, providing comfort regarding the Company's viability.</w:t>
      </w:r>
    </w:p>
    <w:p>
      <w:pPr>
        <w:pStyle w:val="ListBullet"/>
        <w:jc w:val="both"/>
      </w:pPr>
      <w:r>
        <w:rPr>
          <w:sz w:val="21"/>
        </w:rPr>
        <w:t xml:space="preserve">  </w:t>
      </w:r>
      <w:r>
        <w:rPr>
          <w:b/>
          <w:sz w:val="21"/>
        </w:rPr>
        <w:t>Asset Quality &amp; Internal Controls:</w:t>
      </w:r>
      <w:r>
        <w:rPr>
          <w:sz w:val="21"/>
        </w:rPr>
        <w:t xml:space="preserve"> The auditors noted that title deeds of all immovable properties are in the Company's name and assessed internal financial controls as operating effectively.</w:t>
      </w:r>
    </w:p>
    <w:p/>
    <w:p>
      <w:pPr>
        <w:pStyle w:val="ListNumber"/>
        <w:jc w:val="both"/>
      </w:pPr>
      <w:r>
        <w:rPr>
          <w:sz w:val="21"/>
        </w:rPr>
        <w:t xml:space="preserve">2.  </w:t>
      </w:r>
      <w:r>
        <w:rPr>
          <w:b/>
          <w:sz w:val="21"/>
        </w:rPr>
        <w:t>Key Concerns and Mitigating Conditions:</w:t>
      </w:r>
    </w:p>
    <w:p>
      <w:pPr>
        <w:pStyle w:val="ListBullet"/>
        <w:jc w:val="both"/>
      </w:pPr>
      <w:r>
        <w:rPr>
          <w:sz w:val="21"/>
        </w:rPr>
        <w:t xml:space="preserve">  </w:t>
      </w:r>
      <w:r>
        <w:rPr>
          <w:b/>
          <w:sz w:val="21"/>
        </w:rPr>
        <w:t>Elevated Risk Rating:</w:t>
      </w:r>
      <w:r>
        <w:rPr>
          <w:sz w:val="21"/>
        </w:rPr>
        <w:t xml:space="preserve"> The SAVE rating of "ELEVATED RISK" (composite score 5.00) highlights inherent risks, particularly in "Financial Strength" and "Profitability &amp; Growth" (due to real estate concentration).</w:t>
      </w:r>
    </w:p>
    <w:p>
      <w:pPr>
        <w:pStyle w:val="ListBullet"/>
        <w:jc w:val="both"/>
      </w:pPr>
      <w:r>
        <w:rPr>
          <w:sz w:val="21"/>
        </w:rPr>
        <w:t xml:space="preserve">  </w:t>
      </w:r>
      <w:r>
        <w:rPr>
          <w:b/>
          <w:sz w:val="21"/>
        </w:rPr>
        <w:t>Liquidity &amp; Working Capital:</w:t>
      </w:r>
      <w:r>
        <w:rPr>
          <w:sz w:val="21"/>
        </w:rPr>
        <w:t xml:space="preserve"> The Current Ratio of 0.95x (below the 1.0x benchmark) and near-zero closing cash of INR 0.72 Lakhs indicate liquidity stress, triggering a "WATCH" status. The proposed enhanced Cash Credit facility and a covenant to maintain the Current Ratio above 1.10x will directly address this.</w:t>
      </w:r>
    </w:p>
    <w:p>
      <w:pPr>
        <w:pStyle w:val="ListBullet"/>
        <w:jc w:val="both"/>
      </w:pPr>
      <w:r>
        <w:rPr>
          <w:sz w:val="21"/>
        </w:rPr>
        <w:t xml:space="preserve">  </w:t>
      </w:r>
      <w:r>
        <w:rPr>
          <w:b/>
          <w:sz w:val="21"/>
        </w:rPr>
        <w:t>High Leverage &amp; Related Party Funding:</w:t>
      </w:r>
      <w:r>
        <w:rPr>
          <w:sz w:val="21"/>
        </w:rPr>
        <w:t xml:space="preserve"> While the Debt/Equity ratio is 0.63x, the Net Debt to Equity of 203% is "ELEVATED," with significant reliance on unsecured inter-corporate loans (INR 2301.91 Lakhs). The proposed Term Loan for refinancing will reduce this reliance, and a covenant to maintain Debt/Equity below 1.00x will manage overall gearing.</w:t>
      </w:r>
    </w:p>
    <w:p>
      <w:pPr>
        <w:pStyle w:val="ListBullet"/>
        <w:jc w:val="both"/>
      </w:pPr>
      <w:r>
        <w:rPr>
          <w:sz w:val="21"/>
        </w:rPr>
        <w:t xml:space="preserve">  </w:t>
      </w:r>
      <w:r>
        <w:rPr>
          <w:b/>
          <w:sz w:val="21"/>
        </w:rPr>
        <w:t>Real Estate Revenue Concentration &amp; Textile Losses:</w:t>
      </w:r>
      <w:r>
        <w:rPr>
          <w:sz w:val="21"/>
        </w:rPr>
        <w:t xml:space="preserve"> Real estate income constituted 52.8% of FY2024 revenue, but the project is completed with no disclosed pipeline. Concurrently, the textile segment continues to incur losses (INR (407.33) Lakhs in FY2024). The ongoing modernization efforts are crucial, and the proposed facilities will support the transition to a more sustainable core business.</w:t>
      </w:r>
    </w:p>
    <w:p>
      <w:pPr>
        <w:pStyle w:val="ListBullet"/>
        <w:jc w:val="both"/>
      </w:pPr>
      <w:r>
        <w:rPr>
          <w:sz w:val="21"/>
        </w:rPr>
        <w:t xml:space="preserve">  </w:t>
      </w:r>
      <w:r>
        <w:rPr>
          <w:b/>
          <w:sz w:val="21"/>
        </w:rPr>
        <w:t>Audit Trail Deficiency:</w:t>
      </w:r>
      <w:r>
        <w:rPr>
          <w:sz w:val="21"/>
        </w:rPr>
        <w:t xml:space="preserve"> The auditor's finding that the accounting software's audit trail feature was not enabled is a significant internal control weakness. A specific condition precedent requiring a plan and implementation for this will ensure compliance and improve financial transparency.</w:t>
      </w:r>
    </w:p>
    <w:p>
      <w:pPr>
        <w:pStyle w:val="ListBullet"/>
        <w:jc w:val="both"/>
      </w:pPr>
      <w:r>
        <w:rPr>
          <w:sz w:val="21"/>
        </w:rPr>
        <w:t xml:space="preserve">  </w:t>
      </w:r>
      <w:r>
        <w:rPr>
          <w:b/>
          <w:sz w:val="21"/>
        </w:rPr>
        <w:t>Inventory Management:</w:t>
      </w:r>
      <w:r>
        <w:rPr>
          <w:sz w:val="21"/>
        </w:rPr>
        <w:t xml:space="preserve"> High inventory days (191 days), partly due to real estate land stock (INR 1,812 Lakhs), ties up working capital. A covenant to reduce inventory days below 150 days will encourage more efficient asset utilization.</w:t>
      </w:r>
    </w:p>
    <w:p/>
    <w:p>
      <w:pPr>
        <w:spacing w:after="80"/>
        <w:jc w:val="both"/>
      </w:pPr>
      <w:r>
        <w:rPr>
          <w:sz w:val="21"/>
        </w:rPr>
        <w:t>In conclusion, while the Company exhibits strong recent financial performance and a commitment to modernizing its core business, the "ELEVATED RISK" rating, liquidity challenges, high reliance on related-party funding, and specific audit observations necessitate a cautious approach. The proposed facilities, coupled with stringent conditions and financial covenants, are designed to support the Company's growth, improve its capital structure, enhance liquidity, and mitigate identified risks, thereby making the credit exposure acceptable.</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SRI RAMAKRISHNA MILLS (COIMBATORE)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