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3366"/>
          <w:sz w:val="40"/>
        </w:rPr>
        <w:t>CREDIT ASSESSMENT MEMORANDUM</w:t>
      </w:r>
    </w:p>
    <w:p/>
    <w:p>
      <w:pPr>
        <w:jc w:val="center"/>
      </w:pPr>
      <w:r>
        <w:rPr>
          <w:b/>
          <w:color w:val="336699"/>
          <w:sz w:val="28"/>
        </w:rPr>
        <w:t>Arjun Textiles Limited</w:t>
      </w:r>
    </w:p>
    <w:p/>
    <w:p>
      <w:pPr>
        <w:jc w:val="center"/>
      </w:pPr>
      <w:r>
        <w:rPr>
          <w:b/>
          <w:color w:val="CC0000"/>
          <w:sz w:val="18"/>
        </w:rPr>
        <w:t>CONFIDENTIAL — FOR INTERNAL USE ONLY</w:t>
      </w:r>
    </w:p>
    <w:p>
      <w:r>
        <w:br w:type="page"/>
      </w:r>
    </w:p>
    <w:p>
      <w:pPr>
        <w:pStyle w:val="Heading1"/>
        <w:spacing w:before="320" w:after="160"/>
      </w:pPr>
      <w:r>
        <w:rPr>
          <w:b/>
          <w:color w:val="003366"/>
          <w:sz w:val="26"/>
        </w:rPr>
        <w:t>SECTION 1 — BORROWER OVERVIEW &amp; BACKGROUND</w:t>
      </w:r>
    </w:p>
    <w:p>
      <w:pPr>
        <w:pBdr>
          <w:bottom w:val="single" w:sz="6" w:space="1" w:color="003366"/>
        </w:pBdr>
      </w:pPr>
    </w:p>
    <w:p>
      <w:pPr>
        <w:spacing w:after="80"/>
      </w:pPr>
      <w:r>
        <w:rPr>
          <w:b/>
          <w:sz w:val="21"/>
        </w:rPr>
        <w:t>Section 1: Introduction</w:t>
      </w:r>
    </w:p>
    <w:p/>
    <w:p>
      <w:r>
        <w:rPr>
          <w:b/>
          <w:color w:val="003366"/>
          <w:sz w:val="22"/>
        </w:rPr>
        <w:t>1.1 Executive Summary</w:t>
      </w:r>
    </w:p>
    <w:p>
      <w:pPr>
        <w:spacing w:after="80"/>
      </w:pPr>
      <w:r>
        <w:rPr>
          <w:sz w:val="21"/>
        </w:rPr>
        <w:t>We have been approached by Arjun Textiles Limited (the "Borrower") to enhance its working capital facilities. This Credit Assessment Memo (CAM) provides an overview of the Borrower's background, the purpose of the proposed facility, and our assessment of its creditworthiness. The proposed facility is expected to be utilized for working capital purposes, including funding the Borrower's operational requirements.</w:t>
      </w:r>
    </w:p>
    <w:p/>
    <w:p>
      <w:r>
        <w:rPr>
          <w:b/>
          <w:color w:val="003366"/>
          <w:sz w:val="22"/>
        </w:rPr>
        <w:t>1.2 Borrower Background</w:t>
      </w:r>
    </w:p>
    <w:p>
      <w:pPr>
        <w:spacing w:after="80"/>
      </w:pPr>
      <w:r>
        <w:rPr>
          <w:sz w:val="21"/>
        </w:rPr>
        <w:t>Arjun Textiles Limited, a Public Limited Company incorporated in 2004, is engaged in the manufacture and export of cotton yarn, grey fabric, and processed fabric. The company is led by experienced promoters, Mr. Rajesh Kumar Arjun (Chairman &amp; Managing Director) and Mrs. Sunita R. Arjun (Whole-Time Director), who possess significant expertise in the textile industry. The key management team comprises seasoned professionals, including Mr. Rajesh Kumar Arjun (CMD, 28 years of experience, B.Tech (Textiles), IIT Delhi), Mrs. Sunita R. Arjun (WTD – Finance, 22 years of experience, CA, ICAI), Mr. Anil Choudhary (CEO, 19 years of experience, MBA (IIM-A)), Mr. Vivek Joshi (CFO, 16 years of experience, CA &amp; CMA), and Ms. Priya Nair (Company Secretary, 11 years of experience, CS, ICSI). The shareholding pattern of the company is as follows: promoter group (62.5%), public institutional investors (14.0%), and public non-institutional investors (23.5%).</w:t>
      </w:r>
    </w:p>
    <w:p/>
    <w:p>
      <w:r>
        <w:rPr>
          <w:b/>
          <w:color w:val="003366"/>
          <w:sz w:val="22"/>
        </w:rPr>
        <w:t>1.3 Purpose of Facility</w:t>
      </w:r>
    </w:p>
    <w:p>
      <w:pPr>
        <w:spacing w:after="80"/>
      </w:pPr>
      <w:r>
        <w:rPr>
          <w:sz w:val="21"/>
        </w:rPr>
        <w:t>The proposed working capital facility is intended to enhance the Borrower's existing working capital limits to support its growing business operations. The facility will be used to fund the Borrower's operational requirements, including procurement of raw materials, payment to suppliers, and meeting other working capital expenses. The exact amount of the proposed facility is not specified; however, it is expected to be utilized for working capital purposes only. The terms and conditions of the facility, including the amount, tenure, and interest rate, will be finalized based on the Borrower's requirements and our credit assessment.</w:t>
      </w:r>
    </w:p>
    <w:p/>
    <w:p>
      <w:pPr>
        <w:pStyle w:val="Heading1"/>
        <w:spacing w:before="320" w:after="160"/>
      </w:pPr>
      <w:r>
        <w:rPr>
          <w:b/>
          <w:color w:val="003366"/>
          <w:sz w:val="26"/>
        </w:rPr>
        <w:t>SECTION 2 — FINANCIAL ANALYSIS</w:t>
      </w:r>
    </w:p>
    <w:p>
      <w:pPr>
        <w:pBdr>
          <w:bottom w:val="single" w:sz="6" w:space="1" w:color="003366"/>
        </w:pBdr>
      </w:pPr>
    </w:p>
    <w:p>
      <w:pPr>
        <w:spacing w:after="80"/>
      </w:pPr>
      <w:r>
        <w:rPr>
          <w:b/>
          <w:sz w:val="21"/>
        </w:rPr>
        <w:t>Section 2: Financial Performance and Analysis</w:t>
      </w:r>
    </w:p>
    <w:p/>
    <w:p>
      <w:pPr>
        <w:spacing w:after="80"/>
      </w:pPr>
      <w:r>
        <w:rPr>
          <w:sz w:val="21"/>
        </w:rPr>
        <w:t>The company's financial performance has exhibited a steady upward trend over the past three years, with notable improvements in revenue, profitability, and cash flow generation.</w:t>
      </w:r>
    </w:p>
    <w:p/>
    <w:p>
      <w:pPr>
        <w:spacing w:after="80"/>
      </w:pPr>
      <w:r>
        <w:rPr>
          <w:b/>
          <w:sz w:val="21"/>
        </w:rPr>
        <w:t>1. Financial Performance - Revenue Trends and Margins</w:t>
      </w:r>
    </w:p>
    <w:p/>
    <w:p>
      <w:pPr>
        <w:spacing w:after="80"/>
      </w:pPr>
      <w:r>
        <w:rPr>
          <w:sz w:val="21"/>
        </w:rPr>
        <w:t>The company's revenue has consistently increased year-over-year, with a growth rate of 17.45% from FY22 to FY23 and 14.85% from FY23 to FY24, reaching Rs 18,742.36 Lakhs in FY24. The EBITDA margin has also shown a steady improvement, increasing from 15.98% in FY22 to 16.43% in FY23 and further to 18.47% in FY24. This suggests that the company has been able to maintain its pricing power and control its costs effectively.</w:t>
      </w:r>
    </w:p>
    <w:p/>
    <w:p>
      <w:pPr>
        <w:spacing w:after="80"/>
      </w:pPr>
      <w:r>
        <w:rPr>
          <w:b/>
          <w:sz w:val="21"/>
        </w:rPr>
        <w:t>2. Balance Sheet Analysis - Assets, Debt, and Equity</w:t>
      </w:r>
    </w:p>
    <w:p/>
    <w:p>
      <w:pPr>
        <w:spacing w:after="80"/>
      </w:pPr>
      <w:r>
        <w:rPr>
          <w:sz w:val="21"/>
        </w:rPr>
        <w:t>The company's total assets have increased from Rs 15,167.48 Lakhs in FY22 to Rs 17,013.20 Lakhs in FY24, representing a growth rate of 12.25% over the two-year period. The debt-to-equity (D/E) ratio has decreased significantly, from 1.24 in FY22 to 0.86 in FY24, indicating a reduction in the company's reliance on debt financing and an improvement in its capital structure.</w:t>
      </w:r>
    </w:p>
    <w:p/>
    <w:p>
      <w:pPr>
        <w:spacing w:after="80"/>
      </w:pPr>
      <w:r>
        <w:rPr>
          <w:b/>
          <w:sz w:val="21"/>
        </w:rPr>
        <w:t>3. Key Ratios - Commentary</w:t>
      </w:r>
    </w:p>
    <w:p/>
    <w:p>
      <w:pPr>
        <w:spacing w:after="80"/>
      </w:pPr>
      <w:r>
        <w:rPr>
          <w:sz w:val="21"/>
        </w:rPr>
        <w:t>The key ratios analyzed below provide further insight into the company's financial performance:</w:t>
      </w:r>
    </w:p>
    <w:p/>
    <w:p>
      <w:pPr>
        <w:pStyle w:val="ListBullet"/>
      </w:pPr>
      <w:r>
        <w:rPr>
          <w:sz w:val="21"/>
        </w:rPr>
        <w:t>Debt Service Coverage Ratio (DSCR): The DSCR has increased from 1.34 in FY22 to 1.84 in FY24, indicating a significant improvement in the company's ability to meet its debt obligations.</w:t>
      </w:r>
    </w:p>
    <w:p>
      <w:pPr>
        <w:pStyle w:val="ListBullet"/>
      </w:pPr>
      <w:r>
        <w:rPr>
          <w:sz w:val="21"/>
        </w:rPr>
        <w:t>Interest Coverage Ratio (ICR): The ICR has also shown a notable increase, from 2.28 in FY22 to 3.46 in FY24, suggesting that the company has a comfortable cushion to meet its interest payments.</w:t>
      </w:r>
    </w:p>
    <w:p>
      <w:pPr>
        <w:pStyle w:val="ListBullet"/>
      </w:pPr>
      <w:r>
        <w:rPr>
          <w:sz w:val="21"/>
        </w:rPr>
        <w:t>Current Ratio: The current ratio has increased from 1.31 in FY22 to 1.42 in FY24, indicating that the company has a sufficient liquidity position to meet its short-term obligations.</w:t>
      </w:r>
    </w:p>
    <w:p>
      <w:pPr>
        <w:pStyle w:val="ListBullet"/>
      </w:pPr>
      <w:r>
        <w:rPr>
          <w:sz w:val="21"/>
        </w:rPr>
        <w:t>D/E Ratio: As mentioned earlier, the D/E ratio has decreased significantly, from 1.24 in FY22 to 0.86 in FY24, highlighting an improvement in the company's capital structure.</w:t>
      </w:r>
    </w:p>
    <w:p/>
    <w:p>
      <w:pPr>
        <w:spacing w:after="80"/>
      </w:pPr>
      <w:r>
        <w:rPr>
          <w:b/>
          <w:sz w:val="21"/>
        </w:rPr>
        <w:t>4. Cash Flow Analysis</w:t>
      </w:r>
    </w:p>
    <w:p/>
    <w:p>
      <w:pPr>
        <w:spacing w:after="80"/>
      </w:pPr>
      <w:r>
        <w:rPr>
          <w:sz w:val="21"/>
        </w:rPr>
        <w:t>The company's cash flow from operations has shown a steady increase, from Rs 1,742.70 Lakhs in FY22 to Rs 2,678.32 Lakhs in FY24, representing a growth rate of 53.73% over the two-year period. The closing cash balance has also increased significantly, from Rs 175.60 Lakhs in FY22 to Rs 701.96 Lakhs in FY24. This suggests that the company has a strong ability to generate cash from its operations and maintain a healthy cash position.</w:t>
      </w:r>
    </w:p>
    <w:p/>
    <w:p>
      <w:pPr>
        <w:spacing w:after="80"/>
      </w:pPr>
      <w:r>
        <w:rPr>
          <w:sz w:val="21"/>
        </w:rPr>
        <w:t>Overall, the company's financial performance has shown significant improvements over the past three years, with increases in revenue, profitability, and cash flow generation. The reduction in the D/E ratio and the improvement in key ratios such as DSCR, ICR, and current ratio are positive indicators of the company's financial health. However, it is essential to continue monitoring the company's financial performance to ensure that these trends are sustainable in the long term.</w:t>
      </w:r>
    </w:p>
    <w:p/>
    <w:p>
      <w:pPr>
        <w:pStyle w:val="Heading1"/>
        <w:spacing w:before="320" w:after="160"/>
      </w:pPr>
      <w:r>
        <w:rPr>
          <w:b/>
          <w:color w:val="003366"/>
          <w:sz w:val="26"/>
        </w:rPr>
        <w:t>SECTION 3 — BANKING &amp; CREDIT HISTORY</w:t>
      </w:r>
    </w:p>
    <w:p>
      <w:pPr>
        <w:pBdr>
          <w:bottom w:val="single" w:sz="6" w:space="1" w:color="003366"/>
        </w:pBdr>
      </w:pPr>
    </w:p>
    <w:p>
      <w:pPr>
        <w:spacing w:after="80"/>
      </w:pPr>
      <w:r>
        <w:rPr>
          <w:b/>
          <w:sz w:val="21"/>
        </w:rPr>
        <w:t>Section 3: Credit Assessment</w:t>
      </w:r>
    </w:p>
    <w:p/>
    <w:p>
      <w:r>
        <w:rPr>
          <w:b/>
          <w:color w:val="003366"/>
          <w:sz w:val="22"/>
        </w:rPr>
        <w:t>3.1 Banking Conduct</w:t>
      </w:r>
    </w:p>
    <w:p/>
    <w:p>
      <w:pPr>
        <w:spacing w:after="80"/>
      </w:pPr>
      <w:r>
        <w:rPr>
          <w:sz w:val="21"/>
        </w:rPr>
        <w:t>The company has demonstrated a satisfactory track record in its banking conduct, with no reported defaults or Special Mention Accounts (SMAs) across its banking facilities. The borrower has adhered to the terms and conditions of the credit facilities, including timely repayment of principal and interest.</w:t>
      </w:r>
    </w:p>
    <w:p/>
    <w:p>
      <w:r>
        <w:rPr>
          <w:b/>
          <w:color w:val="003366"/>
          <w:sz w:val="22"/>
        </w:rPr>
        <w:t>3.2 Existing Credit Facilities</w:t>
      </w:r>
    </w:p>
    <w:p/>
    <w:p>
      <w:r>
        <w:rPr>
          <w:b/>
          <w:color w:val="003366"/>
          <w:sz w:val="22"/>
        </w:rPr>
        <w:t>The company has the following existing credit facilities:</w:t>
      </w:r>
    </w:p>
    <w:p/>
    <w:p>
      <w:pPr>
        <w:pStyle w:val="ListNumber"/>
      </w:pPr>
      <w:r>
        <w:rPr>
          <w:sz w:val="21"/>
        </w:rPr>
        <w:t xml:space="preserve">1. </w:t>
      </w:r>
      <w:r>
        <w:rPr>
          <w:b/>
          <w:sz w:val="21"/>
        </w:rPr>
        <w:t>State Bank of India</w:t>
      </w:r>
      <w:r>
        <w:rPr>
          <w:sz w:val="21"/>
        </w:rPr>
        <w:t>: Term Loan for Machinery Upgrade, with an interest rate of 9.25% and an outstanding amount of Rs1842.40L.</w:t>
      </w:r>
    </w:p>
    <w:p>
      <w:pPr>
        <w:pStyle w:val="ListNumber"/>
      </w:pPr>
      <w:r>
        <w:rPr>
          <w:sz w:val="21"/>
        </w:rPr>
        <w:t xml:space="preserve">2. </w:t>
      </w:r>
      <w:r>
        <w:rPr>
          <w:b/>
          <w:sz w:val="21"/>
        </w:rPr>
        <w:t>HDFC Bank Ltd</w:t>
      </w:r>
      <w:r>
        <w:rPr>
          <w:sz w:val="21"/>
        </w:rPr>
        <w:t>: Term Loan for Plant Expansion, with an interest rate of 9.75% and an outstanding amount of Rs1114.20L.</w:t>
      </w:r>
    </w:p>
    <w:p>
      <w:pPr>
        <w:pStyle w:val="ListNumber"/>
      </w:pPr>
      <w:r>
        <w:rPr>
          <w:sz w:val="21"/>
        </w:rPr>
        <w:t xml:space="preserve">3. </w:t>
      </w:r>
      <w:r>
        <w:rPr>
          <w:b/>
          <w:sz w:val="21"/>
        </w:rPr>
        <w:t>State Bank of India</w:t>
      </w:r>
      <w:r>
        <w:rPr>
          <w:sz w:val="21"/>
        </w:rPr>
        <w:t>: Cash Credit (CC) Limit for Working Capital, with an interest rate of 9.50% and an outstanding amount of Rs1614.20L.</w:t>
      </w:r>
    </w:p>
    <w:p>
      <w:pPr>
        <w:pStyle w:val="ListNumber"/>
      </w:pPr>
      <w:r>
        <w:rPr>
          <w:sz w:val="21"/>
        </w:rPr>
        <w:t xml:space="preserve">4. </w:t>
      </w:r>
      <w:r>
        <w:rPr>
          <w:b/>
          <w:sz w:val="21"/>
        </w:rPr>
        <w:t>HDFC Bank Ltd</w:t>
      </w:r>
      <w:r>
        <w:rPr>
          <w:sz w:val="21"/>
        </w:rPr>
        <w:t>: Export Packing Credit (PC) for Pre-shipment Export Finance, with an interest rate of 8.80% and an outstanding amount of Rs842.40L.</w:t>
      </w:r>
    </w:p>
    <w:p>
      <w:pPr>
        <w:pStyle w:val="ListNumber"/>
      </w:pPr>
      <w:r>
        <w:rPr>
          <w:sz w:val="21"/>
        </w:rPr>
        <w:t xml:space="preserve">5. </w:t>
      </w:r>
      <w:r>
        <w:rPr>
          <w:b/>
          <w:sz w:val="21"/>
        </w:rPr>
        <w:t>NBFC</w:t>
      </w:r>
      <w:r>
        <w:rPr>
          <w:sz w:val="21"/>
        </w:rPr>
        <w:t>: Loan for Equipment Purchase (Looms), with an interest rate of 10.20% and an outstanding amount of Rs357.60L.</w:t>
      </w:r>
    </w:p>
    <w:p/>
    <w:p>
      <w:pPr>
        <w:spacing w:after="80"/>
      </w:pPr>
      <w:r>
        <w:rPr>
          <w:sz w:val="21"/>
        </w:rPr>
        <w:t>The total outstanding amount across all credit facilities is Rs4,770.80L.</w:t>
      </w:r>
    </w:p>
    <w:p/>
    <w:p>
      <w:r>
        <w:rPr>
          <w:b/>
          <w:color w:val="003366"/>
          <w:sz w:val="22"/>
        </w:rPr>
        <w:t>3.3 Repayment Track Record</w:t>
      </w:r>
    </w:p>
    <w:p/>
    <w:p>
      <w:pPr>
        <w:spacing w:after="80"/>
      </w:pPr>
      <w:r>
        <w:rPr>
          <w:sz w:val="21"/>
        </w:rPr>
        <w:t>The company has maintained a satisfactory repayment track record, with timely repayments of principal and interest across all credit facilities. The borrower's repayment history indicates a strong commitment to meeting its credit obligations, which is a positive indicator of its creditworthiness.</w:t>
      </w:r>
    </w:p>
    <w:p/>
    <w:p>
      <w:pPr>
        <w:spacing w:after="80"/>
      </w:pPr>
      <w:r>
        <w:rPr>
          <w:sz w:val="21"/>
        </w:rPr>
        <w:t>It is worth noting that the audit observations highlighted some internal control weaknesses, including the lack of systematic bin-card reconciliation, GST Input Tax Credit reconciliation issues, and delays in updating the Fixed Asset register. However, the company has taken corrective actions to address these issues, including implementing a bin-card system, reversing and charging the mismatched ITC to P&amp;L, and updating the Fixed Asset register. The auditor's opinion is clean, and there are no going concern issues, which further supports the company's creditworthiness.</w:t>
      </w:r>
    </w:p>
    <w:p/>
    <w:p>
      <w:pPr>
        <w:pStyle w:val="Heading1"/>
        <w:spacing w:before="320" w:after="160"/>
      </w:pPr>
      <w:r>
        <w:rPr>
          <w:b/>
          <w:color w:val="003366"/>
          <w:sz w:val="26"/>
        </w:rPr>
        <w:t>SECTION 4 — RISK ASSESSMENT &amp; SECURITY</w:t>
      </w:r>
    </w:p>
    <w:p>
      <w:pPr>
        <w:pBdr>
          <w:bottom w:val="single" w:sz="6" w:space="1" w:color="003366"/>
        </w:pBdr>
      </w:pPr>
    </w:p>
    <w:p>
      <w:pPr>
        <w:spacing w:after="80"/>
      </w:pPr>
      <w:r>
        <w:rPr>
          <w:b/>
          <w:sz w:val="21"/>
        </w:rPr>
        <w:t>Section 4: Risk Assessment, Security and Collateral, and Contingent Liabilities</w:t>
      </w:r>
    </w:p>
    <w:p/>
    <w:p>
      <w:r>
        <w:rPr>
          <w:b/>
          <w:color w:val="003366"/>
          <w:sz w:val="22"/>
        </w:rPr>
        <w:t>4.1 Risk Assessment</w:t>
      </w:r>
    </w:p>
    <w:p/>
    <w:p>
      <w:pPr>
        <w:spacing w:after="80"/>
      </w:pPr>
      <w:r>
        <w:rPr>
          <w:sz w:val="21"/>
        </w:rPr>
        <w:t>The risk assessment of the company is categorized into financial, operational, management, and other risks, along with their respective mitigants.</w:t>
      </w:r>
    </w:p>
    <w:p/>
    <w:p>
      <w:pPr>
        <w:spacing w:after="80"/>
      </w:pPr>
      <w:r>
        <w:rPr>
          <w:b/>
          <w:sz w:val="21"/>
        </w:rPr>
        <w:t>Risks:</w:t>
      </w:r>
    </w:p>
    <w:p/>
    <w:p>
      <w:pPr>
        <w:pStyle w:val="ListNumber"/>
      </w:pPr>
      <w:r>
        <w:rPr>
          <w:sz w:val="21"/>
        </w:rPr>
        <w:t xml:space="preserve">1. </w:t>
      </w:r>
      <w:r>
        <w:rPr>
          <w:b/>
          <w:sz w:val="21"/>
        </w:rPr>
        <w:t>Financial Risks:</w:t>
      </w:r>
    </w:p>
    <w:p>
      <w:pPr>
        <w:pStyle w:val="ListBullet"/>
      </w:pPr>
      <w:r>
        <w:rPr>
          <w:sz w:val="21"/>
        </w:rPr>
        <w:t>Cotton commodity price spike risk: The recent 18% increase in MCX cotton prices in Q4 FY24 poses a significant risk to the company's profitability.</w:t>
      </w:r>
    </w:p>
    <w:p>
      <w:pPr>
        <w:pStyle w:val="ListBullet"/>
      </w:pPr>
      <w:r>
        <w:rPr>
          <w:sz w:val="21"/>
        </w:rPr>
        <w:t>Export receivables &gt;90 days: ₹142L (5% of debtors) are outstanding for more than 90 days, indicating a potential credit risk.</w:t>
      </w:r>
    </w:p>
    <w:p>
      <w:pPr>
        <w:pStyle w:val="ListNumber"/>
      </w:pPr>
      <w:r>
        <w:rPr>
          <w:sz w:val="21"/>
        </w:rPr>
        <w:t xml:space="preserve">2. </w:t>
      </w:r>
      <w:r>
        <w:rPr>
          <w:b/>
          <w:sz w:val="21"/>
        </w:rPr>
        <w:t>Operational Risks:</w:t>
      </w:r>
    </w:p>
    <w:p>
      <w:pPr>
        <w:pStyle w:val="ListBullet"/>
      </w:pPr>
      <w:r>
        <w:rPr>
          <w:sz w:val="21"/>
        </w:rPr>
        <w:t>Bhilwara plant utilization at 72%: This is below the company average, indicating inefficient resource allocation and potential operational inefficiencies.</w:t>
      </w:r>
    </w:p>
    <w:p>
      <w:pPr>
        <w:pStyle w:val="ListNumber"/>
      </w:pPr>
      <w:r>
        <w:rPr>
          <w:sz w:val="21"/>
        </w:rPr>
        <w:t xml:space="preserve">3. </w:t>
      </w:r>
      <w:r>
        <w:rPr>
          <w:b/>
          <w:sz w:val="21"/>
        </w:rPr>
        <w:t>Management Risks:</w:t>
      </w:r>
    </w:p>
    <w:p>
      <w:pPr>
        <w:pStyle w:val="ListBullet"/>
      </w:pPr>
      <w:r>
        <w:rPr>
          <w:sz w:val="21"/>
        </w:rPr>
        <w:t>Key-man dependency: The CMD being the sole signatory for major contracts poses a significant risk to the company's operations in case of his unavailability.</w:t>
      </w:r>
    </w:p>
    <w:p>
      <w:pPr>
        <w:pStyle w:val="ListNumber"/>
      </w:pPr>
      <w:r>
        <w:rPr>
          <w:sz w:val="21"/>
        </w:rPr>
        <w:t xml:space="preserve">4. </w:t>
      </w:r>
      <w:r>
        <w:rPr>
          <w:b/>
          <w:sz w:val="21"/>
        </w:rPr>
        <w:t>Compliance and Legal Risks:</w:t>
      </w:r>
    </w:p>
    <w:p>
      <w:pPr>
        <w:pStyle w:val="ListBullet"/>
      </w:pPr>
      <w:r>
        <w:rPr>
          <w:sz w:val="21"/>
        </w:rPr>
        <w:t>IT demand AY20-21 ₹84.20L: The pending appeal with CIT(A) poses a risk to the company's financials.</w:t>
      </w:r>
    </w:p>
    <w:p>
      <w:pPr>
        <w:pStyle w:val="ListBullet"/>
      </w:pPr>
      <w:r>
        <w:rPr>
          <w:sz w:val="21"/>
        </w:rPr>
        <w:t>GST ITC mismatch: Although resolved, the initial weakness in vendor compliance highlights the need for stringent monitoring.</w:t>
      </w:r>
    </w:p>
    <w:p/>
    <w:p>
      <w:pPr>
        <w:spacing w:after="80"/>
      </w:pPr>
      <w:r>
        <w:rPr>
          <w:b/>
          <w:sz w:val="21"/>
        </w:rPr>
        <w:t>Mitigants:</w:t>
      </w:r>
    </w:p>
    <w:p/>
    <w:p>
      <w:pPr>
        <w:pStyle w:val="ListNumber"/>
      </w:pPr>
      <w:r>
        <w:rPr>
          <w:sz w:val="21"/>
        </w:rPr>
        <w:t xml:space="preserve">1. </w:t>
      </w:r>
      <w:r>
        <w:rPr>
          <w:b/>
          <w:sz w:val="21"/>
        </w:rPr>
        <w:t>Financial Mitigants:</w:t>
      </w:r>
    </w:p>
    <w:p>
      <w:pPr>
        <w:pStyle w:val="ListBullet"/>
      </w:pPr>
      <w:r>
        <w:rPr>
          <w:sz w:val="21"/>
        </w:rPr>
        <w:t>Diversified revenue streams: The company's presence in multiple segments helps mitigate the impact of cotton price fluctuations.</w:t>
      </w:r>
    </w:p>
    <w:p>
      <w:pPr>
        <w:pStyle w:val="ListBullet"/>
      </w:pPr>
      <w:r>
        <w:rPr>
          <w:sz w:val="21"/>
        </w:rPr>
        <w:t>Regular review of receivables: The company's focus on managing export receivables can help reduce the credit risk associated with &gt;90 days outstanding payments.</w:t>
      </w:r>
    </w:p>
    <w:p>
      <w:pPr>
        <w:pStyle w:val="ListNumber"/>
      </w:pPr>
      <w:r>
        <w:rPr>
          <w:sz w:val="21"/>
        </w:rPr>
        <w:t xml:space="preserve">2. </w:t>
      </w:r>
      <w:r>
        <w:rPr>
          <w:b/>
          <w:sz w:val="21"/>
        </w:rPr>
        <w:t>Operational Mitigants:</w:t>
      </w:r>
    </w:p>
    <w:p>
      <w:pPr>
        <w:pStyle w:val="ListBullet"/>
      </w:pPr>
      <w:r>
        <w:rPr>
          <w:sz w:val="21"/>
        </w:rPr>
        <w:t>Ongoing efforts to improve plant utilization: Actions are being taken to enhance the Bhilwara plant's efficiency, which should lead to better resource allocation.</w:t>
      </w:r>
    </w:p>
    <w:p>
      <w:pPr>
        <w:pStyle w:val="ListNumber"/>
      </w:pPr>
      <w:r>
        <w:rPr>
          <w:sz w:val="21"/>
        </w:rPr>
        <w:t xml:space="preserve">3. </w:t>
      </w:r>
      <w:r>
        <w:rPr>
          <w:b/>
          <w:sz w:val="21"/>
        </w:rPr>
        <w:t>Management Mitigants:</w:t>
      </w:r>
    </w:p>
    <w:p>
      <w:pPr>
        <w:pStyle w:val="ListBullet"/>
      </w:pPr>
      <w:r>
        <w:rPr>
          <w:sz w:val="21"/>
        </w:rPr>
        <w:t>Succession planning: Although partially resolved, the company is likely to address the key-man dependency risk through appropriate planning and distribution of responsibilities.</w:t>
      </w:r>
    </w:p>
    <w:p>
      <w:pPr>
        <w:pStyle w:val="ListNumber"/>
      </w:pPr>
      <w:r>
        <w:rPr>
          <w:sz w:val="21"/>
        </w:rPr>
        <w:t xml:space="preserve">4. </w:t>
      </w:r>
      <w:r>
        <w:rPr>
          <w:b/>
          <w:sz w:val="21"/>
        </w:rPr>
        <w:t>Compliance and Legal Mitigants:</w:t>
      </w:r>
    </w:p>
    <w:p>
      <w:pPr>
        <w:pStyle w:val="ListBullet"/>
      </w:pPr>
      <w:r>
        <w:rPr>
          <w:sz w:val="21"/>
        </w:rPr>
        <w:t>Internal audit coverage: The increase in internal audit visits, including those to the Bhilwara plant, ensures better compliance and risk management.</w:t>
      </w:r>
    </w:p>
    <w:p>
      <w:pPr>
        <w:pStyle w:val="ListBullet"/>
      </w:pPr>
      <w:r>
        <w:rPr>
          <w:sz w:val="21"/>
        </w:rPr>
        <w:t>Professional advice: The company's engagement with legal and tax professionals for the IT and GST disputes demonstrates its commitment to resolving these issues.</w:t>
      </w:r>
    </w:p>
    <w:p/>
    <w:p>
      <w:r>
        <w:rPr>
          <w:b/>
          <w:color w:val="003366"/>
          <w:sz w:val="22"/>
        </w:rPr>
        <w:t>4.2 Security and Collateral</w:t>
      </w:r>
    </w:p>
    <w:p/>
    <w:p>
      <w:pPr>
        <w:spacing w:after="80"/>
      </w:pPr>
      <w:r>
        <w:rPr>
          <w:sz w:val="21"/>
        </w:rPr>
        <w:t>The company has provided both primary and collateral security to mitigate credit risk.</w:t>
      </w:r>
    </w:p>
    <w:p/>
    <w:p>
      <w:pPr>
        <w:pStyle w:val="ListBullet"/>
      </w:pPr>
      <w:r>
        <w:rPr>
          <w:b/>
          <w:sz w:val="21"/>
        </w:rPr>
        <w:t>Primary Security:</w:t>
      </w:r>
    </w:p>
    <w:p>
      <w:pPr>
        <w:pStyle w:val="ListBullet"/>
      </w:pPr>
      <w:r>
        <w:rPr>
          <w:sz w:val="21"/>
        </w:rPr>
        <w:t>First charge on current assets: Rs6462.00L and Rs3648.20L</w:t>
      </w:r>
    </w:p>
    <w:p>
      <w:pPr>
        <w:pStyle w:val="ListBullet"/>
      </w:pPr>
      <w:r>
        <w:rPr>
          <w:sz w:val="21"/>
        </w:rPr>
        <w:t>First charge on fixed assets: Rs7833.24L</w:t>
      </w:r>
    </w:p>
    <w:p>
      <w:pPr>
        <w:pStyle w:val="ListBullet"/>
      </w:pPr>
      <w:r>
        <w:rPr>
          <w:b/>
          <w:sz w:val="21"/>
        </w:rPr>
        <w:t>Collateral Security:</w:t>
      </w:r>
    </w:p>
    <w:p>
      <w:pPr>
        <w:pStyle w:val="ListBullet"/>
      </w:pPr>
      <w:r>
        <w:rPr>
          <w:sz w:val="21"/>
        </w:rPr>
        <w:t>Hypothecation of stocks and book debts: Rs284.60L</w:t>
      </w:r>
    </w:p>
    <w:p>
      <w:pPr>
        <w:pStyle w:val="ListBullet"/>
      </w:pPr>
      <w:r>
        <w:rPr>
          <w:sz w:val="21"/>
        </w:rPr>
        <w:t>Pledge of shares: Rs18750.00L</w:t>
      </w:r>
    </w:p>
    <w:p/>
    <w:p>
      <w:pPr>
        <w:spacing w:after="80"/>
      </w:pPr>
      <w:r>
        <w:rPr>
          <w:sz w:val="21"/>
        </w:rPr>
        <w:t>The total value of the primary security is Rs17943.44L (Rs6462.00L + Rs7833.24L + Rs3648.20L), and the collateral security is Rs19034.60L (Rs284.60L + Rs18750.00L). The coverage ratio, considering the primary security, is deemed adequate to cover the credit facilities extended.</w:t>
      </w:r>
    </w:p>
    <w:p/>
    <w:p>
      <w:r>
        <w:rPr>
          <w:b/>
          <w:color w:val="003366"/>
          <w:sz w:val="22"/>
        </w:rPr>
        <w:t>4.3 Contingent Liabilities</w:t>
      </w:r>
    </w:p>
    <w:p/>
    <w:p>
      <w:pPr>
        <w:spacing w:after="80"/>
      </w:pPr>
      <w:r>
        <w:rPr>
          <w:sz w:val="21"/>
        </w:rPr>
        <w:t>The company has contingent liabilities stemming from income tax and GST disputes.</w:t>
      </w:r>
    </w:p>
    <w:p/>
    <w:p>
      <w:pPr>
        <w:pStyle w:val="ListBullet"/>
      </w:pPr>
      <w:r>
        <w:rPr>
          <w:b/>
          <w:sz w:val="21"/>
        </w:rPr>
        <w:t>Income Tax Dispute:</w:t>
      </w:r>
      <w:r>
        <w:rPr>
          <w:sz w:val="21"/>
        </w:rPr>
        <w:t xml:space="preserve"> Rs84.2L, which is disputed, under appeal, and not deposited.</w:t>
      </w:r>
    </w:p>
    <w:p>
      <w:pPr>
        <w:pStyle w:val="ListBullet"/>
      </w:pPr>
      <w:r>
        <w:rPr>
          <w:b/>
          <w:sz w:val="21"/>
        </w:rPr>
        <w:t>GST Dispute:</w:t>
      </w:r>
      <w:r>
        <w:rPr>
          <w:sz w:val="21"/>
        </w:rPr>
        <w:t xml:space="preserve"> Rs42.6L, which is also disputed, under appeal, and not deposited.</w:t>
      </w:r>
    </w:p>
    <w:p/>
    <w:p>
      <w:pPr>
        <w:spacing w:after="80"/>
      </w:pPr>
      <w:r>
        <w:rPr>
          <w:sz w:val="21"/>
        </w:rPr>
        <w:t>These contingent liabilities pose a risk to the company's financials if the appeals are not resolved in its favor. However, the company's legal and tax advisors are engaged in resolving these disputes, which is a positive mitigant. The impact of these contingent liabilities on the company's creditworthiness has been considered in the overall risk assessment.</w:t>
      </w:r>
    </w:p>
    <w:p/>
    <w:p>
      <w:pPr>
        <w:pStyle w:val="Heading1"/>
        <w:spacing w:before="320" w:after="160"/>
      </w:pPr>
      <w:r>
        <w:rPr>
          <w:b/>
          <w:color w:val="003366"/>
          <w:sz w:val="26"/>
        </w:rPr>
        <w:t>SECTION 5 — CREDIT STRUCTURE &amp; RECOMMENDATION</w:t>
      </w:r>
    </w:p>
    <w:p>
      <w:pPr>
        <w:pBdr>
          <w:bottom w:val="single" w:sz="6" w:space="1" w:color="003366"/>
        </w:pBdr>
      </w:pPr>
    </w:p>
    <w:p>
      <w:pPr>
        <w:spacing w:after="80"/>
      </w:pPr>
      <w:r>
        <w:rPr>
          <w:b/>
          <w:sz w:val="21"/>
        </w:rPr>
        <w:t>Section 5: Proposed Credit Structure and Final Recommendation</w:t>
      </w:r>
    </w:p>
    <w:p/>
    <w:p>
      <w:r>
        <w:rPr>
          <w:b/>
          <w:color w:val="003366"/>
          <w:sz w:val="22"/>
        </w:rPr>
        <w:t>5.1 Proposed Credit Structure</w:t>
      </w:r>
    </w:p>
    <w:p/>
    <w:p>
      <w:pPr>
        <w:spacing w:after="80"/>
      </w:pPr>
      <w:r>
        <w:rPr>
          <w:sz w:val="21"/>
        </w:rPr>
        <w:t>Based on our analysis, we propose a working capital facility to Arjun Textiles Limited with the following terms:</w:t>
      </w:r>
    </w:p>
    <w:p/>
    <w:p>
      <w:pPr>
        <w:pStyle w:val="ListBullet"/>
      </w:pPr>
      <w:r>
        <w:rPr>
          <w:sz w:val="21"/>
        </w:rPr>
        <w:t>Facility Type: Fund-Based Working Capital Facility</w:t>
      </w:r>
    </w:p>
    <w:p>
      <w:pPr>
        <w:pStyle w:val="ListBullet"/>
      </w:pPr>
      <w:r>
        <w:rPr>
          <w:sz w:val="21"/>
        </w:rPr>
        <w:t>Facility Amount: Rs 4685.59 Lakhs</w:t>
      </w:r>
    </w:p>
    <w:p>
      <w:pPr>
        <w:pStyle w:val="ListBullet"/>
      </w:pPr>
      <w:r>
        <w:rPr>
          <w:sz w:val="21"/>
        </w:rPr>
        <w:t>Tenor: 12 months, renewable on an annual basis subject to satisfactory performance and compliance with covenants</w:t>
      </w:r>
    </w:p>
    <w:p>
      <w:pPr>
        <w:pStyle w:val="ListBullet"/>
      </w:pPr>
      <w:r>
        <w:rPr>
          <w:sz w:val="21"/>
        </w:rPr>
        <w:t>Rate: Interest rate will be linked to the External Benchmark Rate (EBR) plus a spread of 1.50% per annum, resulting in an initial interest rate of 9.25% per annum</w:t>
      </w:r>
    </w:p>
    <w:p>
      <w:pPr>
        <w:pStyle w:val="ListBullet"/>
      </w:pPr>
      <w:r>
        <w:rPr>
          <w:sz w:val="21"/>
        </w:rPr>
        <w:t>Repayment: The facility will be repayable on a monthly basis, with interest payable on a quarterly basis</w:t>
      </w:r>
    </w:p>
    <w:p>
      <w:pPr>
        <w:pStyle w:val="ListBullet"/>
      </w:pPr>
      <w:r>
        <w:rPr>
          <w:sz w:val="21"/>
        </w:rPr>
        <w:t>Covenants:</w:t>
      </w:r>
    </w:p>
    <w:p>
      <w:pPr>
        <w:pStyle w:val="ListBullet"/>
      </w:pPr>
      <w:r>
        <w:rPr>
          <w:sz w:val="21"/>
        </w:rPr>
        <w:t>Debt Service Coverage Ratio (DSCR) to be maintained at a minimum of 1.75x</w:t>
      </w:r>
    </w:p>
    <w:p>
      <w:pPr>
        <w:pStyle w:val="ListBullet"/>
      </w:pPr>
      <w:r>
        <w:rPr>
          <w:sz w:val="21"/>
        </w:rPr>
        <w:t>Interest Coverage Ratio (ICR) to be maintained at a minimum of 3.25x</w:t>
      </w:r>
    </w:p>
    <w:p>
      <w:pPr>
        <w:pStyle w:val="ListBullet"/>
      </w:pPr>
      <w:r>
        <w:rPr>
          <w:sz w:val="21"/>
        </w:rPr>
        <w:t>Debt to Equity (D/E) ratio to be maintained below 1.00x</w:t>
      </w:r>
    </w:p>
    <w:p>
      <w:pPr>
        <w:pStyle w:val="ListBullet"/>
      </w:pPr>
      <w:r>
        <w:rPr>
          <w:sz w:val="21"/>
        </w:rPr>
        <w:t>Annual audited financial statements to be submitted within 120 days of the financial year-end</w:t>
      </w:r>
    </w:p>
    <w:p/>
    <w:p>
      <w:r>
        <w:rPr>
          <w:b/>
          <w:color w:val="003366"/>
          <w:sz w:val="22"/>
        </w:rPr>
        <w:t>5.2 Final Recommendation</w:t>
      </w:r>
    </w:p>
    <w:p/>
    <w:p>
      <w:pPr>
        <w:spacing w:after="80"/>
      </w:pPr>
      <w:r>
        <w:rPr>
          <w:sz w:val="21"/>
        </w:rPr>
        <w:t xml:space="preserve">Based on our comprehensive analysis, we recommend </w:t>
      </w:r>
      <w:r>
        <w:rPr>
          <w:b/>
          <w:sz w:val="21"/>
        </w:rPr>
        <w:t>Approve with Conditions</w:t>
      </w:r>
      <w:r>
        <w:rPr>
          <w:sz w:val="21"/>
        </w:rPr>
        <w:t>. The conditions include:</w:t>
      </w:r>
    </w:p>
    <w:p/>
    <w:p>
      <w:pPr>
        <w:pStyle w:val="ListNumber"/>
      </w:pPr>
      <w:r>
        <w:rPr>
          <w:sz w:val="21"/>
        </w:rPr>
        <w:t>1. The borrower must maintain a minimum DSCR of 1.75x and ICR of 3.25x at all times during the tenor of the facility.</w:t>
      </w:r>
    </w:p>
    <w:p>
      <w:pPr>
        <w:pStyle w:val="ListNumber"/>
      </w:pPr>
      <w:r>
        <w:rPr>
          <w:sz w:val="21"/>
        </w:rPr>
        <w:t>2. The borrower must ensure that the D/E ratio remains below 1.00x.</w:t>
      </w:r>
    </w:p>
    <w:p>
      <w:pPr>
        <w:pStyle w:val="ListNumber"/>
      </w:pPr>
      <w:r>
        <w:rPr>
          <w:sz w:val="21"/>
        </w:rPr>
        <w:t>3. The borrower must submit annual audited financial statements within 120 days of the financial year-end.</w:t>
      </w:r>
    </w:p>
    <w:p>
      <w:pPr>
        <w:pStyle w:val="ListNumber"/>
      </w:pPr>
      <w:r>
        <w:rPr>
          <w:sz w:val="21"/>
        </w:rPr>
        <w:t>4. The borrower must comply with all regulatory requirements and ensure that its banking conduct remains satisfactory.</w:t>
      </w:r>
    </w:p>
    <w:p/>
    <w:p>
      <w:r>
        <w:rPr>
          <w:b/>
          <w:color w:val="003366"/>
          <w:sz w:val="22"/>
        </w:rPr>
        <w:t>5.3 Key Conditions and Covenants</w:t>
      </w:r>
    </w:p>
    <w:p/>
    <w:p>
      <w:pPr>
        <w:spacing w:after="80"/>
      </w:pPr>
      <w:r>
        <w:rPr>
          <w:sz w:val="21"/>
        </w:rPr>
        <w:t>The key conditions and covenants of the proposed facility are designed to ensure the borrower's continued financial health and ability to service the debt. These include:</w:t>
      </w:r>
    </w:p>
    <w:p/>
    <w:p>
      <w:pPr>
        <w:pStyle w:val="ListBullet"/>
      </w:pPr>
      <w:r>
        <w:rPr>
          <w:sz w:val="21"/>
        </w:rPr>
        <w:t>Regular financial reporting, including monthly sales and production data, and quarterly financial statements</w:t>
      </w:r>
    </w:p>
    <w:p>
      <w:pPr>
        <w:pStyle w:val="ListBullet"/>
      </w:pPr>
      <w:r>
        <w:rPr>
          <w:sz w:val="21"/>
        </w:rPr>
        <w:t>Maintenance of a satisfactory DSCR, ICR, and D/E ratio</w:t>
      </w:r>
    </w:p>
    <w:p>
      <w:pPr>
        <w:pStyle w:val="ListBullet"/>
      </w:pPr>
      <w:r>
        <w:rPr>
          <w:sz w:val="21"/>
        </w:rPr>
        <w:t>Compliance with all regulatory requirements</w:t>
      </w:r>
    </w:p>
    <w:p>
      <w:pPr>
        <w:pStyle w:val="ListBullet"/>
      </w:pPr>
      <w:r>
        <w:rPr>
          <w:sz w:val="21"/>
        </w:rPr>
        <w:t>No material adverse change in the borrower's business or financial condition</w:t>
      </w:r>
    </w:p>
    <w:p>
      <w:pPr>
        <w:pStyle w:val="ListBullet"/>
      </w:pPr>
      <w:r>
        <w:rPr>
          <w:sz w:val="21"/>
        </w:rPr>
        <w:t>No default or special mention accounts across its banking facilities</w:t>
      </w:r>
    </w:p>
    <w:p/>
    <w:p>
      <w:pPr>
        <w:spacing w:after="80"/>
      </w:pPr>
      <w:r>
        <w:rPr>
          <w:sz w:val="21"/>
        </w:rPr>
        <w:t>By approving this facility with the proposed conditions and covenants, we believe that Arjun Textiles Limited will be able to enhance its working capital and support its business growth, while also ensuring that the lender's risk is adequately mitigated.</w:t>
      </w:r>
    </w:p>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06060"/>
        <w:sz w:val="16"/>
      </w:rPr>
      <w:t>CREDIT ASSESSMENT MEMORANDUM  |  Arjun Textiles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