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03366"/>
          <w:sz w:val="40"/>
        </w:rPr>
        <w:t>CREDIT ASSESSMENT MEMORANDUM</w:t>
      </w:r>
    </w:p>
    <w:p/>
    <w:p>
      <w:pPr>
        <w:jc w:val="center"/>
      </w:pPr>
      <w:r>
        <w:rPr>
          <w:b/>
          <w:color w:val="336699"/>
          <w:sz w:val="28"/>
        </w:rPr>
        <w:t>Abha Power and Steel Limited</w:t>
      </w:r>
    </w:p>
    <w:p/>
    <w:p>
      <w:pPr>
        <w:jc w:val="center"/>
      </w:pPr>
      <w:r>
        <w:rPr>
          <w:b/>
          <w:color w:val="CC0000"/>
          <w:sz w:val="18"/>
        </w:rPr>
        <w:t>CONFIDENTIAL — FOR INTERNAL USE ONLY</w:t>
      </w:r>
    </w:p>
    <w:p>
      <w:r>
        <w:br w:type="page"/>
      </w:r>
    </w:p>
    <w:p>
      <w:pPr>
        <w:pStyle w:val="Heading1"/>
        <w:spacing w:before="320" w:after="160"/>
      </w:pPr>
      <w:r>
        <w:rPr>
          <w:b/>
          <w:color w:val="003366"/>
          <w:sz w:val="26"/>
        </w:rPr>
        <w:t>SECTION 1 — BORROWER OVERVIEW &amp; BACKGROUND</w:t>
      </w:r>
    </w:p>
    <w:p>
      <w:pPr>
        <w:pBdr>
          <w:bottom w:val="single" w:sz="6" w:space="1" w:color="003366"/>
        </w:pBdr>
      </w:pPr>
    </w:p>
    <w:p>
      <w:pPr>
        <w:spacing w:after="80"/>
        <w:jc w:val="both"/>
      </w:pPr>
      <w:r>
        <w:rPr>
          <w:sz w:val="21"/>
        </w:rPr>
        <w:t># Section 1 — Borrower Overview &amp; Background</w:t>
      </w:r>
    </w:p>
    <w:p/>
    <w:p>
      <w:r>
        <w:rPr>
          <w:b/>
          <w:color w:val="003366"/>
          <w:sz w:val="24"/>
        </w:rPr>
        <w:t>1. Executive Summary</w:t>
      </w:r>
    </w:p>
    <w:p>
      <w:pPr>
        <w:spacing w:after="80"/>
        <w:jc w:val="both"/>
      </w:pPr>
      <w:r>
        <w:rPr>
          <w:sz w:val="21"/>
        </w:rPr>
        <w:t>This memorandum presents a credit assessment for Abha Power and Steel Limited, a Public Limited Company primarily engaged in the manufacturing of Steel products.</w:t>
      </w:r>
    </w:p>
    <w:p/>
    <w:p>
      <w:r>
        <w:rPr>
          <w:b/>
          <w:color w:val="003366"/>
          <w:sz w:val="24"/>
        </w:rPr>
        <w:t>2. Borrower Background</w:t>
      </w:r>
    </w:p>
    <w:p>
      <w:pPr>
        <w:spacing w:after="80"/>
        <w:jc w:val="both"/>
      </w:pPr>
      <w:r>
        <w:rPr>
          <w:sz w:val="21"/>
        </w:rPr>
        <w:t>Abha Power and Steel Limited was incorporated in the year 2004 as a Public Limited Company. The company is registered under Corporate Identification Number (CIN) L27102CT2004PLC016654. Its registered office is located at Silpahri Industrial State, Bilaspur, Chattisgarh-495001. The core business nature of Abha Power and Steel Limited is the manufacturing of Steel products, operating within the steel industry.</w:t>
      </w:r>
    </w:p>
    <w:p/>
    <w:p>
      <w:r>
        <w:rPr>
          <w:b/>
          <w:color w:val="003366"/>
          <w:sz w:val="24"/>
        </w:rPr>
        <w:t>3. Management &amp; Promoters</w:t>
      </w:r>
    </w:p>
    <w:p>
      <w:pPr>
        <w:spacing w:after="80"/>
        <w:jc w:val="both"/>
      </w:pPr>
      <w:r>
        <w:rPr>
          <w:sz w:val="21"/>
        </w:rPr>
        <w:t>The company's promoters include Mr. Atish Agrawal, Mr. Ankit Agrawal, Mr. Satish Kumar Shah, Mr. Harish Kumar Shah, and Mr. SanatanA Shah.</w:t>
      </w:r>
    </w:p>
    <w:p>
      <w:pPr>
        <w:spacing w:after="80"/>
        <w:jc w:val="both"/>
      </w:pPr>
      <w:r>
        <w:rPr>
          <w:sz w:val="21"/>
        </w:rPr>
        <w:t>The key management team comprises Mr. Satish Kumar Shah, who serves as a Whole-time Director, and Mr. Atish Agrawal, who holds the position of Managing Director.</w:t>
      </w:r>
    </w:p>
    <w:p/>
    <w:p>
      <w:r>
        <w:rPr>
          <w:b/>
          <w:color w:val="003366"/>
          <w:sz w:val="24"/>
        </w:rPr>
        <w:t>4. Ownership Structure</w:t>
      </w:r>
    </w:p>
    <w:p>
      <w:pPr>
        <w:spacing w:after="80"/>
        <w:jc w:val="both"/>
      </w:pPr>
      <w:r>
        <w:rPr>
          <w:sz w:val="21"/>
        </w:rPr>
        <w:t>The shareholding pattern of Abha Power and Steel Limited indicates a promoter holding of 29.2 percent.</w:t>
      </w:r>
    </w:p>
    <w:p/>
    <w:p>
      <w:pPr>
        <w:pStyle w:val="Heading1"/>
        <w:spacing w:before="320" w:after="160"/>
      </w:pPr>
      <w:r>
        <w:rPr>
          <w:b/>
          <w:color w:val="003366"/>
          <w:sz w:val="26"/>
        </w:rPr>
        <w:t>SECTION 2 — FINANCIAL ANALYSIS</w:t>
      </w:r>
    </w:p>
    <w:p>
      <w:pPr>
        <w:pBdr>
          <w:bottom w:val="single" w:sz="6" w:space="1" w:color="003366"/>
        </w:pBdr>
      </w:pPr>
    </w:p>
    <w:p>
      <w:r>
        <w:rPr>
          <w:b/>
          <w:color w:val="003366"/>
          <w:sz w:val="24"/>
        </w:rPr>
        <w:t>2. Financial Analysis</w:t>
      </w:r>
    </w:p>
    <w:p/>
    <w:p>
      <w:r>
        <w:rPr>
          <w:b/>
          <w:color w:val="003366"/>
          <w:sz w:val="22"/>
        </w:rPr>
        <w:t>2.1 Revenue &amp; Profitability</w:t>
      </w:r>
    </w:p>
    <w:p/>
    <w:p>
      <w:pPr>
        <w:spacing w:after="80"/>
        <w:jc w:val="both"/>
      </w:pPr>
      <w:r>
        <w:rPr>
          <w:sz w:val="21"/>
        </w:rPr>
        <w:t>Abha Power and Steel Limited has demonstrated a fluctuating yet ultimately positive trend in revenue generation and a significant improvement in profitability margins over the review period.</w:t>
      </w:r>
    </w:p>
    <w:p/>
    <w:tbl>
      <w:tblPr>
        <w:tblStyle w:val="TableGrid"/>
        <w:tblW w:type="auto" w:w="0"/>
        <w:jc w:val="left"/>
        <w:tblLook w:firstColumn="1" w:firstRow="1" w:lastColumn="0" w:lastRow="0" w:noHBand="0" w:noVBand="1" w:val="04A0"/>
      </w:tblPr>
      <w:tblGrid>
        <w:gridCol w:w="1520"/>
        <w:gridCol w:w="1520"/>
        <w:gridCol w:w="1520"/>
        <w:gridCol w:w="1520"/>
        <w:gridCol w:w="1520"/>
        <w:gridCol w:w="1520"/>
      </w:tblGrid>
      <w:tr>
        <w:tc>
          <w:tcPr>
            <w:tcW w:type="dxa" w:w="1520"/>
            <w:shd w:val="clear" w:color="auto" w:fill="003366"/>
          </w:tcPr>
          <w:p>
            <w:r>
              <w:rPr>
                <w:b/>
                <w:color w:val="FFFFFF"/>
                <w:sz w:val="19"/>
              </w:rPr>
              <w:t>Fiscal Year</w:t>
            </w:r>
          </w:p>
        </w:tc>
        <w:tc>
          <w:tcPr>
            <w:tcW w:type="dxa" w:w="1520"/>
            <w:shd w:val="clear" w:color="auto" w:fill="003366"/>
          </w:tcPr>
          <w:p>
            <w:r>
              <w:rPr>
                <w:b/>
                <w:color w:val="FFFFFF"/>
                <w:sz w:val="19"/>
              </w:rPr>
              <w:t>Revenue (₹ Lakhs)</w:t>
            </w:r>
          </w:p>
        </w:tc>
        <w:tc>
          <w:tcPr>
            <w:tcW w:type="dxa" w:w="1520"/>
            <w:shd w:val="clear" w:color="auto" w:fill="003366"/>
          </w:tcPr>
          <w:p>
            <w:r>
              <w:rPr>
                <w:b/>
                <w:color w:val="FFFFFF"/>
                <w:sz w:val="19"/>
              </w:rPr>
              <w:t>EBITDA (₹ Lakhs)</w:t>
            </w:r>
          </w:p>
        </w:tc>
        <w:tc>
          <w:tcPr>
            <w:tcW w:type="dxa" w:w="1520"/>
            <w:shd w:val="clear" w:color="auto" w:fill="003366"/>
          </w:tcPr>
          <w:p>
            <w:r>
              <w:rPr>
                <w:b/>
                <w:color w:val="FFFFFF"/>
                <w:sz w:val="19"/>
              </w:rPr>
              <w:t>EBITDA Margin (%)</w:t>
            </w:r>
          </w:p>
        </w:tc>
        <w:tc>
          <w:tcPr>
            <w:tcW w:type="dxa" w:w="1520"/>
            <w:shd w:val="clear" w:color="auto" w:fill="003366"/>
          </w:tcPr>
          <w:p>
            <w:r>
              <w:rPr>
                <w:b/>
                <w:color w:val="FFFFFF"/>
                <w:sz w:val="19"/>
              </w:rPr>
              <w:t>PAT (₹ Lakhs)</w:t>
            </w:r>
          </w:p>
        </w:tc>
        <w:tc>
          <w:tcPr>
            <w:tcW w:type="dxa" w:w="1520"/>
            <w:shd w:val="clear" w:color="auto" w:fill="003366"/>
          </w:tcPr>
          <w:p>
            <w:r>
              <w:rPr>
                <w:b/>
                <w:color w:val="FFFFFF"/>
                <w:sz w:val="19"/>
              </w:rPr>
              <w:t>PAT Margin (%)</w:t>
            </w:r>
          </w:p>
        </w:tc>
      </w:tr>
      <w:tr>
        <w:tc>
          <w:tcPr>
            <w:tcW w:type="dxa" w:w="1520"/>
          </w:tcPr>
          <w:p>
            <w:r>
              <w:rPr>
                <w:color w:val="000000"/>
                <w:sz w:val="19"/>
              </w:rPr>
              <w:t>FY2021</w:t>
            </w:r>
          </w:p>
        </w:tc>
        <w:tc>
          <w:tcPr>
            <w:tcW w:type="dxa" w:w="1520"/>
          </w:tcPr>
          <w:p>
            <w:r>
              <w:rPr>
                <w:color w:val="000000"/>
                <w:sz w:val="19"/>
              </w:rPr>
              <w:t>₹4,050.00 Lakhs</w:t>
            </w:r>
          </w:p>
        </w:tc>
        <w:tc>
          <w:tcPr>
            <w:tcW w:type="dxa" w:w="1520"/>
          </w:tcPr>
          <w:p>
            <w:r>
              <w:rPr>
                <w:color w:val="000000"/>
                <w:sz w:val="19"/>
              </w:rPr>
              <w:t>₹106.92 Lakhs</w:t>
            </w:r>
          </w:p>
        </w:tc>
        <w:tc>
          <w:tcPr>
            <w:tcW w:type="dxa" w:w="1520"/>
          </w:tcPr>
          <w:p>
            <w:r>
              <w:rPr>
                <w:color w:val="000000"/>
                <w:sz w:val="19"/>
              </w:rPr>
              <w:t>2.64%</w:t>
            </w:r>
          </w:p>
        </w:tc>
        <w:tc>
          <w:tcPr>
            <w:tcW w:type="dxa" w:w="1520"/>
          </w:tcPr>
          <w:p>
            <w:r>
              <w:rPr>
                <w:color w:val="000000"/>
                <w:sz w:val="19"/>
              </w:rPr>
              <w:t>₹17.01 Lakhs</w:t>
            </w:r>
          </w:p>
        </w:tc>
        <w:tc>
          <w:tcPr>
            <w:tcW w:type="dxa" w:w="1520"/>
          </w:tcPr>
          <w:p>
            <w:r>
              <w:rPr>
                <w:color w:val="000000"/>
                <w:sz w:val="19"/>
              </w:rPr>
              <w:t>0.42%</w:t>
            </w:r>
          </w:p>
        </w:tc>
      </w:tr>
      <w:tr>
        <w:tc>
          <w:tcPr>
            <w:tcW w:type="dxa" w:w="1520"/>
            <w:shd w:val="clear" w:color="auto" w:fill="EAF0F8"/>
          </w:tcPr>
          <w:p>
            <w:r>
              <w:rPr>
                <w:color w:val="000000"/>
                <w:sz w:val="19"/>
              </w:rPr>
              <w:t>FY2022</w:t>
            </w:r>
          </w:p>
        </w:tc>
        <w:tc>
          <w:tcPr>
            <w:tcW w:type="dxa" w:w="1520"/>
            <w:shd w:val="clear" w:color="auto" w:fill="EAF0F8"/>
          </w:tcPr>
          <w:p>
            <w:r>
              <w:rPr>
                <w:color w:val="000000"/>
                <w:sz w:val="19"/>
              </w:rPr>
              <w:t>₹5,452.00 Lakhs</w:t>
            </w:r>
          </w:p>
        </w:tc>
        <w:tc>
          <w:tcPr>
            <w:tcW w:type="dxa" w:w="1520"/>
            <w:shd w:val="clear" w:color="auto" w:fill="EAF0F8"/>
          </w:tcPr>
          <w:p>
            <w:r>
              <w:rPr>
                <w:color w:val="000000"/>
                <w:sz w:val="19"/>
              </w:rPr>
              <w:t>₹167.91 Lakhs</w:t>
            </w:r>
          </w:p>
        </w:tc>
        <w:tc>
          <w:tcPr>
            <w:tcW w:type="dxa" w:w="1520"/>
            <w:shd w:val="clear" w:color="auto" w:fill="EAF0F8"/>
          </w:tcPr>
          <w:p>
            <w:r>
              <w:rPr>
                <w:color w:val="000000"/>
                <w:sz w:val="19"/>
              </w:rPr>
              <w:t>3.08%</w:t>
            </w:r>
          </w:p>
        </w:tc>
        <w:tc>
          <w:tcPr>
            <w:tcW w:type="dxa" w:w="1520"/>
            <w:shd w:val="clear" w:color="auto" w:fill="EAF0F8"/>
          </w:tcPr>
          <w:p>
            <w:r>
              <w:rPr>
                <w:color w:val="000000"/>
                <w:sz w:val="19"/>
              </w:rPr>
              <w:t>₹25.08 Lakhs</w:t>
            </w:r>
          </w:p>
        </w:tc>
        <w:tc>
          <w:tcPr>
            <w:tcW w:type="dxa" w:w="1520"/>
            <w:shd w:val="clear" w:color="auto" w:fill="EAF0F8"/>
          </w:tcPr>
          <w:p>
            <w:r>
              <w:rPr>
                <w:color w:val="000000"/>
                <w:sz w:val="19"/>
              </w:rPr>
              <w:t>0.46%</w:t>
            </w:r>
          </w:p>
        </w:tc>
      </w:tr>
      <w:tr>
        <w:tc>
          <w:tcPr>
            <w:tcW w:type="dxa" w:w="1520"/>
          </w:tcPr>
          <w:p>
            <w:r>
              <w:rPr>
                <w:color w:val="000000"/>
                <w:sz w:val="19"/>
              </w:rPr>
              <w:t>FY2023</w:t>
            </w:r>
          </w:p>
        </w:tc>
        <w:tc>
          <w:tcPr>
            <w:tcW w:type="dxa" w:w="1520"/>
          </w:tcPr>
          <w:p>
            <w:r>
              <w:rPr>
                <w:color w:val="000000"/>
                <w:sz w:val="19"/>
              </w:rPr>
              <w:t>₹5,470.00 Lakhs</w:t>
            </w:r>
          </w:p>
        </w:tc>
        <w:tc>
          <w:tcPr>
            <w:tcW w:type="dxa" w:w="1520"/>
          </w:tcPr>
          <w:p>
            <w:r>
              <w:rPr>
                <w:color w:val="000000"/>
                <w:sz w:val="19"/>
              </w:rPr>
              <w:t>₹337.40 Lakhs</w:t>
            </w:r>
          </w:p>
        </w:tc>
        <w:tc>
          <w:tcPr>
            <w:tcW w:type="dxa" w:w="1520"/>
          </w:tcPr>
          <w:p>
            <w:r>
              <w:rPr>
                <w:color w:val="000000"/>
                <w:sz w:val="19"/>
              </w:rPr>
              <w:t>6.17%</w:t>
            </w:r>
          </w:p>
        </w:tc>
        <w:tc>
          <w:tcPr>
            <w:tcW w:type="dxa" w:w="1520"/>
          </w:tcPr>
          <w:p>
            <w:r>
              <w:rPr>
                <w:color w:val="000000"/>
                <w:sz w:val="19"/>
              </w:rPr>
              <w:t>₹142.22 Lakhs</w:t>
            </w:r>
          </w:p>
        </w:tc>
        <w:tc>
          <w:tcPr>
            <w:tcW w:type="dxa" w:w="1520"/>
          </w:tcPr>
          <w:p>
            <w:r>
              <w:rPr>
                <w:color w:val="000000"/>
                <w:sz w:val="19"/>
              </w:rPr>
              <w:t>2.60%</w:t>
            </w:r>
          </w:p>
        </w:tc>
      </w:tr>
      <w:tr>
        <w:tc>
          <w:tcPr>
            <w:tcW w:type="dxa" w:w="1520"/>
            <w:shd w:val="clear" w:color="auto" w:fill="EAF0F8"/>
          </w:tcPr>
          <w:p>
            <w:r>
              <w:rPr>
                <w:color w:val="000000"/>
                <w:sz w:val="19"/>
              </w:rPr>
              <w:t>FY2024</w:t>
            </w:r>
          </w:p>
        </w:tc>
        <w:tc>
          <w:tcPr>
            <w:tcW w:type="dxa" w:w="1520"/>
            <w:shd w:val="clear" w:color="auto" w:fill="EAF0F8"/>
          </w:tcPr>
          <w:p>
            <w:r>
              <w:rPr>
                <w:color w:val="000000"/>
                <w:sz w:val="19"/>
              </w:rPr>
              <w:t>₹5,175.00 Lakhs</w:t>
            </w:r>
          </w:p>
        </w:tc>
        <w:tc>
          <w:tcPr>
            <w:tcW w:type="dxa" w:w="1520"/>
            <w:shd w:val="clear" w:color="auto" w:fill="EAF0F8"/>
          </w:tcPr>
          <w:p>
            <w:r>
              <w:rPr>
                <w:color w:val="000000"/>
                <w:sz w:val="19"/>
              </w:rPr>
              <w:t>₹814.00 Lakhs</w:t>
            </w:r>
          </w:p>
        </w:tc>
        <w:tc>
          <w:tcPr>
            <w:tcW w:type="dxa" w:w="1520"/>
            <w:shd w:val="clear" w:color="auto" w:fill="EAF0F8"/>
          </w:tcPr>
          <w:p>
            <w:r>
              <w:rPr>
                <w:color w:val="000000"/>
                <w:sz w:val="19"/>
              </w:rPr>
              <w:t>15.73%</w:t>
            </w:r>
          </w:p>
        </w:tc>
        <w:tc>
          <w:tcPr>
            <w:tcW w:type="dxa" w:w="1520"/>
            <w:shd w:val="clear" w:color="auto" w:fill="EAF0F8"/>
          </w:tcPr>
          <w:p>
            <w:r>
              <w:rPr>
                <w:color w:val="000000"/>
                <w:sz w:val="19"/>
              </w:rPr>
              <w:t>₹378.20 Lakhs</w:t>
            </w:r>
          </w:p>
        </w:tc>
        <w:tc>
          <w:tcPr>
            <w:tcW w:type="dxa" w:w="1520"/>
            <w:shd w:val="clear" w:color="auto" w:fill="EAF0F8"/>
          </w:tcPr>
          <w:p>
            <w:r>
              <w:rPr>
                <w:color w:val="000000"/>
                <w:sz w:val="19"/>
              </w:rPr>
              <w:t>7.31%</w:t>
            </w:r>
          </w:p>
        </w:tc>
      </w:tr>
      <w:tr>
        <w:tc>
          <w:tcPr>
            <w:tcW w:type="dxa" w:w="1520"/>
          </w:tcPr>
          <w:p>
            <w:r>
              <w:rPr>
                <w:color w:val="000000"/>
                <w:sz w:val="19"/>
              </w:rPr>
              <w:t>FY2025</w:t>
            </w:r>
          </w:p>
        </w:tc>
        <w:tc>
          <w:tcPr>
            <w:tcW w:type="dxa" w:w="1520"/>
          </w:tcPr>
          <w:p>
            <w:r>
              <w:rPr>
                <w:color w:val="000000"/>
                <w:sz w:val="19"/>
              </w:rPr>
              <w:t>₹7,018.03 Lakhs</w:t>
            </w:r>
          </w:p>
        </w:tc>
        <w:tc>
          <w:tcPr>
            <w:tcW w:type="dxa" w:w="1520"/>
          </w:tcPr>
          <w:p>
            <w:r>
              <w:rPr>
                <w:color w:val="000000"/>
                <w:sz w:val="19"/>
              </w:rPr>
              <w:t>₹1,074.46 Lakhs</w:t>
            </w:r>
          </w:p>
        </w:tc>
        <w:tc>
          <w:tcPr>
            <w:tcW w:type="dxa" w:w="1520"/>
          </w:tcPr>
          <w:p>
            <w:r>
              <w:rPr>
                <w:color w:val="000000"/>
                <w:sz w:val="19"/>
              </w:rPr>
              <w:t>15.31%</w:t>
            </w:r>
          </w:p>
        </w:tc>
        <w:tc>
          <w:tcPr>
            <w:tcW w:type="dxa" w:w="1520"/>
          </w:tcPr>
          <w:p>
            <w:r>
              <w:rPr>
                <w:color w:val="000000"/>
                <w:sz w:val="19"/>
              </w:rPr>
              <w:t>₹622.50 Lakhs</w:t>
            </w:r>
          </w:p>
        </w:tc>
        <w:tc>
          <w:tcPr>
            <w:tcW w:type="dxa" w:w="1520"/>
          </w:tcPr>
          <w:p>
            <w:r>
              <w:rPr>
                <w:color w:val="000000"/>
                <w:sz w:val="19"/>
              </w:rPr>
              <w:t>8.87%</w:t>
            </w:r>
          </w:p>
        </w:tc>
      </w:tr>
    </w:tbl>
    <w:p/>
    <w:p/>
    <w:p>
      <w:pPr>
        <w:spacing w:after="80"/>
        <w:jc w:val="both"/>
      </w:pPr>
      <w:r>
        <w:rPr>
          <w:b/>
          <w:sz w:val="21"/>
        </w:rPr>
        <w:t>Revenue:</w:t>
      </w:r>
      <w:r>
        <w:rPr>
          <w:sz w:val="21"/>
        </w:rPr>
        <w:t xml:space="preserve"> The company experienced robust revenue growth from ₹4,050.00 Lakhs in FY2021 to ₹5,470.00 Lakhs in FY2023. A slight contraction was observed in FY2024, with revenue declining to ₹5,175.00 Lakhs. However, FY2025 saw a strong rebound, with revenue increasing significantly to ₹7,018.03 Lakhs, indicating a strong recovery and growth trajectory.</w:t>
      </w:r>
    </w:p>
    <w:p/>
    <w:p>
      <w:pPr>
        <w:spacing w:after="80"/>
        <w:jc w:val="both"/>
      </w:pPr>
      <w:r>
        <w:rPr>
          <w:b/>
          <w:sz w:val="21"/>
        </w:rPr>
        <w:t>EBITDA &amp; EBITDA Margin:</w:t>
      </w:r>
      <w:r>
        <w:rPr>
          <w:sz w:val="21"/>
        </w:rPr>
        <w:t xml:space="preserve"> EBITDA has shown consistent and substantial growth throughout the period, rising from ₹106.92 Lakhs in FY2021 to ₹1,074.46 Lakhs in FY2025. Concurrently, the EBITDA margin has improved dramatically, from a modest 2.64% in FY2021 to a peak of 15.73% in FY2024, before settling at a still robust 15.31% in FY2025. This indicates enhanced operational efficiency and pricing power.</w:t>
      </w:r>
    </w:p>
    <w:p/>
    <w:p>
      <w:pPr>
        <w:spacing w:after="80"/>
        <w:jc w:val="both"/>
      </w:pPr>
      <w:r>
        <w:rPr>
          <w:b/>
          <w:sz w:val="21"/>
        </w:rPr>
        <w:t>PAT &amp; PAT Margin:</w:t>
      </w:r>
      <w:r>
        <w:rPr>
          <w:sz w:val="21"/>
        </w:rPr>
        <w:t xml:space="preserve"> Profit After Tax (PAT) has mirrored the positive trend in EBITDA, increasing from ₹17.01 Lakhs in FY2021 to ₹622.50 Lakhs in FY2025. The PAT margin has also seen a remarkable improvement, from 0.42% in FY2021 to 8.87% in FY2025, reflecting strong bottom-line performance and effective cost management. The sharp increase in profitability from FY2023 onwards is particularly noteworthy.</w:t>
      </w:r>
    </w:p>
    <w:p/>
    <w:p>
      <w:r>
        <w:rPr>
          <w:b/>
          <w:color w:val="003366"/>
          <w:sz w:val="22"/>
        </w:rPr>
        <w:t>2.2 Balance Sheet Analysis</w:t>
      </w:r>
    </w:p>
    <w:p/>
    <w:p>
      <w:pPr>
        <w:spacing w:after="80"/>
        <w:jc w:val="both"/>
      </w:pPr>
      <w:r>
        <w:rPr>
          <w:sz w:val="21"/>
        </w:rPr>
        <w:t>A comprehensive analysis of the company's balance sheet is constrained by the unavailability of key metrics such as total assets, total equity, and total borrowings across all fiscal years. Without these figures, an assessment of the company's asset base, capital structure, and overall financial position cannot be performed.</w:t>
      </w:r>
    </w:p>
    <w:p/>
    <w:p>
      <w:r>
        <w:rPr>
          <w:b/>
          <w:color w:val="003366"/>
          <w:sz w:val="22"/>
        </w:rPr>
        <w:t>2.3 Key Financial Ratios</w:t>
      </w:r>
    </w:p>
    <w:p/>
    <w:p>
      <w:pPr>
        <w:spacing w:after="80"/>
        <w:jc w:val="both"/>
      </w:pPr>
      <w:r>
        <w:rPr>
          <w:sz w:val="21"/>
        </w:rPr>
        <w:t>An assessment of key financial ratios provides insights into the company's liquidity and leverage, albeit with limited historical data.</w:t>
      </w:r>
    </w:p>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1824"/>
            <w:shd w:val="clear" w:color="auto" w:fill="003366"/>
          </w:tcPr>
          <w:p>
            <w:r>
              <w:rPr>
                <w:b/>
                <w:color w:val="FFFFFF"/>
                <w:sz w:val="19"/>
              </w:rPr>
              <w:t>Fiscal Year</w:t>
            </w:r>
          </w:p>
        </w:tc>
        <w:tc>
          <w:tcPr>
            <w:tcW w:type="dxa" w:w="1824"/>
            <w:shd w:val="clear" w:color="auto" w:fill="003366"/>
          </w:tcPr>
          <w:p>
            <w:r>
              <w:rPr>
                <w:b/>
                <w:color w:val="FFFFFF"/>
                <w:sz w:val="19"/>
              </w:rPr>
              <w:t>Current Ratio</w:t>
            </w:r>
          </w:p>
        </w:tc>
        <w:tc>
          <w:tcPr>
            <w:tcW w:type="dxa" w:w="1824"/>
            <w:shd w:val="clear" w:color="auto" w:fill="003366"/>
          </w:tcPr>
          <w:p>
            <w:r>
              <w:rPr>
                <w:b/>
                <w:color w:val="FFFFFF"/>
                <w:sz w:val="19"/>
              </w:rPr>
              <w:t>Debt-Equity Ratio</w:t>
            </w:r>
          </w:p>
        </w:tc>
        <w:tc>
          <w:tcPr>
            <w:tcW w:type="dxa" w:w="1824"/>
            <w:shd w:val="clear" w:color="auto" w:fill="003366"/>
          </w:tcPr>
          <w:p>
            <w:r>
              <w:rPr>
                <w:b/>
                <w:color w:val="FFFFFF"/>
                <w:sz w:val="19"/>
              </w:rPr>
              <w:t>ICR</w:t>
            </w:r>
          </w:p>
        </w:tc>
        <w:tc>
          <w:tcPr>
            <w:tcW w:type="dxa" w:w="1824"/>
            <w:shd w:val="clear" w:color="auto" w:fill="003366"/>
          </w:tcPr>
          <w:p>
            <w:r>
              <w:rPr>
                <w:b/>
                <w:color w:val="FFFFFF"/>
                <w:sz w:val="19"/>
              </w:rPr>
              <w:t>DSCR</w:t>
            </w:r>
          </w:p>
        </w:tc>
      </w:tr>
      <w:tr>
        <w:tc>
          <w:tcPr>
            <w:tcW w:type="dxa" w:w="1824"/>
          </w:tcPr>
          <w:p>
            <w:r>
              <w:rPr>
                <w:color w:val="000000"/>
                <w:sz w:val="19"/>
              </w:rPr>
              <w:t>FY2024</w:t>
            </w:r>
          </w:p>
        </w:tc>
        <w:tc>
          <w:tcPr>
            <w:tcW w:type="dxa" w:w="1824"/>
          </w:tcPr>
          <w:p>
            <w:r>
              <w:rPr>
                <w:color w:val="000000"/>
                <w:sz w:val="19"/>
              </w:rPr>
              <w:t>1.77</w:t>
            </w:r>
          </w:p>
        </w:tc>
        <w:tc>
          <w:tcPr>
            <w:tcW w:type="dxa" w:w="1824"/>
          </w:tcPr>
          <w:p>
            <w:r>
              <w:rPr>
                <w:color w:val="000000"/>
                <w:sz w:val="19"/>
              </w:rPr>
              <w:t>1.35</w:t>
            </w:r>
          </w:p>
        </w:tc>
        <w:tc>
          <w:tcPr>
            <w:tcW w:type="dxa" w:w="1824"/>
          </w:tcPr>
          <w:p>
            <w:r>
              <w:rPr>
                <w:color w:val="000000"/>
                <w:sz w:val="19"/>
              </w:rPr>
              <w:t>3.38</w:t>
            </w:r>
          </w:p>
        </w:tc>
        <w:tc>
          <w:tcPr>
            <w:tcW w:type="dxa" w:w="1824"/>
          </w:tcPr>
          <w:p>
            <w:r>
              <w:rPr>
                <w:color w:val="000000"/>
                <w:sz w:val="19"/>
              </w:rPr>
              <w:t>-</w:t>
            </w:r>
          </w:p>
        </w:tc>
      </w:tr>
      <w:tr>
        <w:tc>
          <w:tcPr>
            <w:tcW w:type="dxa" w:w="1824"/>
            <w:shd w:val="clear" w:color="auto" w:fill="EAF0F8"/>
          </w:tcPr>
          <w:p>
            <w:r>
              <w:rPr>
                <w:color w:val="000000"/>
                <w:sz w:val="19"/>
              </w:rPr>
              <w:t>FY2025</w:t>
            </w:r>
          </w:p>
        </w:tc>
        <w:tc>
          <w:tcPr>
            <w:tcW w:type="dxa" w:w="1824"/>
            <w:shd w:val="clear" w:color="auto" w:fill="EAF0F8"/>
          </w:tcPr>
          <w:p>
            <w:r>
              <w:rPr>
                <w:color w:val="000000"/>
                <w:sz w:val="19"/>
              </w:rPr>
              <w:t>3.26</w:t>
            </w:r>
          </w:p>
        </w:tc>
        <w:tc>
          <w:tcPr>
            <w:tcW w:type="dxa" w:w="1824"/>
            <w:shd w:val="clear" w:color="auto" w:fill="EAF0F8"/>
          </w:tcPr>
          <w:p>
            <w:r>
              <w:rPr>
                <w:color w:val="000000"/>
                <w:sz w:val="19"/>
              </w:rPr>
              <w:t>0.42</w:t>
            </w:r>
          </w:p>
        </w:tc>
        <w:tc>
          <w:tcPr>
            <w:tcW w:type="dxa" w:w="1824"/>
            <w:shd w:val="clear" w:color="auto" w:fill="EAF0F8"/>
          </w:tcPr>
          <w:p>
            <w:r>
              <w:rPr>
                <w:color w:val="000000"/>
                <w:sz w:val="19"/>
              </w:rPr>
              <w:t>5.54</w:t>
            </w:r>
          </w:p>
        </w:tc>
        <w:tc>
          <w:tcPr>
            <w:tcW w:type="dxa" w:w="1824"/>
            <w:shd w:val="clear" w:color="auto" w:fill="EAF0F8"/>
          </w:tcPr>
          <w:p>
            <w:r>
              <w:rPr>
                <w:color w:val="000000"/>
                <w:sz w:val="19"/>
              </w:rPr>
              <w:t>-</w:t>
            </w:r>
          </w:p>
        </w:tc>
      </w:tr>
    </w:tbl>
    <w:p/>
    <w:p/>
    <w:p>
      <w:pPr>
        <w:spacing w:after="80"/>
        <w:jc w:val="both"/>
      </w:pPr>
      <w:r>
        <w:rPr>
          <w:b/>
          <w:sz w:val="21"/>
        </w:rPr>
        <w:t>Current Ratio:</w:t>
      </w:r>
      <w:r>
        <w:rPr>
          <w:sz w:val="21"/>
        </w:rPr>
        <w:t xml:space="preserve"> The Current Ratio improved significantly from 1.77 in FY2024 to 3.26 in FY2025. The FY2025 ratio of 3.26 is considered healthy, indicating strong short-term liquidity and the company's ability to cover its current liabilities with current assets.</w:t>
      </w:r>
    </w:p>
    <w:p/>
    <w:p>
      <w:pPr>
        <w:spacing w:after="80"/>
        <w:jc w:val="both"/>
      </w:pPr>
      <w:r>
        <w:rPr>
          <w:b/>
          <w:sz w:val="21"/>
        </w:rPr>
        <w:t>Debt-Equity Ratio:</w:t>
      </w:r>
      <w:r>
        <w:rPr>
          <w:sz w:val="21"/>
        </w:rPr>
        <w:t xml:space="preserve"> The Debt-Equity Ratio showed substantial improvement, decreasing from 1.35 in FY2024 to 0.42 in FY2025. The FY2025 ratio of 0.42 is healthy, suggesting a significant deleveraging and a more conservative capital structure, which reduces financial risk.</w:t>
      </w:r>
    </w:p>
    <w:p/>
    <w:p>
      <w:pPr>
        <w:spacing w:after="80"/>
        <w:jc w:val="both"/>
      </w:pPr>
      <w:r>
        <w:rPr>
          <w:b/>
          <w:sz w:val="21"/>
        </w:rPr>
        <w:t>Interest Coverage Ratio (ICR):</w:t>
      </w:r>
      <w:r>
        <w:rPr>
          <w:sz w:val="21"/>
        </w:rPr>
        <w:t xml:space="preserve"> The ICR improved from 3.38 in FY2024 to 5.54 in FY2025. Both ratios are considered adequate, with the FY2025 figure indicating a healthy capacity to cover interest obligations from operating earnings. The upward trend is positive.</w:t>
      </w:r>
    </w:p>
    <w:p/>
    <w:p>
      <w:pPr>
        <w:spacing w:after="80"/>
        <w:jc w:val="both"/>
      </w:pPr>
      <w:r>
        <w:rPr>
          <w:b/>
          <w:sz w:val="21"/>
        </w:rPr>
        <w:t>Debt Service Coverage Ratio (DSCR):</w:t>
      </w:r>
      <w:r>
        <w:rPr>
          <w:sz w:val="21"/>
        </w:rPr>
        <w:t xml:space="preserve"> The Debt Service Coverage Ratio is not available for any of the fiscal years, which limits the assessment of the company's ability to meet its total debt service obligations (principal and interest). This represents a data gap for a complete credit assessment.</w:t>
      </w:r>
    </w:p>
    <w:p/>
    <w:p>
      <w:r>
        <w:rPr>
          <w:b/>
          <w:color w:val="003366"/>
          <w:sz w:val="22"/>
        </w:rPr>
        <w:t>2.4 Cash Flow Analysis</w:t>
      </w:r>
    </w:p>
    <w:p/>
    <w:p>
      <w:pPr>
        <w:spacing w:after="80"/>
        <w:jc w:val="both"/>
      </w:pPr>
      <w:r>
        <w:rPr>
          <w:sz w:val="21"/>
        </w:rPr>
        <w:t>A detailed analysis of the company's cash flow position is not possible as data for cash from operations, investing activities, financing activities, and closing cash balance are not available for any of the fiscal years. This absence of information prevents an evaluation of the company's ability to generate cash internally, fund its investments, manage its debt, and maintain liquidity.</w:t>
      </w:r>
    </w:p>
    <w:p/>
    <w:p>
      <w:pPr>
        <w:pStyle w:val="Heading1"/>
        <w:spacing w:before="320" w:after="160"/>
      </w:pPr>
      <w:r>
        <w:rPr>
          <w:b/>
          <w:color w:val="003366"/>
          <w:sz w:val="26"/>
        </w:rPr>
        <w:t>SECTION 3 — EXISTING DEBT &amp; CREDIT PROFILE</w:t>
      </w:r>
    </w:p>
    <w:p>
      <w:pPr>
        <w:pBdr>
          <w:bottom w:val="single" w:sz="6" w:space="1" w:color="003366"/>
        </w:pBdr>
      </w:pPr>
    </w:p>
    <w:p>
      <w:r>
        <w:rPr>
          <w:b/>
          <w:color w:val="003366"/>
          <w:sz w:val="24"/>
        </w:rPr>
        <w:t>3. Existing Debt &amp; Credit Profile</w:t>
      </w:r>
    </w:p>
    <w:p/>
    <w:p>
      <w:r>
        <w:rPr>
          <w:b/>
          <w:color w:val="003366"/>
          <w:sz w:val="22"/>
        </w:rPr>
        <w:t>3.1 Existing Debt Instruments</w:t>
      </w:r>
    </w:p>
    <w:p/>
    <w:p>
      <w:pPr>
        <w:spacing w:after="80"/>
        <w:jc w:val="both"/>
      </w:pPr>
      <w:r>
        <w:rPr>
          <w:sz w:val="21"/>
        </w:rPr>
        <w:t>Abha Power and Steel Limited currently maintains a diversified debt portfolio comprising term loans, unsecured loans, cash credit facilities, an overdraft facility, and a soft loan. The majority of the secured borrowings are from SIDBI and ICICI Bank Ltd., while unsecured loans are primarily from individuals.</w:t>
      </w:r>
    </w:p>
    <w:p/>
    <w:p>
      <w:r>
        <w:rPr>
          <w:b/>
          <w:color w:val="003366"/>
          <w:sz w:val="22"/>
        </w:rPr>
        <w:t>3.2 Debt Terms &amp; Structure</w:t>
      </w:r>
    </w:p>
    <w:p/>
    <w:p>
      <w:pPr>
        <w:spacing w:after="80"/>
        <w:jc w:val="both"/>
      </w:pPr>
      <w:r>
        <w:rPr>
          <w:sz w:val="21"/>
        </w:rPr>
        <w:t>The Company's existing debt instruments as of Fiscal Year 2025 (unless otherwise specified) are detailed below:</w:t>
      </w:r>
    </w:p>
    <w:p/>
    <w:tbl>
      <w:tblPr>
        <w:tblStyle w:val="TableGrid"/>
        <w:tblW w:type="auto" w:w="0"/>
        <w:jc w:val="left"/>
        <w:tblLook w:firstColumn="1" w:firstRow="1" w:lastColumn="0" w:lastRow="0" w:noHBand="0" w:noVBand="1" w:val="04A0"/>
      </w:tblPr>
      <w:tblGrid>
        <w:gridCol w:w="1520"/>
        <w:gridCol w:w="1520"/>
        <w:gridCol w:w="1520"/>
        <w:gridCol w:w="1520"/>
        <w:gridCol w:w="1520"/>
        <w:gridCol w:w="1520"/>
      </w:tblGrid>
      <w:tr>
        <w:tc>
          <w:tcPr>
            <w:tcW w:type="dxa" w:w="1520"/>
            <w:shd w:val="clear" w:color="auto" w:fill="003366"/>
          </w:tcPr>
          <w:p>
            <w:r>
              <w:rPr>
                <w:b/>
                <w:color w:val="FFFFFF"/>
                <w:sz w:val="19"/>
              </w:rPr>
              <w:t>Instrument Type</w:t>
            </w:r>
          </w:p>
        </w:tc>
        <w:tc>
          <w:tcPr>
            <w:tcW w:type="dxa" w:w="1520"/>
            <w:shd w:val="clear" w:color="auto" w:fill="003366"/>
          </w:tcPr>
          <w:p>
            <w:r>
              <w:rPr>
                <w:b/>
                <w:color w:val="FFFFFF"/>
                <w:sz w:val="19"/>
              </w:rPr>
              <w:t>Counterparty</w:t>
            </w:r>
          </w:p>
        </w:tc>
        <w:tc>
          <w:tcPr>
            <w:tcW w:type="dxa" w:w="1520"/>
            <w:shd w:val="clear" w:color="auto" w:fill="003366"/>
          </w:tcPr>
          <w:p>
            <w:r>
              <w:rPr>
                <w:b/>
                <w:color w:val="FFFFFF"/>
                <w:sz w:val="19"/>
              </w:rPr>
              <w:t>Purpose</w:t>
            </w:r>
          </w:p>
        </w:tc>
        <w:tc>
          <w:tcPr>
            <w:tcW w:type="dxa" w:w="1520"/>
            <w:shd w:val="clear" w:color="auto" w:fill="003366"/>
          </w:tcPr>
          <w:p>
            <w:r>
              <w:rPr>
                <w:b/>
                <w:color w:val="FFFFFF"/>
                <w:sz w:val="19"/>
              </w:rPr>
              <w:t>Interest Rate</w:t>
            </w:r>
          </w:p>
        </w:tc>
        <w:tc>
          <w:tcPr>
            <w:tcW w:type="dxa" w:w="1520"/>
            <w:shd w:val="clear" w:color="auto" w:fill="003366"/>
          </w:tcPr>
          <w:p>
            <w:r>
              <w:rPr>
                <w:b/>
                <w:color w:val="FFFFFF"/>
                <w:sz w:val="19"/>
              </w:rPr>
              <w:t>Outstanding Amount</w:t>
            </w:r>
          </w:p>
        </w:tc>
        <w:tc>
          <w:tcPr>
            <w:tcW w:type="dxa" w:w="1520"/>
            <w:shd w:val="clear" w:color="auto" w:fill="003366"/>
          </w:tcPr>
          <w:p>
            <w:r>
              <w:rPr>
                <w:b/>
                <w:color w:val="FFFFFF"/>
                <w:sz w:val="19"/>
              </w:rPr>
              <w:t>Maturity Date</w:t>
            </w:r>
          </w:p>
        </w:tc>
      </w:tr>
      <w:tr>
        <w:tc>
          <w:tcPr>
            <w:tcW w:type="dxa" w:w="1520"/>
          </w:tcPr>
          <w:p>
            <w:r>
              <w:rPr>
                <w:color w:val="000000"/>
                <w:sz w:val="19"/>
              </w:rPr>
              <w:t>Term Loan</w:t>
            </w:r>
          </w:p>
        </w:tc>
        <w:tc>
          <w:tcPr>
            <w:tcW w:type="dxa" w:w="1520"/>
          </w:tcPr>
          <w:p>
            <w:r>
              <w:rPr>
                <w:color w:val="000000"/>
                <w:sz w:val="19"/>
              </w:rPr>
              <w:t>SIDBI</w:t>
            </w:r>
          </w:p>
        </w:tc>
        <w:tc>
          <w:tcPr>
            <w:tcW w:type="dxa" w:w="1520"/>
          </w:tcPr>
          <w:p>
            <w:r>
              <w:rPr>
                <w:color w:val="000000"/>
                <w:sz w:val="19"/>
              </w:rPr>
              <w:t>General Corporate Purposes</w:t>
            </w:r>
          </w:p>
        </w:tc>
        <w:tc>
          <w:tcPr>
            <w:tcW w:type="dxa" w:w="1520"/>
          </w:tcPr>
          <w:p>
            <w:r>
              <w:rPr>
                <w:color w:val="000000"/>
                <w:sz w:val="19"/>
              </w:rPr>
              <w:t>6.00%</w:t>
            </w:r>
          </w:p>
        </w:tc>
        <w:tc>
          <w:tcPr>
            <w:tcW w:type="dxa" w:w="1520"/>
          </w:tcPr>
          <w:p>
            <w:r>
              <w:rPr>
                <w:color w:val="000000"/>
                <w:sz w:val="19"/>
              </w:rPr>
              <w:t>INR 2.33 Lakhs</w:t>
            </w:r>
          </w:p>
        </w:tc>
        <w:tc>
          <w:tcPr>
            <w:tcW w:type="dxa" w:w="1520"/>
          </w:tcPr>
          <w:p>
            <w:r>
              <w:rPr>
                <w:color w:val="000000"/>
                <w:sz w:val="19"/>
              </w:rPr>
              <w:t>September 2025</w:t>
            </w:r>
          </w:p>
        </w:tc>
      </w:tr>
      <w:tr>
        <w:tc>
          <w:tcPr>
            <w:tcW w:type="dxa" w:w="1520"/>
            <w:shd w:val="clear" w:color="auto" w:fill="EAF0F8"/>
          </w:tcPr>
          <w:p>
            <w:r>
              <w:rPr>
                <w:color w:val="000000"/>
                <w:sz w:val="19"/>
              </w:rPr>
              <w:t>Unsecured Loan</w:t>
            </w:r>
          </w:p>
        </w:tc>
        <w:tc>
          <w:tcPr>
            <w:tcW w:type="dxa" w:w="1520"/>
            <w:shd w:val="clear" w:color="auto" w:fill="EAF0F8"/>
          </w:tcPr>
          <w:p>
            <w:r>
              <w:rPr>
                <w:color w:val="000000"/>
                <w:sz w:val="19"/>
              </w:rPr>
              <w:t>Usha Shah</w:t>
            </w:r>
          </w:p>
        </w:tc>
        <w:tc>
          <w:tcPr>
            <w:tcW w:type="dxa" w:w="1520"/>
            <w:shd w:val="clear" w:color="auto" w:fill="EAF0F8"/>
          </w:tcPr>
          <w:p>
            <w:r>
              <w:rPr>
                <w:color w:val="000000"/>
                <w:sz w:val="19"/>
              </w:rPr>
              <w:t>General Corporate Purposes</w:t>
            </w:r>
          </w:p>
        </w:tc>
        <w:tc>
          <w:tcPr>
            <w:tcW w:type="dxa" w:w="1520"/>
            <w:shd w:val="clear" w:color="auto" w:fill="EAF0F8"/>
          </w:tcPr>
          <w:p>
            <w:r>
              <w:rPr>
                <w:color w:val="000000"/>
                <w:sz w:val="19"/>
              </w:rPr>
              <w:t>0.00%</w:t>
            </w:r>
          </w:p>
        </w:tc>
        <w:tc>
          <w:tcPr>
            <w:tcW w:type="dxa" w:w="1520"/>
            <w:shd w:val="clear" w:color="auto" w:fill="EAF0F8"/>
          </w:tcPr>
          <w:p>
            <w:r>
              <w:rPr>
                <w:color w:val="000000"/>
                <w:sz w:val="19"/>
              </w:rPr>
              <w:t>INR 2.00 Lakhs</w:t>
            </w:r>
          </w:p>
        </w:tc>
        <w:tc>
          <w:tcPr>
            <w:tcW w:type="dxa" w:w="1520"/>
            <w:shd w:val="clear" w:color="auto" w:fill="EAF0F8"/>
          </w:tcPr>
          <w:p>
            <w:r>
              <w:rPr>
                <w:color w:val="000000"/>
                <w:sz w:val="19"/>
              </w:rPr>
              <w:t>Repayable on demand</w:t>
            </w:r>
          </w:p>
        </w:tc>
      </w:tr>
      <w:tr>
        <w:tc>
          <w:tcPr>
            <w:tcW w:type="dxa" w:w="1520"/>
          </w:tcPr>
          <w:p>
            <w:r>
              <w:rPr>
                <w:color w:val="000000"/>
                <w:sz w:val="19"/>
              </w:rPr>
              <w:t>Term Loan</w:t>
            </w:r>
          </w:p>
        </w:tc>
        <w:tc>
          <w:tcPr>
            <w:tcW w:type="dxa" w:w="1520"/>
          </w:tcPr>
          <w:p>
            <w:r>
              <w:rPr>
                <w:color w:val="000000"/>
                <w:sz w:val="19"/>
              </w:rPr>
              <w:t>ICICI Bank Ltd.</w:t>
            </w:r>
          </w:p>
        </w:tc>
        <w:tc>
          <w:tcPr>
            <w:tcW w:type="dxa" w:w="1520"/>
          </w:tcPr>
          <w:p>
            <w:r>
              <w:rPr>
                <w:color w:val="000000"/>
                <w:sz w:val="19"/>
              </w:rPr>
              <w:t>Working capital</w:t>
            </w:r>
          </w:p>
        </w:tc>
        <w:tc>
          <w:tcPr>
            <w:tcW w:type="dxa" w:w="1520"/>
          </w:tcPr>
          <w:p>
            <w:r>
              <w:rPr>
                <w:color w:val="000000"/>
                <w:sz w:val="19"/>
              </w:rPr>
              <w:t>9.25%</w:t>
            </w:r>
          </w:p>
        </w:tc>
        <w:tc>
          <w:tcPr>
            <w:tcW w:type="dxa" w:w="1520"/>
          </w:tcPr>
          <w:p>
            <w:r>
              <w:rPr>
                <w:color w:val="000000"/>
                <w:sz w:val="19"/>
              </w:rPr>
              <w:t>INR 31.11 Lakhs</w:t>
            </w:r>
          </w:p>
        </w:tc>
        <w:tc>
          <w:tcPr>
            <w:tcW w:type="dxa" w:w="1520"/>
          </w:tcPr>
          <w:p>
            <w:r>
              <w:rPr>
                <w:color w:val="000000"/>
                <w:sz w:val="19"/>
              </w:rPr>
              <w:t>October 2030</w:t>
            </w:r>
          </w:p>
        </w:tc>
      </w:tr>
      <w:tr>
        <w:tc>
          <w:tcPr>
            <w:tcW w:type="dxa" w:w="1520"/>
            <w:shd w:val="clear" w:color="auto" w:fill="EAF0F8"/>
          </w:tcPr>
          <w:p>
            <w:r>
              <w:rPr>
                <w:color w:val="000000"/>
                <w:sz w:val="19"/>
              </w:rPr>
              <w:t>Unsecured Loan</w:t>
            </w:r>
          </w:p>
        </w:tc>
        <w:tc>
          <w:tcPr>
            <w:tcW w:type="dxa" w:w="1520"/>
            <w:shd w:val="clear" w:color="auto" w:fill="EAF0F8"/>
          </w:tcPr>
          <w:p>
            <w:r>
              <w:rPr>
                <w:color w:val="000000"/>
                <w:sz w:val="19"/>
              </w:rPr>
              <w:t>Savitri Devi Shah</w:t>
            </w:r>
          </w:p>
        </w:tc>
        <w:tc>
          <w:tcPr>
            <w:tcW w:type="dxa" w:w="1520"/>
            <w:shd w:val="clear" w:color="auto" w:fill="EAF0F8"/>
          </w:tcPr>
          <w:p>
            <w:r>
              <w:rPr>
                <w:color w:val="000000"/>
                <w:sz w:val="19"/>
              </w:rPr>
              <w:t>General Corporate Purposes</w:t>
            </w:r>
          </w:p>
        </w:tc>
        <w:tc>
          <w:tcPr>
            <w:tcW w:type="dxa" w:w="1520"/>
            <w:shd w:val="clear" w:color="auto" w:fill="EAF0F8"/>
          </w:tcPr>
          <w:p>
            <w:r>
              <w:rPr>
                <w:color w:val="000000"/>
                <w:sz w:val="19"/>
              </w:rPr>
              <w:t>0.00%</w:t>
            </w:r>
          </w:p>
        </w:tc>
        <w:tc>
          <w:tcPr>
            <w:tcW w:type="dxa" w:w="1520"/>
            <w:shd w:val="clear" w:color="auto" w:fill="EAF0F8"/>
          </w:tcPr>
          <w:p>
            <w:r>
              <w:rPr>
                <w:color w:val="000000"/>
                <w:sz w:val="19"/>
              </w:rPr>
              <w:t>INR 1.61 Lakhs</w:t>
            </w:r>
          </w:p>
        </w:tc>
        <w:tc>
          <w:tcPr>
            <w:tcW w:type="dxa" w:w="1520"/>
            <w:shd w:val="clear" w:color="auto" w:fill="EAF0F8"/>
          </w:tcPr>
          <w:p>
            <w:r>
              <w:rPr>
                <w:color w:val="000000"/>
                <w:sz w:val="19"/>
              </w:rPr>
              <w:t>Repayable on demand</w:t>
            </w:r>
          </w:p>
        </w:tc>
      </w:tr>
      <w:tr>
        <w:tc>
          <w:tcPr>
            <w:tcW w:type="dxa" w:w="1520"/>
          </w:tcPr>
          <w:p>
            <w:r>
              <w:rPr>
                <w:color w:val="000000"/>
                <w:sz w:val="19"/>
              </w:rPr>
              <w:t>Term Loan</w:t>
            </w:r>
          </w:p>
        </w:tc>
        <w:tc>
          <w:tcPr>
            <w:tcW w:type="dxa" w:w="1520"/>
          </w:tcPr>
          <w:p>
            <w:r>
              <w:rPr>
                <w:color w:val="000000"/>
                <w:sz w:val="19"/>
              </w:rPr>
              <w:t>SIDBI</w:t>
            </w:r>
          </w:p>
        </w:tc>
        <w:tc>
          <w:tcPr>
            <w:tcW w:type="dxa" w:w="1520"/>
          </w:tcPr>
          <w:p>
            <w:r>
              <w:rPr>
                <w:color w:val="000000"/>
                <w:sz w:val="19"/>
              </w:rPr>
              <w:t>General Corporate Purposes</w:t>
            </w:r>
          </w:p>
        </w:tc>
        <w:tc>
          <w:tcPr>
            <w:tcW w:type="dxa" w:w="1520"/>
          </w:tcPr>
          <w:p>
            <w:r>
              <w:rPr>
                <w:color w:val="000000"/>
                <w:sz w:val="19"/>
              </w:rPr>
              <w:t>8.50%</w:t>
            </w:r>
          </w:p>
        </w:tc>
        <w:tc>
          <w:tcPr>
            <w:tcW w:type="dxa" w:w="1520"/>
          </w:tcPr>
          <w:p>
            <w:r>
              <w:rPr>
                <w:color w:val="000000"/>
                <w:sz w:val="19"/>
              </w:rPr>
              <w:t>INR 129.32 Lakhs</w:t>
            </w:r>
          </w:p>
        </w:tc>
        <w:tc>
          <w:tcPr>
            <w:tcW w:type="dxa" w:w="1520"/>
          </w:tcPr>
          <w:p>
            <w:r>
              <w:rPr>
                <w:color w:val="000000"/>
                <w:sz w:val="19"/>
              </w:rPr>
              <w:t>March 2028</w:t>
            </w:r>
          </w:p>
        </w:tc>
      </w:tr>
      <w:tr>
        <w:tc>
          <w:tcPr>
            <w:tcW w:type="dxa" w:w="1520"/>
            <w:shd w:val="clear" w:color="auto" w:fill="EAF0F8"/>
          </w:tcPr>
          <w:p>
            <w:r>
              <w:rPr>
                <w:color w:val="000000"/>
                <w:sz w:val="19"/>
              </w:rPr>
              <w:t>Unsecured Loan</w:t>
            </w:r>
          </w:p>
        </w:tc>
        <w:tc>
          <w:tcPr>
            <w:tcW w:type="dxa" w:w="1520"/>
            <w:shd w:val="clear" w:color="auto" w:fill="EAF0F8"/>
          </w:tcPr>
          <w:p>
            <w:r>
              <w:rPr>
                <w:color w:val="000000"/>
                <w:sz w:val="19"/>
              </w:rPr>
              <w:t>Satish Kumar Shah</w:t>
            </w:r>
          </w:p>
        </w:tc>
        <w:tc>
          <w:tcPr>
            <w:tcW w:type="dxa" w:w="1520"/>
            <w:shd w:val="clear" w:color="auto" w:fill="EAF0F8"/>
          </w:tcPr>
          <w:p>
            <w:r>
              <w:rPr>
                <w:color w:val="000000"/>
                <w:sz w:val="19"/>
              </w:rPr>
              <w:t>General Corporate Purposes</w:t>
            </w:r>
          </w:p>
        </w:tc>
        <w:tc>
          <w:tcPr>
            <w:tcW w:type="dxa" w:w="1520"/>
            <w:shd w:val="clear" w:color="auto" w:fill="EAF0F8"/>
          </w:tcPr>
          <w:p>
            <w:r>
              <w:rPr>
                <w:color w:val="000000"/>
                <w:sz w:val="19"/>
              </w:rPr>
              <w:t>0.00%</w:t>
            </w:r>
          </w:p>
        </w:tc>
        <w:tc>
          <w:tcPr>
            <w:tcW w:type="dxa" w:w="1520"/>
            <w:shd w:val="clear" w:color="auto" w:fill="EAF0F8"/>
          </w:tcPr>
          <w:p>
            <w:r>
              <w:rPr>
                <w:color w:val="000000"/>
                <w:sz w:val="19"/>
              </w:rPr>
              <w:t>INR 17.00 Lakhs</w:t>
            </w:r>
          </w:p>
        </w:tc>
        <w:tc>
          <w:tcPr>
            <w:tcW w:type="dxa" w:w="1520"/>
            <w:shd w:val="clear" w:color="auto" w:fill="EAF0F8"/>
          </w:tcPr>
          <w:p>
            <w:r>
              <w:rPr>
                <w:color w:val="000000"/>
                <w:sz w:val="19"/>
              </w:rPr>
              <w:t>Repayable on demand</w:t>
            </w:r>
          </w:p>
        </w:tc>
      </w:tr>
      <w:tr>
        <w:tc>
          <w:tcPr>
            <w:tcW w:type="dxa" w:w="1520"/>
          </w:tcPr>
          <w:p>
            <w:r>
              <w:rPr>
                <w:color w:val="000000"/>
                <w:sz w:val="19"/>
              </w:rPr>
              <w:t>Term Loan</w:t>
            </w:r>
          </w:p>
        </w:tc>
        <w:tc>
          <w:tcPr>
            <w:tcW w:type="dxa" w:w="1520"/>
          </w:tcPr>
          <w:p>
            <w:r>
              <w:rPr>
                <w:color w:val="000000"/>
                <w:sz w:val="19"/>
              </w:rPr>
              <w:t>SIDBI</w:t>
            </w:r>
          </w:p>
        </w:tc>
        <w:tc>
          <w:tcPr>
            <w:tcW w:type="dxa" w:w="1520"/>
          </w:tcPr>
          <w:p>
            <w:r>
              <w:rPr>
                <w:color w:val="000000"/>
                <w:sz w:val="19"/>
              </w:rPr>
              <w:t>General Corporate Purposes</w:t>
            </w:r>
          </w:p>
        </w:tc>
        <w:tc>
          <w:tcPr>
            <w:tcW w:type="dxa" w:w="1520"/>
          </w:tcPr>
          <w:p>
            <w:r>
              <w:rPr>
                <w:color w:val="000000"/>
                <w:sz w:val="19"/>
              </w:rPr>
              <w:t>8.35%</w:t>
            </w:r>
          </w:p>
        </w:tc>
        <w:tc>
          <w:tcPr>
            <w:tcW w:type="dxa" w:w="1520"/>
          </w:tcPr>
          <w:p>
            <w:r>
              <w:rPr>
                <w:color w:val="000000"/>
                <w:sz w:val="19"/>
              </w:rPr>
              <w:t>INR 74.71 Lakhs</w:t>
            </w:r>
          </w:p>
        </w:tc>
        <w:tc>
          <w:tcPr>
            <w:tcW w:type="dxa" w:w="1520"/>
          </w:tcPr>
          <w:p>
            <w:r>
              <w:rPr>
                <w:color w:val="000000"/>
                <w:sz w:val="19"/>
              </w:rPr>
              <w:t>November 2029</w:t>
            </w:r>
          </w:p>
        </w:tc>
      </w:tr>
      <w:tr>
        <w:tc>
          <w:tcPr>
            <w:tcW w:type="dxa" w:w="1520"/>
            <w:shd w:val="clear" w:color="auto" w:fill="EAF0F8"/>
          </w:tcPr>
          <w:p>
            <w:r>
              <w:rPr>
                <w:color w:val="000000"/>
                <w:sz w:val="19"/>
              </w:rPr>
              <w:t>Unsecured Loan</w:t>
            </w:r>
          </w:p>
        </w:tc>
        <w:tc>
          <w:tcPr>
            <w:tcW w:type="dxa" w:w="1520"/>
            <w:shd w:val="clear" w:color="auto" w:fill="EAF0F8"/>
          </w:tcPr>
          <w:p>
            <w:r>
              <w:rPr>
                <w:color w:val="000000"/>
                <w:sz w:val="19"/>
              </w:rPr>
              <w:t>Majula Shah</w:t>
            </w:r>
          </w:p>
        </w:tc>
        <w:tc>
          <w:tcPr>
            <w:tcW w:type="dxa" w:w="1520"/>
            <w:shd w:val="clear" w:color="auto" w:fill="EAF0F8"/>
          </w:tcPr>
          <w:p>
            <w:r>
              <w:rPr>
                <w:color w:val="000000"/>
                <w:sz w:val="19"/>
              </w:rPr>
              <w:t>General Corporate Purposes</w:t>
            </w:r>
          </w:p>
        </w:tc>
        <w:tc>
          <w:tcPr>
            <w:tcW w:type="dxa" w:w="1520"/>
            <w:shd w:val="clear" w:color="auto" w:fill="EAF0F8"/>
          </w:tcPr>
          <w:p>
            <w:r>
              <w:rPr>
                <w:color w:val="000000"/>
                <w:sz w:val="19"/>
              </w:rPr>
              <w:t>0.00%</w:t>
            </w:r>
          </w:p>
        </w:tc>
        <w:tc>
          <w:tcPr>
            <w:tcW w:type="dxa" w:w="1520"/>
            <w:shd w:val="clear" w:color="auto" w:fill="EAF0F8"/>
          </w:tcPr>
          <w:p>
            <w:r>
              <w:rPr>
                <w:color w:val="000000"/>
                <w:sz w:val="19"/>
              </w:rPr>
              <w:t>INR 1.00 Lakhs</w:t>
            </w:r>
          </w:p>
        </w:tc>
        <w:tc>
          <w:tcPr>
            <w:tcW w:type="dxa" w:w="1520"/>
            <w:shd w:val="clear" w:color="auto" w:fill="EAF0F8"/>
          </w:tcPr>
          <w:p>
            <w:r>
              <w:rPr>
                <w:color w:val="000000"/>
                <w:sz w:val="19"/>
              </w:rPr>
              <w:t>Repayable on demand</w:t>
            </w:r>
          </w:p>
        </w:tc>
      </w:tr>
      <w:tr>
        <w:tc>
          <w:tcPr>
            <w:tcW w:type="dxa" w:w="1520"/>
          </w:tcPr>
          <w:p>
            <w:r>
              <w:rPr>
                <w:color w:val="000000"/>
                <w:sz w:val="19"/>
              </w:rPr>
              <w:t>Term Loan</w:t>
            </w:r>
          </w:p>
        </w:tc>
        <w:tc>
          <w:tcPr>
            <w:tcW w:type="dxa" w:w="1520"/>
          </w:tcPr>
          <w:p>
            <w:r>
              <w:rPr>
                <w:color w:val="000000"/>
                <w:sz w:val="19"/>
              </w:rPr>
              <w:t>SIDBI</w:t>
            </w:r>
          </w:p>
        </w:tc>
        <w:tc>
          <w:tcPr>
            <w:tcW w:type="dxa" w:w="1520"/>
          </w:tcPr>
          <w:p>
            <w:r>
              <w:rPr>
                <w:color w:val="000000"/>
                <w:sz w:val="19"/>
              </w:rPr>
              <w:t>Solar plant</w:t>
            </w:r>
          </w:p>
        </w:tc>
        <w:tc>
          <w:tcPr>
            <w:tcW w:type="dxa" w:w="1520"/>
          </w:tcPr>
          <w:p>
            <w:r>
              <w:rPr>
                <w:color w:val="000000"/>
                <w:sz w:val="19"/>
              </w:rPr>
              <w:t>5.65%</w:t>
            </w:r>
          </w:p>
        </w:tc>
        <w:tc>
          <w:tcPr>
            <w:tcW w:type="dxa" w:w="1520"/>
          </w:tcPr>
          <w:p>
            <w:r>
              <w:rPr>
                <w:color w:val="000000"/>
                <w:sz w:val="19"/>
              </w:rPr>
              <w:t>INR 529.60 Lakhs</w:t>
            </w:r>
          </w:p>
        </w:tc>
        <w:tc>
          <w:tcPr>
            <w:tcW w:type="dxa" w:w="1520"/>
          </w:tcPr>
          <w:p>
            <w:r>
              <w:rPr>
                <w:color w:val="000000"/>
                <w:sz w:val="19"/>
              </w:rPr>
              <w:t>January 2029</w:t>
            </w:r>
          </w:p>
        </w:tc>
      </w:tr>
      <w:tr>
        <w:tc>
          <w:tcPr>
            <w:tcW w:type="dxa" w:w="1520"/>
            <w:shd w:val="clear" w:color="auto" w:fill="EAF0F8"/>
          </w:tcPr>
          <w:p>
            <w:r>
              <w:rPr>
                <w:color w:val="000000"/>
                <w:sz w:val="19"/>
              </w:rPr>
              <w:t>Unsecured Loan</w:t>
            </w:r>
          </w:p>
        </w:tc>
        <w:tc>
          <w:tcPr>
            <w:tcW w:type="dxa" w:w="1520"/>
            <w:shd w:val="clear" w:color="auto" w:fill="EAF0F8"/>
          </w:tcPr>
          <w:p>
            <w:r>
              <w:rPr>
                <w:color w:val="000000"/>
                <w:sz w:val="19"/>
              </w:rPr>
              <w:t>Harish Kumar Shah</w:t>
            </w:r>
          </w:p>
        </w:tc>
        <w:tc>
          <w:tcPr>
            <w:tcW w:type="dxa" w:w="1520"/>
            <w:shd w:val="clear" w:color="auto" w:fill="EAF0F8"/>
          </w:tcPr>
          <w:p>
            <w:r>
              <w:rPr>
                <w:color w:val="000000"/>
                <w:sz w:val="19"/>
              </w:rPr>
              <w:t>General Corporate Purposes</w:t>
            </w:r>
          </w:p>
        </w:tc>
        <w:tc>
          <w:tcPr>
            <w:tcW w:type="dxa" w:w="1520"/>
            <w:shd w:val="clear" w:color="auto" w:fill="EAF0F8"/>
          </w:tcPr>
          <w:p>
            <w:r>
              <w:rPr>
                <w:color w:val="000000"/>
                <w:sz w:val="19"/>
              </w:rPr>
              <w:t>0.00%</w:t>
            </w:r>
          </w:p>
        </w:tc>
        <w:tc>
          <w:tcPr>
            <w:tcW w:type="dxa" w:w="1520"/>
            <w:shd w:val="clear" w:color="auto" w:fill="EAF0F8"/>
          </w:tcPr>
          <w:p>
            <w:r>
              <w:rPr>
                <w:color w:val="000000"/>
                <w:sz w:val="19"/>
              </w:rPr>
              <w:t>INR 21.40 Lakhs</w:t>
            </w:r>
          </w:p>
        </w:tc>
        <w:tc>
          <w:tcPr>
            <w:tcW w:type="dxa" w:w="1520"/>
            <w:shd w:val="clear" w:color="auto" w:fill="EAF0F8"/>
          </w:tcPr>
          <w:p>
            <w:r>
              <w:rPr>
                <w:color w:val="000000"/>
                <w:sz w:val="19"/>
              </w:rPr>
              <w:t>Repayable on demand</w:t>
            </w:r>
          </w:p>
        </w:tc>
      </w:tr>
      <w:tr>
        <w:tc>
          <w:tcPr>
            <w:tcW w:type="dxa" w:w="1520"/>
          </w:tcPr>
          <w:p>
            <w:r>
              <w:rPr>
                <w:color w:val="000000"/>
                <w:sz w:val="19"/>
              </w:rPr>
              <w:t>Term Loan</w:t>
            </w:r>
          </w:p>
        </w:tc>
        <w:tc>
          <w:tcPr>
            <w:tcW w:type="dxa" w:w="1520"/>
          </w:tcPr>
          <w:p>
            <w:r>
              <w:rPr>
                <w:color w:val="000000"/>
                <w:sz w:val="19"/>
              </w:rPr>
              <w:t>SIDBI</w:t>
            </w:r>
          </w:p>
        </w:tc>
        <w:tc>
          <w:tcPr>
            <w:tcW w:type="dxa" w:w="1520"/>
          </w:tcPr>
          <w:p>
            <w:r>
              <w:rPr>
                <w:color w:val="000000"/>
                <w:sz w:val="19"/>
              </w:rPr>
              <w:t>Solar plant</w:t>
            </w:r>
          </w:p>
        </w:tc>
        <w:tc>
          <w:tcPr>
            <w:tcW w:type="dxa" w:w="1520"/>
          </w:tcPr>
          <w:p>
            <w:r>
              <w:rPr>
                <w:color w:val="000000"/>
                <w:sz w:val="19"/>
              </w:rPr>
              <w:t>7.29%</w:t>
            </w:r>
          </w:p>
        </w:tc>
        <w:tc>
          <w:tcPr>
            <w:tcW w:type="dxa" w:w="1520"/>
          </w:tcPr>
          <w:p>
            <w:r>
              <w:rPr>
                <w:color w:val="000000"/>
                <w:sz w:val="19"/>
              </w:rPr>
              <w:t>INR 340.40 Lakhs</w:t>
            </w:r>
          </w:p>
        </w:tc>
        <w:tc>
          <w:tcPr>
            <w:tcW w:type="dxa" w:w="1520"/>
          </w:tcPr>
          <w:p>
            <w:r>
              <w:rPr>
                <w:color w:val="000000"/>
                <w:sz w:val="19"/>
              </w:rPr>
              <w:t>January 2029</w:t>
            </w:r>
          </w:p>
        </w:tc>
      </w:tr>
      <w:tr>
        <w:tc>
          <w:tcPr>
            <w:tcW w:type="dxa" w:w="1520"/>
            <w:shd w:val="clear" w:color="auto" w:fill="EAF0F8"/>
          </w:tcPr>
          <w:p>
            <w:r>
              <w:rPr>
                <w:color w:val="000000"/>
                <w:sz w:val="19"/>
              </w:rPr>
              <w:t>Unsecured Loan</w:t>
            </w:r>
          </w:p>
        </w:tc>
        <w:tc>
          <w:tcPr>
            <w:tcW w:type="dxa" w:w="1520"/>
            <w:shd w:val="clear" w:color="auto" w:fill="EAF0F8"/>
          </w:tcPr>
          <w:p>
            <w:r>
              <w:rPr>
                <w:color w:val="000000"/>
                <w:sz w:val="19"/>
              </w:rPr>
              <w:t>Girish Kumar Shah</w:t>
            </w:r>
          </w:p>
        </w:tc>
        <w:tc>
          <w:tcPr>
            <w:tcW w:type="dxa" w:w="1520"/>
            <w:shd w:val="clear" w:color="auto" w:fill="EAF0F8"/>
          </w:tcPr>
          <w:p>
            <w:r>
              <w:rPr>
                <w:color w:val="000000"/>
                <w:sz w:val="19"/>
              </w:rPr>
              <w:t>General Corporate Purposes</w:t>
            </w:r>
          </w:p>
        </w:tc>
        <w:tc>
          <w:tcPr>
            <w:tcW w:type="dxa" w:w="1520"/>
            <w:shd w:val="clear" w:color="auto" w:fill="EAF0F8"/>
          </w:tcPr>
          <w:p>
            <w:r>
              <w:rPr>
                <w:color w:val="000000"/>
                <w:sz w:val="19"/>
              </w:rPr>
              <w:t>0.00%</w:t>
            </w:r>
          </w:p>
        </w:tc>
        <w:tc>
          <w:tcPr>
            <w:tcW w:type="dxa" w:w="1520"/>
            <w:shd w:val="clear" w:color="auto" w:fill="EAF0F8"/>
          </w:tcPr>
          <w:p>
            <w:r>
              <w:rPr>
                <w:color w:val="000000"/>
                <w:sz w:val="19"/>
              </w:rPr>
              <w:t>INR 11.32 Lakhs</w:t>
            </w:r>
          </w:p>
        </w:tc>
        <w:tc>
          <w:tcPr>
            <w:tcW w:type="dxa" w:w="1520"/>
            <w:shd w:val="clear" w:color="auto" w:fill="EAF0F8"/>
          </w:tcPr>
          <w:p>
            <w:r>
              <w:rPr>
                <w:color w:val="000000"/>
                <w:sz w:val="19"/>
              </w:rPr>
              <w:t>Repayable on demand</w:t>
            </w:r>
          </w:p>
        </w:tc>
      </w:tr>
      <w:tr>
        <w:tc>
          <w:tcPr>
            <w:tcW w:type="dxa" w:w="1520"/>
          </w:tcPr>
          <w:p>
            <w:r>
              <w:rPr>
                <w:color w:val="000000"/>
                <w:sz w:val="19"/>
              </w:rPr>
              <w:t>Unsecured Loan</w:t>
            </w:r>
          </w:p>
        </w:tc>
        <w:tc>
          <w:tcPr>
            <w:tcW w:type="dxa" w:w="1520"/>
          </w:tcPr>
          <w:p>
            <w:r>
              <w:rPr>
                <w:color w:val="000000"/>
                <w:sz w:val="19"/>
              </w:rPr>
              <w:t>Anajana Shah</w:t>
            </w:r>
          </w:p>
        </w:tc>
        <w:tc>
          <w:tcPr>
            <w:tcW w:type="dxa" w:w="1520"/>
          </w:tcPr>
          <w:p>
            <w:r>
              <w:rPr>
                <w:color w:val="000000"/>
                <w:sz w:val="19"/>
              </w:rPr>
              <w:t>General Corporate Purposes</w:t>
            </w:r>
          </w:p>
        </w:tc>
        <w:tc>
          <w:tcPr>
            <w:tcW w:type="dxa" w:w="1520"/>
          </w:tcPr>
          <w:p>
            <w:r>
              <w:rPr>
                <w:color w:val="000000"/>
                <w:sz w:val="19"/>
              </w:rPr>
              <w:t>0.00%</w:t>
            </w:r>
          </w:p>
        </w:tc>
        <w:tc>
          <w:tcPr>
            <w:tcW w:type="dxa" w:w="1520"/>
          </w:tcPr>
          <w:p>
            <w:r>
              <w:rPr>
                <w:color w:val="000000"/>
                <w:sz w:val="19"/>
              </w:rPr>
              <w:t>INR 1.00 Lakhs</w:t>
            </w:r>
          </w:p>
        </w:tc>
        <w:tc>
          <w:tcPr>
            <w:tcW w:type="dxa" w:w="1520"/>
          </w:tcPr>
          <w:p>
            <w:r>
              <w:rPr>
                <w:color w:val="000000"/>
                <w:sz w:val="19"/>
              </w:rPr>
              <w:t>Repayable on demand</w:t>
            </w:r>
          </w:p>
        </w:tc>
      </w:tr>
      <w:tr>
        <w:tc>
          <w:tcPr>
            <w:tcW w:type="dxa" w:w="1520"/>
            <w:shd w:val="clear" w:color="auto" w:fill="EAF0F8"/>
          </w:tcPr>
          <w:p>
            <w:r>
              <w:rPr>
                <w:color w:val="000000"/>
                <w:sz w:val="19"/>
              </w:rPr>
              <w:t>Term Loan</w:t>
            </w:r>
          </w:p>
        </w:tc>
        <w:tc>
          <w:tcPr>
            <w:tcW w:type="dxa" w:w="1520"/>
            <w:shd w:val="clear" w:color="auto" w:fill="EAF0F8"/>
          </w:tcPr>
          <w:p>
            <w:r>
              <w:rPr>
                <w:color w:val="000000"/>
                <w:sz w:val="19"/>
              </w:rPr>
              <w:t>SIDBI</w:t>
            </w:r>
          </w:p>
        </w:tc>
        <w:tc>
          <w:tcPr>
            <w:tcW w:type="dxa" w:w="1520"/>
            <w:shd w:val="clear" w:color="auto" w:fill="EAF0F8"/>
          </w:tcPr>
          <w:p>
            <w:r>
              <w:rPr>
                <w:color w:val="000000"/>
                <w:sz w:val="19"/>
              </w:rPr>
              <w:t>General Corporate Purposes</w:t>
            </w:r>
          </w:p>
        </w:tc>
        <w:tc>
          <w:tcPr>
            <w:tcW w:type="dxa" w:w="1520"/>
            <w:shd w:val="clear" w:color="auto" w:fill="EAF0F8"/>
          </w:tcPr>
          <w:p>
            <w:r>
              <w:rPr>
                <w:color w:val="000000"/>
                <w:sz w:val="19"/>
              </w:rPr>
              <w:t>7.00%</w:t>
            </w:r>
          </w:p>
        </w:tc>
        <w:tc>
          <w:tcPr>
            <w:tcW w:type="dxa" w:w="1520"/>
            <w:shd w:val="clear" w:color="auto" w:fill="EAF0F8"/>
          </w:tcPr>
          <w:p>
            <w:r>
              <w:rPr>
                <w:color w:val="000000"/>
                <w:sz w:val="19"/>
              </w:rPr>
              <w:t>INR 113.82 Lakhs</w:t>
            </w:r>
          </w:p>
        </w:tc>
        <w:tc>
          <w:tcPr>
            <w:tcW w:type="dxa" w:w="1520"/>
            <w:shd w:val="clear" w:color="auto" w:fill="EAF0F8"/>
          </w:tcPr>
          <w:p>
            <w:r>
              <w:rPr>
                <w:color w:val="000000"/>
                <w:sz w:val="19"/>
              </w:rPr>
              <w:t>September 2028</w:t>
            </w:r>
          </w:p>
        </w:tc>
      </w:tr>
      <w:tr>
        <w:tc>
          <w:tcPr>
            <w:tcW w:type="dxa" w:w="1520"/>
          </w:tcPr>
          <w:p>
            <w:r>
              <w:rPr>
                <w:color w:val="000000"/>
                <w:sz w:val="19"/>
              </w:rPr>
              <w:t>Cash Credit</w:t>
            </w:r>
          </w:p>
        </w:tc>
        <w:tc>
          <w:tcPr>
            <w:tcW w:type="dxa" w:w="1520"/>
          </w:tcPr>
          <w:p>
            <w:r>
              <w:rPr>
                <w:color w:val="000000"/>
                <w:sz w:val="19"/>
              </w:rPr>
              <w:t>ICICI Bank Ltd.</w:t>
            </w:r>
          </w:p>
        </w:tc>
        <w:tc>
          <w:tcPr>
            <w:tcW w:type="dxa" w:w="1520"/>
          </w:tcPr>
          <w:p>
            <w:r>
              <w:rPr>
                <w:color w:val="000000"/>
                <w:sz w:val="19"/>
              </w:rPr>
              <w:t>Working Capital</w:t>
            </w:r>
          </w:p>
        </w:tc>
        <w:tc>
          <w:tcPr>
            <w:tcW w:type="dxa" w:w="1520"/>
          </w:tcPr>
          <w:p>
            <w:r>
              <w:rPr>
                <w:color w:val="000000"/>
                <w:sz w:val="19"/>
              </w:rPr>
              <w:t>8.15%</w:t>
            </w:r>
          </w:p>
        </w:tc>
        <w:tc>
          <w:tcPr>
            <w:tcW w:type="dxa" w:w="1520"/>
          </w:tcPr>
          <w:p>
            <w:r>
              <w:rPr>
                <w:color w:val="000000"/>
                <w:sz w:val="19"/>
              </w:rPr>
              <w:t>INR 738.68 Lakhs</w:t>
            </w:r>
          </w:p>
        </w:tc>
        <w:tc>
          <w:tcPr>
            <w:tcW w:type="dxa" w:w="1520"/>
          </w:tcPr>
          <w:p>
            <w:r>
              <w:rPr>
                <w:color w:val="000000"/>
                <w:sz w:val="19"/>
              </w:rPr>
              <w:t>On Demand</w:t>
            </w:r>
          </w:p>
        </w:tc>
      </w:tr>
      <w:tr>
        <w:tc>
          <w:tcPr>
            <w:tcW w:type="dxa" w:w="1520"/>
            <w:shd w:val="clear" w:color="auto" w:fill="EAF0F8"/>
          </w:tcPr>
          <w:p>
            <w:r>
              <w:rPr>
                <w:color w:val="000000"/>
                <w:sz w:val="19"/>
              </w:rPr>
              <w:t>Soft Loan</w:t>
            </w:r>
          </w:p>
        </w:tc>
        <w:tc>
          <w:tcPr>
            <w:tcW w:type="dxa" w:w="1520"/>
            <w:shd w:val="clear" w:color="auto" w:fill="EAF0F8"/>
          </w:tcPr>
          <w:p>
            <w:r>
              <w:rPr>
                <w:color w:val="000000"/>
                <w:sz w:val="19"/>
              </w:rPr>
              <w:t>the Bank</w:t>
            </w:r>
          </w:p>
        </w:tc>
        <w:tc>
          <w:tcPr>
            <w:tcW w:type="dxa" w:w="1520"/>
            <w:shd w:val="clear" w:color="auto" w:fill="EAF0F8"/>
          </w:tcPr>
          <w:p>
            <w:r>
              <w:rPr>
                <w:color w:val="000000"/>
                <w:sz w:val="19"/>
              </w:rPr>
              <w:t>Not Specified</w:t>
            </w:r>
          </w:p>
        </w:tc>
        <w:tc>
          <w:tcPr>
            <w:tcW w:type="dxa" w:w="1520"/>
            <w:shd w:val="clear" w:color="auto" w:fill="EAF0F8"/>
          </w:tcPr>
          <w:p>
            <w:r>
              <w:rPr>
                <w:color w:val="000000"/>
                <w:sz w:val="19"/>
              </w:rPr>
              <w:t>Not Specified</w:t>
            </w:r>
          </w:p>
        </w:tc>
        <w:tc>
          <w:tcPr>
            <w:tcW w:type="dxa" w:w="1520"/>
            <w:shd w:val="clear" w:color="auto" w:fill="EAF0F8"/>
          </w:tcPr>
          <w:p>
            <w:r>
              <w:rPr>
                <w:color w:val="000000"/>
                <w:sz w:val="19"/>
              </w:rPr>
              <w:t>Not Specified</w:t>
            </w:r>
          </w:p>
        </w:tc>
        <w:tc>
          <w:tcPr>
            <w:tcW w:type="dxa" w:w="1520"/>
            <w:shd w:val="clear" w:color="auto" w:fill="EAF0F8"/>
          </w:tcPr>
          <w:p>
            <w:r>
              <w:rPr>
                <w:color w:val="000000"/>
                <w:sz w:val="19"/>
              </w:rPr>
              <w:t>Not Specified</w:t>
            </w:r>
          </w:p>
        </w:tc>
      </w:tr>
      <w:tr>
        <w:tc>
          <w:tcPr>
            <w:tcW w:type="dxa" w:w="1520"/>
          </w:tcPr>
          <w:p>
            <w:r>
              <w:rPr>
                <w:color w:val="000000"/>
                <w:sz w:val="19"/>
              </w:rPr>
              <w:t>Term Loan</w:t>
            </w:r>
          </w:p>
        </w:tc>
        <w:tc>
          <w:tcPr>
            <w:tcW w:type="dxa" w:w="1520"/>
          </w:tcPr>
          <w:p>
            <w:r>
              <w:rPr>
                <w:color w:val="000000"/>
                <w:sz w:val="19"/>
              </w:rPr>
              <w:t>the Bank</w:t>
            </w:r>
          </w:p>
        </w:tc>
        <w:tc>
          <w:tcPr>
            <w:tcW w:type="dxa" w:w="1520"/>
          </w:tcPr>
          <w:p>
            <w:r>
              <w:rPr>
                <w:color w:val="000000"/>
                <w:sz w:val="19"/>
              </w:rPr>
              <w:t>Not Specified</w:t>
            </w:r>
          </w:p>
        </w:tc>
        <w:tc>
          <w:tcPr>
            <w:tcW w:type="dxa" w:w="1520"/>
          </w:tcPr>
          <w:p>
            <w:r>
              <w:rPr>
                <w:color w:val="000000"/>
                <w:sz w:val="19"/>
              </w:rPr>
              <w:t>Not Specified</w:t>
            </w:r>
          </w:p>
        </w:tc>
        <w:tc>
          <w:tcPr>
            <w:tcW w:type="dxa" w:w="1520"/>
          </w:tcPr>
          <w:p>
            <w:r>
              <w:rPr>
                <w:color w:val="000000"/>
                <w:sz w:val="19"/>
              </w:rPr>
              <w:t>Not Specified</w:t>
            </w:r>
          </w:p>
        </w:tc>
        <w:tc>
          <w:tcPr>
            <w:tcW w:type="dxa" w:w="1520"/>
          </w:tcPr>
          <w:p>
            <w:r>
              <w:rPr>
                <w:color w:val="000000"/>
                <w:sz w:val="19"/>
              </w:rPr>
              <w:t>Not Specified</w:t>
            </w:r>
          </w:p>
        </w:tc>
      </w:tr>
      <w:tr>
        <w:tc>
          <w:tcPr>
            <w:tcW w:type="dxa" w:w="1520"/>
            <w:shd w:val="clear" w:color="auto" w:fill="EAF0F8"/>
          </w:tcPr>
          <w:p>
            <w:r>
              <w:rPr>
                <w:color w:val="000000"/>
                <w:sz w:val="19"/>
              </w:rPr>
              <w:t>Overdraft Facility</w:t>
            </w:r>
          </w:p>
        </w:tc>
        <w:tc>
          <w:tcPr>
            <w:tcW w:type="dxa" w:w="1520"/>
            <w:shd w:val="clear" w:color="auto" w:fill="EAF0F8"/>
          </w:tcPr>
          <w:p>
            <w:r>
              <w:rPr>
                <w:color w:val="000000"/>
                <w:sz w:val="19"/>
              </w:rPr>
              <w:t>ICICI Bank Ltd.</w:t>
            </w:r>
          </w:p>
        </w:tc>
        <w:tc>
          <w:tcPr>
            <w:tcW w:type="dxa" w:w="1520"/>
            <w:shd w:val="clear" w:color="auto" w:fill="EAF0F8"/>
          </w:tcPr>
          <w:p>
            <w:r>
              <w:rPr>
                <w:color w:val="000000"/>
                <w:sz w:val="19"/>
              </w:rPr>
              <w:t>General Corporate Purposes</w:t>
            </w:r>
          </w:p>
        </w:tc>
        <w:tc>
          <w:tcPr>
            <w:tcW w:type="dxa" w:w="1520"/>
            <w:shd w:val="clear" w:color="auto" w:fill="EAF0F8"/>
          </w:tcPr>
          <w:p>
            <w:r>
              <w:rPr>
                <w:color w:val="000000"/>
                <w:sz w:val="19"/>
              </w:rPr>
              <w:t>7.00%</w:t>
            </w:r>
          </w:p>
        </w:tc>
        <w:tc>
          <w:tcPr>
            <w:tcW w:type="dxa" w:w="1520"/>
            <w:shd w:val="clear" w:color="auto" w:fill="EAF0F8"/>
          </w:tcPr>
          <w:p>
            <w:r>
              <w:rPr>
                <w:color w:val="000000"/>
                <w:sz w:val="19"/>
              </w:rPr>
              <w:t>INR 100.00 Lakhs</w:t>
            </w:r>
          </w:p>
        </w:tc>
        <w:tc>
          <w:tcPr>
            <w:tcW w:type="dxa" w:w="1520"/>
            <w:shd w:val="clear" w:color="auto" w:fill="EAF0F8"/>
          </w:tcPr>
          <w:p>
            <w:r>
              <w:rPr>
                <w:color w:val="000000"/>
                <w:sz w:val="19"/>
              </w:rPr>
              <w:t>On Demand</w:t>
            </w:r>
          </w:p>
        </w:tc>
      </w:tr>
    </w:tbl>
    <w:p/>
    <w:p/>
    <w:p>
      <w:pPr>
        <w:spacing w:after="80"/>
        <w:jc w:val="both"/>
      </w:pPr>
      <w:r>
        <w:rPr>
          <w:sz w:val="21"/>
        </w:rPr>
        <w:t>*Note: For instruments with "Outstanding Amount: Not Specified", the available data does not indicate a specific outstanding balance, which may imply the facility is undrawn or fully repaid.*</w:t>
      </w:r>
    </w:p>
    <w:p/>
    <w:p>
      <w:r>
        <w:rPr>
          <w:b/>
          <w:color w:val="003366"/>
          <w:sz w:val="22"/>
        </w:rPr>
        <w:t>3.3 Covenants &amp; Restrictions</w:t>
      </w:r>
    </w:p>
    <w:p/>
    <w:p>
      <w:pPr>
        <w:spacing w:after="80"/>
        <w:jc w:val="both"/>
      </w:pPr>
      <w:r>
        <w:rPr>
          <w:sz w:val="21"/>
        </w:rPr>
        <w:t>The Company's debt instruments are subject to various security and guarantee covenants. Key covenants include:</w:t>
      </w:r>
    </w:p>
    <w:p/>
    <w:p>
      <w:pPr>
        <w:pStyle w:val="ListBullet"/>
        <w:jc w:val="both"/>
      </w:pPr>
      <w:r>
        <w:rPr>
          <w:sz w:val="21"/>
        </w:rPr>
        <w:t xml:space="preserve">  </w:t>
      </w:r>
      <w:r>
        <w:rPr>
          <w:b/>
          <w:sz w:val="21"/>
        </w:rPr>
        <w:t>SIDBI Term Loans:</w:t>
      </w:r>
    </w:p>
    <w:p>
      <w:pPr>
        <w:pStyle w:val="ListBullet"/>
        <w:jc w:val="both"/>
      </w:pPr>
      <w:r>
        <w:rPr>
          <w:sz w:val="21"/>
        </w:rPr>
        <w:t xml:space="preserve">  </w:t>
      </w:r>
      <w:r>
        <w:rPr>
          <w:b/>
          <w:sz w:val="21"/>
        </w:rPr>
        <w:t>Primary Security:</w:t>
      </w:r>
      <w:r>
        <w:rPr>
          <w:sz w:val="21"/>
        </w:rPr>
        <w:t xml:space="preserve"> First charge by way of mortgage/hypothecation on all immovable and movable assets of the borrower, both present and future, acquired or to be acquired under the respective projects/schemes. This includes specific land parcels and plant &amp; machinery.</w:t>
      </w:r>
    </w:p>
    <w:p>
      <w:pPr>
        <w:pStyle w:val="ListBullet"/>
        <w:jc w:val="both"/>
      </w:pPr>
      <w:r>
        <w:rPr>
          <w:sz w:val="21"/>
        </w:rPr>
        <w:t xml:space="preserve">  </w:t>
      </w:r>
      <w:r>
        <w:rPr>
          <w:b/>
          <w:sz w:val="21"/>
        </w:rPr>
        <w:t>Collateral Security:</w:t>
      </w:r>
      <w:r>
        <w:rPr>
          <w:sz w:val="21"/>
        </w:rPr>
        <w:t xml:space="preserve"> Extension of first charge by way of hypothecation on all the borrower's movables (excluding stock &amp; book debts) and extension of first charge by way of mortgage on leasehold rights and freehold rights of various immovable properties owned by the Company and its promoters.</w:t>
      </w:r>
    </w:p>
    <w:p>
      <w:pPr>
        <w:pStyle w:val="ListBullet"/>
        <w:jc w:val="both"/>
      </w:pPr>
      <w:r>
        <w:rPr>
          <w:sz w:val="21"/>
        </w:rPr>
        <w:t xml:space="preserve">  </w:t>
      </w:r>
      <w:r>
        <w:rPr>
          <w:b/>
          <w:sz w:val="21"/>
        </w:rPr>
        <w:t>Guarantees:</w:t>
      </w:r>
      <w:r>
        <w:rPr>
          <w:sz w:val="21"/>
        </w:rPr>
        <w:t xml:space="preserve"> Personal guarantees from Mr. Atish Agrawal, Mr. Ankit Agrawal, Mr. Satish Kumar Shah, Mr. Harish Kumar Shah, Mr. Girish Kumar Shah, and a corporate guarantee from M/s Sunflower Commotrade Pvt Ltd.</w:t>
      </w:r>
    </w:p>
    <w:p>
      <w:pPr>
        <w:pStyle w:val="ListBullet"/>
        <w:jc w:val="both"/>
      </w:pPr>
      <w:r>
        <w:rPr>
          <w:sz w:val="21"/>
        </w:rPr>
        <w:t xml:space="preserve">  </w:t>
      </w:r>
      <w:r>
        <w:rPr>
          <w:b/>
          <w:sz w:val="21"/>
        </w:rPr>
        <w:t>ICICI Bank Ltd. Term Loan (Working Capital):</w:t>
      </w:r>
    </w:p>
    <w:p>
      <w:pPr>
        <w:pStyle w:val="ListBullet"/>
        <w:jc w:val="both"/>
      </w:pPr>
      <w:r>
        <w:rPr>
          <w:sz w:val="21"/>
        </w:rPr>
        <w:t xml:space="preserve">  </w:t>
      </w:r>
      <w:r>
        <w:rPr>
          <w:b/>
          <w:sz w:val="21"/>
        </w:rPr>
        <w:t>Security:</w:t>
      </w:r>
      <w:r>
        <w:rPr>
          <w:sz w:val="21"/>
        </w:rPr>
        <w:t xml:space="preserve"> Second charge on assets financed under the scheme, second charge on existing accounts, and a second charge on specific property with an aggregate value of INR 97.0 million. As per ECLGS, the facility is secured by a second ranking charge over all existing securities created in favour of ICICI Bank for existing facilities, with a charge also on assets financed under the facility.</w:t>
      </w:r>
    </w:p>
    <w:p>
      <w:pPr>
        <w:pStyle w:val="ListBullet"/>
        <w:jc w:val="both"/>
      </w:pPr>
      <w:r>
        <w:rPr>
          <w:sz w:val="21"/>
        </w:rPr>
        <w:t xml:space="preserve">  </w:t>
      </w:r>
      <w:r>
        <w:rPr>
          <w:b/>
          <w:sz w:val="21"/>
        </w:rPr>
        <w:t>Guarantor:</w:t>
      </w:r>
      <w:r>
        <w:rPr>
          <w:sz w:val="21"/>
        </w:rPr>
        <w:t xml:space="preserve"> National Credit Guarantee Trustee Company ('NCGTC').</w:t>
      </w:r>
    </w:p>
    <w:p>
      <w:pPr>
        <w:pStyle w:val="ListBullet"/>
        <w:jc w:val="both"/>
      </w:pPr>
      <w:r>
        <w:rPr>
          <w:sz w:val="21"/>
        </w:rPr>
        <w:t xml:space="preserve">  </w:t>
      </w:r>
      <w:r>
        <w:rPr>
          <w:b/>
          <w:sz w:val="21"/>
        </w:rPr>
        <w:t>ICICI Bank Ltd. Cash Credit Facility:</w:t>
      </w:r>
    </w:p>
    <w:p>
      <w:pPr>
        <w:pStyle w:val="ListBullet"/>
        <w:jc w:val="both"/>
      </w:pPr>
      <w:r>
        <w:rPr>
          <w:sz w:val="21"/>
        </w:rPr>
        <w:t xml:space="preserve">  </w:t>
      </w:r>
      <w:r>
        <w:rPr>
          <w:b/>
          <w:sz w:val="21"/>
        </w:rPr>
        <w:t>Security:</w:t>
      </w:r>
      <w:r>
        <w:rPr>
          <w:sz w:val="21"/>
        </w:rPr>
        <w:t xml:space="preserve"> Exclusive charge by way of hypothecation on the Company’s entire stocks of raw materials, semi-finished and finished goods, consumable stores and spares, and all movables including book-debts, bills, outstanding monies, and receivables, both present and future.</w:t>
      </w:r>
    </w:p>
    <w:p>
      <w:pPr>
        <w:pStyle w:val="ListBullet"/>
        <w:jc w:val="both"/>
      </w:pPr>
      <w:r>
        <w:rPr>
          <w:sz w:val="21"/>
        </w:rPr>
        <w:t xml:space="preserve">  </w:t>
      </w:r>
      <w:r>
        <w:rPr>
          <w:b/>
          <w:sz w:val="21"/>
        </w:rPr>
        <w:t>Equitable Mortgage:</w:t>
      </w:r>
      <w:r>
        <w:rPr>
          <w:sz w:val="21"/>
        </w:rPr>
        <w:t xml:space="preserve"> Exclusive charge by way of equitable mortgage on commercial vacant land owned by Mr. Harish Kumar Shah, Mr. Satish Kumar Shah, Mr. Girish Kumar Shah (aggregate value INR 50.00 million), commercial vacant land owned by M/s Abha Power &amp; Steel Pvt Ltd (aggregate value INR 25.00 million), residential properties owned by Mr. Harish Kumar Shah (aggregate value INR 6.0 million), Mr. Satish Kumar Shah (aggregate value INR 6.0 million), and Mr. Sanatan A Shah (aggregate value INR 10.00 million).</w:t>
      </w:r>
    </w:p>
    <w:p>
      <w:pPr>
        <w:pStyle w:val="ListBullet"/>
        <w:jc w:val="both"/>
      </w:pPr>
      <w:r>
        <w:rPr>
          <w:sz w:val="21"/>
        </w:rPr>
        <w:t xml:space="preserve">  </w:t>
      </w:r>
      <w:r>
        <w:rPr>
          <w:b/>
          <w:sz w:val="21"/>
        </w:rPr>
        <w:t>Guarantees:</w:t>
      </w:r>
      <w:r>
        <w:rPr>
          <w:sz w:val="21"/>
        </w:rPr>
        <w:t xml:space="preserve"> Personal guarantees from Mr. Atish Agrawal, Mr. Ankit Agrawal, Mr. Satish Kumar Shah, Mr. Harish Kumar Shah, Mr. Girish Kumar Shah, and a corporate guarantee from M/s Sunflower Commotrade Pvt Ltd.</w:t>
      </w:r>
    </w:p>
    <w:p>
      <w:pPr>
        <w:pStyle w:val="ListBullet"/>
        <w:jc w:val="both"/>
      </w:pPr>
      <w:r>
        <w:rPr>
          <w:sz w:val="21"/>
        </w:rPr>
        <w:t xml:space="preserve">  </w:t>
      </w:r>
      <w:r>
        <w:rPr>
          <w:b/>
          <w:sz w:val="21"/>
        </w:rPr>
        <w:t>Overdraft Facility (ICICI Bank Ltd.):</w:t>
      </w:r>
      <w:r>
        <w:rPr>
          <w:sz w:val="21"/>
        </w:rPr>
        <w:t xml:space="preserve"> Secured On Demand against Fixed Deposit.</w:t>
      </w:r>
    </w:p>
    <w:p>
      <w:pPr>
        <w:pStyle w:val="ListBullet"/>
        <w:jc w:val="both"/>
      </w:pPr>
      <w:r>
        <w:rPr>
          <w:sz w:val="21"/>
        </w:rPr>
        <w:t xml:space="preserve">  </w:t>
      </w:r>
      <w:r>
        <w:rPr>
          <w:b/>
          <w:sz w:val="21"/>
        </w:rPr>
        <w:t>Soft Loan (the Bank):</w:t>
      </w:r>
      <w:r>
        <w:rPr>
          <w:sz w:val="21"/>
        </w:rPr>
        <w:t xml:space="preserve"> Residual Charge by way of Hypothecation on all the movable assets of the borrower including plant &amp; machinery, machinery parts, tools &amp; accessories, office equipment, furniture &amp; fixtures, acquired/to be acquired under the project.</w:t>
      </w:r>
    </w:p>
    <w:p>
      <w:pPr>
        <w:pStyle w:val="ListBullet"/>
        <w:jc w:val="both"/>
      </w:pPr>
      <w:r>
        <w:rPr>
          <w:sz w:val="21"/>
        </w:rPr>
        <w:t xml:space="preserve">  </w:t>
      </w:r>
      <w:r>
        <w:rPr>
          <w:b/>
          <w:sz w:val="21"/>
        </w:rPr>
        <w:t>Term Loan (the Bank):</w:t>
      </w:r>
      <w:r>
        <w:rPr>
          <w:sz w:val="21"/>
        </w:rPr>
        <w:t xml:space="preserve"> First Charge by way of Hypothecation on all the movable assets of the borrower including plant &amp; machinery, machinery parts, tools &amp; accessories, office equipment, furniture &amp; fixtures, acquired/to be acquired under the project. Additionally, an exclusive charge in favour of the Bank by way of hypothecation of the Company’s entire stocks of raw materials, semi-finished and finished goods, consumable stores and spares and such other movables including book-debts, bills whether documentary or clean, outstanding monies, receivables, both present and future.</w:t>
      </w:r>
    </w:p>
    <w:p>
      <w:pPr>
        <w:pStyle w:val="ListBullet"/>
        <w:jc w:val="both"/>
      </w:pPr>
      <w:r>
        <w:rPr>
          <w:sz w:val="21"/>
        </w:rPr>
        <w:t xml:space="preserve">  </w:t>
      </w:r>
      <w:r>
        <w:rPr>
          <w:b/>
          <w:sz w:val="21"/>
        </w:rPr>
        <w:t>Unsecured Loans:</w:t>
      </w:r>
      <w:r>
        <w:rPr>
          <w:sz w:val="21"/>
        </w:rPr>
        <w:t xml:space="preserve"> No specific covenants or restrictions are reported for the unsecured loans from individuals.</w:t>
      </w:r>
    </w:p>
    <w:p/>
    <w:p>
      <w:pPr>
        <w:spacing w:after="80"/>
        <w:jc w:val="both"/>
      </w:pPr>
      <w:r>
        <w:rPr>
          <w:sz w:val="21"/>
        </w:rPr>
        <w:t>No explicit financial maintenance covenants (e.g., Debt-to-Equity ratio, Debt Service Coverage Ratio, Interest Coverage Ratio) are specified in the provided covenant details.</w:t>
      </w:r>
    </w:p>
    <w:p/>
    <w:p>
      <w:r>
        <w:rPr>
          <w:b/>
          <w:color w:val="003366"/>
          <w:sz w:val="22"/>
        </w:rPr>
        <w:t>3.4 Repayment &amp; Conduct</w:t>
      </w:r>
    </w:p>
    <w:p/>
    <w:p>
      <w:pPr>
        <w:spacing w:after="80"/>
        <w:jc w:val="both"/>
      </w:pPr>
      <w:r>
        <w:rPr>
          <w:sz w:val="21"/>
        </w:rPr>
        <w:t>Based on the available information, no adverse repayment conduct or defaults have been reported for Abha Power and Steel Limited. There is no information regarding SMA (Special Mention Account) classification.</w:t>
      </w:r>
    </w:p>
    <w:p/>
    <w:p>
      <w:pPr>
        <w:pStyle w:val="Heading1"/>
        <w:spacing w:before="320" w:after="160"/>
      </w:pPr>
      <w:r>
        <w:rPr>
          <w:b/>
          <w:color w:val="003366"/>
          <w:sz w:val="26"/>
        </w:rPr>
        <w:t>SECTION 4 — RISK ASSESSMENT &amp; SECURITY</w:t>
      </w:r>
    </w:p>
    <w:p>
      <w:pPr>
        <w:pBdr>
          <w:bottom w:val="single" w:sz="6" w:space="1" w:color="003366"/>
        </w:pBdr>
      </w:pPr>
    </w:p>
    <w:p>
      <w:r>
        <w:rPr>
          <w:b/>
          <w:color w:val="003366"/>
          <w:sz w:val="24"/>
        </w:rPr>
        <w:t>Section 4 — Risk Assessment &amp; Security</w:t>
      </w:r>
    </w:p>
    <w:p/>
    <w:p>
      <w:r>
        <w:rPr>
          <w:b/>
          <w:color w:val="003366"/>
          <w:sz w:val="24"/>
        </w:rPr>
        <w:t>1. Risk Assessment</w:t>
      </w:r>
    </w:p>
    <w:p/>
    <w:p>
      <w:pPr>
        <w:spacing w:after="80"/>
        <w:jc w:val="both"/>
      </w:pPr>
      <w:r>
        <w:rPr>
          <w:sz w:val="21"/>
        </w:rPr>
        <w:t>This section identifies and assesses key risks associated with Abha Power and Steel Limited, categorised by their nature, along with their respective severity and mitigants.</w:t>
      </w:r>
    </w:p>
    <w:p/>
    <w:p>
      <w:r>
        <w:rPr>
          <w:b/>
          <w:color w:val="003366"/>
          <w:sz w:val="22"/>
        </w:rPr>
        <w:t>Financial Risk</w:t>
      </w:r>
    </w:p>
    <w:p/>
    <w:p>
      <w:pPr>
        <w:pStyle w:val="ListBullet"/>
        <w:jc w:val="both"/>
      </w:pPr>
      <w:r>
        <w:rPr>
          <w:sz w:val="21"/>
        </w:rPr>
        <w:t xml:space="preserve">  </w:t>
      </w:r>
      <w:r>
        <w:rPr>
          <w:b/>
          <w:sz w:val="21"/>
        </w:rPr>
        <w:t>Risk:</w:t>
      </w:r>
      <w:r>
        <w:rPr>
          <w:sz w:val="21"/>
        </w:rPr>
        <w:t xml:space="preserve"> Debt Service Coverage</w:t>
      </w:r>
    </w:p>
    <w:p>
      <w:pPr>
        <w:pStyle w:val="ListBullet"/>
        <w:jc w:val="both"/>
      </w:pPr>
      <w:r>
        <w:rPr>
          <w:sz w:val="21"/>
        </w:rPr>
        <w:t xml:space="preserve">  </w:t>
      </w:r>
      <w:r>
        <w:rPr>
          <w:b/>
          <w:sz w:val="21"/>
        </w:rPr>
        <w:t>Severity:</w:t>
      </w:r>
      <w:r>
        <w:rPr>
          <w:sz w:val="21"/>
        </w:rPr>
        <w:t xml:space="preserve"> High</w:t>
      </w:r>
    </w:p>
    <w:p>
      <w:pPr>
        <w:pStyle w:val="ListBullet"/>
        <w:jc w:val="both"/>
      </w:pPr>
      <w:r>
        <w:rPr>
          <w:sz w:val="21"/>
        </w:rPr>
        <w:t xml:space="preserve">  </w:t>
      </w:r>
      <w:r>
        <w:rPr>
          <w:b/>
          <w:sz w:val="21"/>
        </w:rPr>
        <w:t>Description:</w:t>
      </w:r>
      <w:r>
        <w:rPr>
          <w:sz w:val="21"/>
        </w:rPr>
        <w:t xml:space="preserve"> The Debt Service Coverage Ratio (DSCR) stands at 0.66x, which is below 1.0x, indicating that scheduled SIDBI/ICICI principal repayments exceed current earnings cover.</w:t>
      </w:r>
    </w:p>
    <w:p>
      <w:pPr>
        <w:pStyle w:val="ListBullet"/>
        <w:jc w:val="both"/>
      </w:pPr>
      <w:r>
        <w:rPr>
          <w:sz w:val="21"/>
        </w:rPr>
        <w:t xml:space="preserve">  </w:t>
      </w:r>
      <w:r>
        <w:rPr>
          <w:b/>
          <w:sz w:val="21"/>
        </w:rPr>
        <w:t>Mitigant:</w:t>
      </w:r>
      <w:r>
        <w:rPr>
          <w:sz w:val="21"/>
        </w:rPr>
        <w:t xml:space="preserve"> The company maintains a post-IPO cash buffer of INR 1,542 Lakhs, and the Debt-to-Equity (D/E) ratio has improved to 0.42.</w:t>
      </w:r>
    </w:p>
    <w:p>
      <w:pPr>
        <w:pStyle w:val="ListBullet"/>
        <w:jc w:val="both"/>
      </w:pPr>
      <w:r>
        <w:rPr>
          <w:sz w:val="21"/>
        </w:rPr>
        <w:t xml:space="preserve">  </w:t>
      </w:r>
      <w:r>
        <w:rPr>
          <w:b/>
          <w:sz w:val="21"/>
        </w:rPr>
        <w:t>Risk:</w:t>
      </w:r>
      <w:r>
        <w:rPr>
          <w:sz w:val="21"/>
        </w:rPr>
        <w:t xml:space="preserve"> Cash Flow Adequacy</w:t>
      </w:r>
    </w:p>
    <w:p>
      <w:pPr>
        <w:pStyle w:val="ListBullet"/>
        <w:jc w:val="both"/>
      </w:pPr>
      <w:r>
        <w:rPr>
          <w:sz w:val="21"/>
        </w:rPr>
        <w:t xml:space="preserve">  </w:t>
      </w:r>
      <w:r>
        <w:rPr>
          <w:b/>
          <w:sz w:val="21"/>
        </w:rPr>
        <w:t>Severity:</w:t>
      </w:r>
      <w:r>
        <w:rPr>
          <w:sz w:val="21"/>
        </w:rPr>
        <w:t xml:space="preserve"> High</w:t>
      </w:r>
    </w:p>
    <w:p>
      <w:pPr>
        <w:pStyle w:val="ListBullet"/>
        <w:jc w:val="both"/>
      </w:pPr>
      <w:r>
        <w:rPr>
          <w:sz w:val="21"/>
        </w:rPr>
        <w:t xml:space="preserve">  </w:t>
      </w:r>
      <w:r>
        <w:rPr>
          <w:b/>
          <w:sz w:val="21"/>
        </w:rPr>
        <w:t>Description:</w:t>
      </w:r>
      <w:r>
        <w:rPr>
          <w:sz w:val="21"/>
        </w:rPr>
        <w:t xml:space="preserve"> The company experienced negative Free Cash Flow (FCF) in FY25, primarily due to expansion capital expenditure.</w:t>
      </w:r>
    </w:p>
    <w:p>
      <w:pPr>
        <w:pStyle w:val="ListBullet"/>
        <w:jc w:val="both"/>
      </w:pPr>
      <w:r>
        <w:rPr>
          <w:sz w:val="21"/>
        </w:rPr>
        <w:t xml:space="preserve">  </w:t>
      </w:r>
      <w:r>
        <w:rPr>
          <w:b/>
          <w:sz w:val="21"/>
        </w:rPr>
        <w:t>Mitigant:</w:t>
      </w:r>
      <w:r>
        <w:rPr>
          <w:sz w:val="21"/>
        </w:rPr>
        <w:t xml:space="preserve"> The company maintains a post-IPO cash buffer of INR 1,542 Lakhs, and the Debt-to-Equity (D/E) ratio has improved to 0.42.</w:t>
      </w:r>
    </w:p>
    <w:p>
      <w:pPr>
        <w:pStyle w:val="ListBullet"/>
        <w:jc w:val="both"/>
      </w:pPr>
      <w:r>
        <w:rPr>
          <w:sz w:val="21"/>
        </w:rPr>
        <w:t xml:space="preserve">  </w:t>
      </w:r>
      <w:r>
        <w:rPr>
          <w:b/>
          <w:sz w:val="21"/>
        </w:rPr>
        <w:t>Risk:</w:t>
      </w:r>
      <w:r>
        <w:rPr>
          <w:sz w:val="21"/>
        </w:rPr>
        <w:t xml:space="preserve"> Working Capital / Inventory Build-up</w:t>
      </w:r>
    </w:p>
    <w:p>
      <w:pPr>
        <w:pStyle w:val="ListBullet"/>
        <w:jc w:val="both"/>
      </w:pPr>
      <w:r>
        <w:rPr>
          <w:sz w:val="21"/>
        </w:rPr>
        <w:t xml:space="preserve">  </w:t>
      </w:r>
      <w:r>
        <w:rPr>
          <w:b/>
          <w:sz w:val="21"/>
        </w:rPr>
        <w:t>Severity:</w:t>
      </w:r>
      <w:r>
        <w:rPr>
          <w:sz w:val="21"/>
        </w:rPr>
        <w:t xml:space="preserve"> Moderate</w:t>
      </w:r>
    </w:p>
    <w:p>
      <w:pPr>
        <w:pStyle w:val="ListBullet"/>
        <w:jc w:val="both"/>
      </w:pPr>
      <w:r>
        <w:rPr>
          <w:sz w:val="21"/>
        </w:rPr>
        <w:t xml:space="preserve">  </w:t>
      </w:r>
      <w:r>
        <w:rPr>
          <w:b/>
          <w:sz w:val="21"/>
        </w:rPr>
        <w:t>Description:</w:t>
      </w:r>
      <w:r>
        <w:rPr>
          <w:sz w:val="21"/>
        </w:rPr>
        <w:t xml:space="preserve"> Inventories increased to INR 2,347 Lakhs, resulting in an inventory turnover of 3.39x (approximately 108 days), which ties up working capital.</w:t>
      </w:r>
    </w:p>
    <w:p>
      <w:pPr>
        <w:pStyle w:val="ListBullet"/>
        <w:jc w:val="both"/>
      </w:pPr>
      <w:r>
        <w:rPr>
          <w:sz w:val="21"/>
        </w:rPr>
        <w:t xml:space="preserve">  </w:t>
      </w:r>
      <w:r>
        <w:rPr>
          <w:b/>
          <w:sz w:val="21"/>
        </w:rPr>
        <w:t>Mitigant:</w:t>
      </w:r>
      <w:r>
        <w:rPr>
          <w:sz w:val="21"/>
        </w:rPr>
        <w:t xml:space="preserve"> The company employs demand-based planning and net realisable value provisioning for inventory.</w:t>
      </w:r>
    </w:p>
    <w:p>
      <w:pPr>
        <w:pStyle w:val="ListBullet"/>
        <w:jc w:val="both"/>
      </w:pPr>
      <w:r>
        <w:rPr>
          <w:sz w:val="21"/>
        </w:rPr>
        <w:t xml:space="preserve">  </w:t>
      </w:r>
      <w:r>
        <w:rPr>
          <w:b/>
          <w:sz w:val="21"/>
        </w:rPr>
        <w:t>Risk:</w:t>
      </w:r>
      <w:r>
        <w:rPr>
          <w:sz w:val="21"/>
        </w:rPr>
        <w:t xml:space="preserve"> Small Scale / Financial Strength</w:t>
      </w:r>
    </w:p>
    <w:p>
      <w:pPr>
        <w:pStyle w:val="ListBullet"/>
        <w:jc w:val="both"/>
      </w:pPr>
      <w:r>
        <w:rPr>
          <w:sz w:val="21"/>
        </w:rPr>
        <w:t xml:space="preserve">  </w:t>
      </w:r>
      <w:r>
        <w:rPr>
          <w:b/>
          <w:sz w:val="21"/>
        </w:rPr>
        <w:t>Severity:</w:t>
      </w:r>
      <w:r>
        <w:rPr>
          <w:sz w:val="21"/>
        </w:rPr>
        <w:t xml:space="preserve"> Moderate</w:t>
      </w:r>
    </w:p>
    <w:p>
      <w:pPr>
        <w:pStyle w:val="ListBullet"/>
        <w:jc w:val="both"/>
      </w:pPr>
      <w:r>
        <w:rPr>
          <w:sz w:val="21"/>
        </w:rPr>
        <w:t xml:space="preserve">  </w:t>
      </w:r>
      <w:r>
        <w:rPr>
          <w:b/>
          <w:sz w:val="21"/>
        </w:rPr>
        <w:t>Description:</w:t>
      </w:r>
      <w:r>
        <w:rPr>
          <w:sz w:val="21"/>
        </w:rPr>
        <w:t xml:space="preserve"> The company operates on a relatively small scale, which can limit its financial resilience and access to capital.</w:t>
      </w:r>
    </w:p>
    <w:p>
      <w:pPr>
        <w:pStyle w:val="ListBullet"/>
        <w:jc w:val="both"/>
      </w:pPr>
      <w:r>
        <w:rPr>
          <w:sz w:val="21"/>
        </w:rPr>
        <w:t xml:space="preserve">  </w:t>
      </w:r>
      <w:r>
        <w:rPr>
          <w:b/>
          <w:sz w:val="21"/>
        </w:rPr>
        <w:t>Mitigant:</w:t>
      </w:r>
      <w:r>
        <w:rPr>
          <w:sz w:val="21"/>
        </w:rPr>
        <w:t xml:space="preserve"> The company has a net worth of INR 5,084 Lakhs, a healthy Debt-to-Equity (D/E) ratio of 0.42, and liquidity of INR 1,542 Lakhs.</w:t>
      </w:r>
    </w:p>
    <w:p>
      <w:pPr>
        <w:pStyle w:val="ListBullet"/>
        <w:jc w:val="both"/>
      </w:pPr>
      <w:r>
        <w:rPr>
          <w:sz w:val="21"/>
        </w:rPr>
        <w:t xml:space="preserve">  </w:t>
      </w:r>
      <w:r>
        <w:rPr>
          <w:b/>
          <w:sz w:val="21"/>
        </w:rPr>
        <w:t>Risk:</w:t>
      </w:r>
      <w:r>
        <w:rPr>
          <w:sz w:val="21"/>
        </w:rPr>
        <w:t xml:space="preserve"> Foreign Exchange Exposure</w:t>
      </w:r>
    </w:p>
    <w:p>
      <w:pPr>
        <w:pStyle w:val="ListBullet"/>
        <w:jc w:val="both"/>
      </w:pPr>
      <w:r>
        <w:rPr>
          <w:sz w:val="21"/>
        </w:rPr>
        <w:t xml:space="preserve">  </w:t>
      </w:r>
      <w:r>
        <w:rPr>
          <w:b/>
          <w:sz w:val="21"/>
        </w:rPr>
        <w:t>Severity:</w:t>
      </w:r>
      <w:r>
        <w:rPr>
          <w:sz w:val="21"/>
        </w:rPr>
        <w:t xml:space="preserve"> Low</w:t>
      </w:r>
    </w:p>
    <w:p>
      <w:pPr>
        <w:pStyle w:val="ListBullet"/>
        <w:jc w:val="both"/>
      </w:pPr>
      <w:r>
        <w:rPr>
          <w:sz w:val="21"/>
        </w:rPr>
        <w:t xml:space="preserve">  </w:t>
      </w:r>
      <w:r>
        <w:rPr>
          <w:b/>
          <w:sz w:val="21"/>
        </w:rPr>
        <w:t>Description:</w:t>
      </w:r>
      <w:r>
        <w:rPr>
          <w:sz w:val="21"/>
        </w:rPr>
        <w:t xml:space="preserve"> The company has unhedged foreign exchange exposure from EURO 6.15 Lakhs in export earnings and USD 30.23 Lakhs in capital-goods import outgo in FY25.</w:t>
      </w:r>
    </w:p>
    <w:p>
      <w:pPr>
        <w:pStyle w:val="ListBullet"/>
        <w:jc w:val="both"/>
      </w:pPr>
      <w:r>
        <w:rPr>
          <w:sz w:val="21"/>
        </w:rPr>
        <w:t xml:space="preserve">  </w:t>
      </w:r>
      <w:r>
        <w:rPr>
          <w:b/>
          <w:sz w:val="21"/>
        </w:rPr>
        <w:t>Mitigant:</w:t>
      </w:r>
      <w:r>
        <w:rPr>
          <w:sz w:val="21"/>
        </w:rPr>
        <w:t xml:space="preserve"> The exposure is considered immaterial relative to the company's overall scale, and its operations are predominantly domestic.</w:t>
      </w:r>
    </w:p>
    <w:p/>
    <w:p>
      <w:r>
        <w:rPr>
          <w:b/>
          <w:color w:val="003366"/>
          <w:sz w:val="22"/>
        </w:rPr>
        <w:t>Operational Risk</w:t>
      </w:r>
    </w:p>
    <w:p/>
    <w:p>
      <w:pPr>
        <w:pStyle w:val="ListBullet"/>
        <w:jc w:val="both"/>
      </w:pPr>
      <w:r>
        <w:rPr>
          <w:sz w:val="21"/>
        </w:rPr>
        <w:t xml:space="preserve">  </w:t>
      </w:r>
      <w:r>
        <w:rPr>
          <w:b/>
          <w:sz w:val="21"/>
        </w:rPr>
        <w:t>Risk:</w:t>
      </w:r>
      <w:r>
        <w:rPr>
          <w:sz w:val="21"/>
        </w:rPr>
        <w:t xml:space="preserve"> Low Capacity Utilization</w:t>
      </w:r>
    </w:p>
    <w:p>
      <w:pPr>
        <w:pStyle w:val="ListBullet"/>
        <w:jc w:val="both"/>
      </w:pPr>
      <w:r>
        <w:rPr>
          <w:sz w:val="21"/>
        </w:rPr>
        <w:t xml:space="preserve">  </w:t>
      </w:r>
      <w:r>
        <w:rPr>
          <w:b/>
          <w:sz w:val="21"/>
        </w:rPr>
        <w:t>Severity:</w:t>
      </w:r>
      <w:r>
        <w:rPr>
          <w:sz w:val="21"/>
        </w:rPr>
        <w:t xml:space="preserve"> Moderate</w:t>
      </w:r>
    </w:p>
    <w:p>
      <w:pPr>
        <w:pStyle w:val="ListBullet"/>
        <w:jc w:val="both"/>
      </w:pPr>
      <w:r>
        <w:rPr>
          <w:sz w:val="21"/>
        </w:rPr>
        <w:t xml:space="preserve">  </w:t>
      </w:r>
      <w:r>
        <w:rPr>
          <w:b/>
          <w:sz w:val="21"/>
        </w:rPr>
        <w:t>Description:</w:t>
      </w:r>
      <w:r>
        <w:rPr>
          <w:sz w:val="21"/>
        </w:rPr>
        <w:t xml:space="preserve"> FY25 output of 6,450 MT represented only approximately 45% of the 14,400 MT installed capacity, limiting operating leverage.</w:t>
      </w:r>
    </w:p>
    <w:p>
      <w:pPr>
        <w:pStyle w:val="ListBullet"/>
        <w:jc w:val="both"/>
      </w:pPr>
      <w:r>
        <w:rPr>
          <w:sz w:val="21"/>
        </w:rPr>
        <w:t xml:space="preserve">  </w:t>
      </w:r>
      <w:r>
        <w:rPr>
          <w:b/>
          <w:sz w:val="21"/>
        </w:rPr>
        <w:t>Mitigant:</w:t>
      </w:r>
      <w:r>
        <w:rPr>
          <w:sz w:val="21"/>
        </w:rPr>
        <w:t xml:space="preserve"> The company is undertaking continuous sand mixer and machine-shop additions to increase output.</w:t>
      </w:r>
    </w:p>
    <w:p>
      <w:pPr>
        <w:pStyle w:val="ListBullet"/>
        <w:jc w:val="both"/>
      </w:pPr>
      <w:r>
        <w:rPr>
          <w:sz w:val="21"/>
        </w:rPr>
        <w:t xml:space="preserve">  </w:t>
      </w:r>
      <w:r>
        <w:rPr>
          <w:b/>
          <w:sz w:val="21"/>
        </w:rPr>
        <w:t>Risk:</w:t>
      </w:r>
      <w:r>
        <w:rPr>
          <w:sz w:val="21"/>
        </w:rPr>
        <w:t xml:space="preserve"> Power &amp; Energy Supply Reliability</w:t>
      </w:r>
    </w:p>
    <w:p>
      <w:pPr>
        <w:pStyle w:val="ListBullet"/>
        <w:jc w:val="both"/>
      </w:pPr>
      <w:r>
        <w:rPr>
          <w:sz w:val="21"/>
        </w:rPr>
        <w:t xml:space="preserve">  </w:t>
      </w:r>
      <w:r>
        <w:rPr>
          <w:b/>
          <w:sz w:val="21"/>
        </w:rPr>
        <w:t>Severity:</w:t>
      </w:r>
      <w:r>
        <w:rPr>
          <w:sz w:val="21"/>
        </w:rPr>
        <w:t xml:space="preserve"> Moderate</w:t>
      </w:r>
    </w:p>
    <w:p>
      <w:pPr>
        <w:pStyle w:val="ListBullet"/>
        <w:jc w:val="both"/>
      </w:pPr>
      <w:r>
        <w:rPr>
          <w:sz w:val="21"/>
        </w:rPr>
        <w:t xml:space="preserve">  </w:t>
      </w:r>
      <w:r>
        <w:rPr>
          <w:b/>
          <w:sz w:val="21"/>
        </w:rPr>
        <w:t>Description:</w:t>
      </w:r>
      <w:r>
        <w:rPr>
          <w:sz w:val="21"/>
        </w:rPr>
        <w:t xml:space="preserve"> Energy-intensive melting operations are exposed to grid disruption and potential tariff increases.</w:t>
      </w:r>
    </w:p>
    <w:p>
      <w:pPr>
        <w:pStyle w:val="ListBullet"/>
        <w:jc w:val="both"/>
      </w:pPr>
      <w:r>
        <w:rPr>
          <w:sz w:val="21"/>
        </w:rPr>
        <w:t xml:space="preserve">  </w:t>
      </w:r>
      <w:r>
        <w:rPr>
          <w:b/>
          <w:sz w:val="21"/>
        </w:rPr>
        <w:t>Mitigant:</w:t>
      </w:r>
      <w:r>
        <w:rPr>
          <w:sz w:val="21"/>
        </w:rPr>
        <w:t xml:space="preserve"> The company operates a ~2.99 MW captive solar plant, meeting 30-35% of its energy requirements.</w:t>
      </w:r>
    </w:p>
    <w:p>
      <w:pPr>
        <w:pStyle w:val="ListBullet"/>
        <w:jc w:val="both"/>
      </w:pPr>
      <w:r>
        <w:rPr>
          <w:sz w:val="21"/>
        </w:rPr>
        <w:t xml:space="preserve">  </w:t>
      </w:r>
      <w:r>
        <w:rPr>
          <w:b/>
          <w:sz w:val="21"/>
        </w:rPr>
        <w:t>Risk:</w:t>
      </w:r>
      <w:r>
        <w:rPr>
          <w:sz w:val="21"/>
        </w:rPr>
        <w:t xml:space="preserve"> Internal Control - Audit Trail Gap</w:t>
      </w:r>
    </w:p>
    <w:p>
      <w:pPr>
        <w:pStyle w:val="ListBullet"/>
        <w:jc w:val="both"/>
      </w:pPr>
      <w:r>
        <w:rPr>
          <w:sz w:val="21"/>
        </w:rPr>
        <w:t xml:space="preserve">  </w:t>
      </w:r>
      <w:r>
        <w:rPr>
          <w:b/>
          <w:sz w:val="21"/>
        </w:rPr>
        <w:t>Severity:</w:t>
      </w:r>
      <w:r>
        <w:rPr>
          <w:sz w:val="21"/>
        </w:rPr>
        <w:t xml:space="preserve"> Moderate</w:t>
      </w:r>
    </w:p>
    <w:p>
      <w:pPr>
        <w:pStyle w:val="ListBullet"/>
        <w:jc w:val="both"/>
      </w:pPr>
      <w:r>
        <w:rPr>
          <w:sz w:val="21"/>
        </w:rPr>
        <w:t xml:space="preserve">  </w:t>
      </w:r>
      <w:r>
        <w:rPr>
          <w:b/>
          <w:sz w:val="21"/>
        </w:rPr>
        <w:t>Description:</w:t>
      </w:r>
      <w:r>
        <w:rPr>
          <w:sz w:val="21"/>
        </w:rPr>
        <w:t xml:space="preserve"> Auditors reported that the accounting software's audit-trail (edit-log) feature was not operated throughout the year for all transactions.</w:t>
      </w:r>
    </w:p>
    <w:p>
      <w:pPr>
        <w:pStyle w:val="ListBullet"/>
        <w:jc w:val="both"/>
      </w:pPr>
      <w:r>
        <w:rPr>
          <w:sz w:val="21"/>
        </w:rPr>
        <w:t xml:space="preserve">  </w:t>
      </w:r>
      <w:r>
        <w:rPr>
          <w:b/>
          <w:sz w:val="21"/>
        </w:rPr>
        <w:t>Mitigant:</w:t>
      </w:r>
      <w:r>
        <w:rPr>
          <w:sz w:val="21"/>
        </w:rPr>
        <w:t xml:space="preserve"> The company has implemented maker-checker controls and engages an independent CA firm for internal audits.</w:t>
      </w:r>
    </w:p>
    <w:p/>
    <w:p>
      <w:r>
        <w:rPr>
          <w:b/>
          <w:color w:val="003366"/>
          <w:sz w:val="22"/>
        </w:rPr>
        <w:t>Market Risk</w:t>
      </w:r>
    </w:p>
    <w:p/>
    <w:p>
      <w:pPr>
        <w:pStyle w:val="ListBullet"/>
        <w:jc w:val="both"/>
      </w:pPr>
      <w:r>
        <w:rPr>
          <w:sz w:val="21"/>
        </w:rPr>
        <w:t xml:space="preserve">  </w:t>
      </w:r>
      <w:r>
        <w:rPr>
          <w:b/>
          <w:sz w:val="21"/>
        </w:rPr>
        <w:t>Risk:</w:t>
      </w:r>
      <w:r>
        <w:rPr>
          <w:sz w:val="21"/>
        </w:rPr>
        <w:t xml:space="preserve"> Customer / Sector Concentration</w:t>
      </w:r>
    </w:p>
    <w:p>
      <w:pPr>
        <w:pStyle w:val="ListBullet"/>
        <w:jc w:val="both"/>
      </w:pPr>
      <w:r>
        <w:rPr>
          <w:sz w:val="21"/>
        </w:rPr>
        <w:t xml:space="preserve">  </w:t>
      </w:r>
      <w:r>
        <w:rPr>
          <w:b/>
          <w:sz w:val="21"/>
        </w:rPr>
        <w:t>Severity:</w:t>
      </w:r>
      <w:r>
        <w:rPr>
          <w:sz w:val="21"/>
        </w:rPr>
        <w:t xml:space="preserve"> High</w:t>
      </w:r>
    </w:p>
    <w:p>
      <w:pPr>
        <w:pStyle w:val="ListBullet"/>
        <w:jc w:val="both"/>
      </w:pPr>
      <w:r>
        <w:rPr>
          <w:sz w:val="21"/>
        </w:rPr>
        <w:t xml:space="preserve">  </w:t>
      </w:r>
      <w:r>
        <w:rPr>
          <w:b/>
          <w:sz w:val="21"/>
        </w:rPr>
        <w:t>Description:</w:t>
      </w:r>
      <w:r>
        <w:rPr>
          <w:sz w:val="21"/>
        </w:rPr>
        <w:t xml:space="preserve"> A significant portion of revenue is derived from Indian Railways, either directly or via OEMs, leading to heavy reliance on RDSO 'A'-class certification and the railway capital expenditure cycle.</w:t>
      </w:r>
    </w:p>
    <w:p>
      <w:pPr>
        <w:pStyle w:val="ListBullet"/>
        <w:jc w:val="both"/>
      </w:pPr>
      <w:r>
        <w:rPr>
          <w:sz w:val="21"/>
        </w:rPr>
        <w:t xml:space="preserve">  </w:t>
      </w:r>
      <w:r>
        <w:rPr>
          <w:b/>
          <w:sz w:val="21"/>
        </w:rPr>
        <w:t>Mitigant:</w:t>
      </w:r>
      <w:r>
        <w:rPr>
          <w:sz w:val="21"/>
        </w:rPr>
        <w:t xml:space="preserve"> The company is actively diversifying into the steel, cement, power, and mining sectors to broaden its customer base.</w:t>
      </w:r>
    </w:p>
    <w:p/>
    <w:p>
      <w:r>
        <w:rPr>
          <w:b/>
          <w:color w:val="003366"/>
          <w:sz w:val="22"/>
        </w:rPr>
        <w:t>Management Risk</w:t>
      </w:r>
    </w:p>
    <w:p/>
    <w:p>
      <w:pPr>
        <w:pStyle w:val="ListBullet"/>
        <w:jc w:val="both"/>
      </w:pPr>
      <w:r>
        <w:rPr>
          <w:sz w:val="21"/>
        </w:rPr>
        <w:t xml:space="preserve">  </w:t>
      </w:r>
      <w:r>
        <w:rPr>
          <w:b/>
          <w:sz w:val="21"/>
        </w:rPr>
        <w:t>Risk:</w:t>
      </w:r>
      <w:r>
        <w:rPr>
          <w:sz w:val="21"/>
        </w:rPr>
        <w:t xml:space="preserve"> Promoter / Key-Person Dependence</w:t>
      </w:r>
    </w:p>
    <w:p>
      <w:pPr>
        <w:pStyle w:val="ListBullet"/>
        <w:jc w:val="both"/>
      </w:pPr>
      <w:r>
        <w:rPr>
          <w:sz w:val="21"/>
        </w:rPr>
        <w:t xml:space="preserve">  </w:t>
      </w:r>
      <w:r>
        <w:rPr>
          <w:b/>
          <w:sz w:val="21"/>
        </w:rPr>
        <w:t>Severity:</w:t>
      </w:r>
      <w:r>
        <w:rPr>
          <w:sz w:val="21"/>
        </w:rPr>
        <w:t xml:space="preserve"> Moderate</w:t>
      </w:r>
    </w:p>
    <w:p>
      <w:pPr>
        <w:pStyle w:val="ListBullet"/>
        <w:jc w:val="both"/>
      </w:pPr>
      <w:r>
        <w:rPr>
          <w:sz w:val="21"/>
        </w:rPr>
        <w:t xml:space="preserve">  </w:t>
      </w:r>
      <w:r>
        <w:rPr>
          <w:b/>
          <w:sz w:val="21"/>
        </w:rPr>
        <w:t>Description:</w:t>
      </w:r>
      <w:r>
        <w:rPr>
          <w:sz w:val="21"/>
        </w:rPr>
        <w:t xml:space="preserve"> The company's strategy and operations are highly centred on the promoter family (MD Atish Agrawal, WTD Satish Kumar Shah).</w:t>
      </w:r>
    </w:p>
    <w:p>
      <w:pPr>
        <w:pStyle w:val="ListBullet"/>
        <w:jc w:val="both"/>
      </w:pPr>
      <w:r>
        <w:rPr>
          <w:sz w:val="21"/>
        </w:rPr>
        <w:t xml:space="preserve">  </w:t>
      </w:r>
      <w:r>
        <w:rPr>
          <w:b/>
          <w:sz w:val="21"/>
        </w:rPr>
        <w:t>Mitigant:</w:t>
      </w:r>
      <w:r>
        <w:rPr>
          <w:sz w:val="21"/>
        </w:rPr>
        <w:t xml:space="preserve"> The company benefits from an experienced board, with independent directors and committees in place to ensure robust governance.</w:t>
      </w:r>
    </w:p>
    <w:p>
      <w:pPr>
        <w:pStyle w:val="ListBullet"/>
        <w:jc w:val="both"/>
      </w:pPr>
      <w:r>
        <w:rPr>
          <w:sz w:val="21"/>
        </w:rPr>
        <w:t xml:space="preserve">  </w:t>
      </w:r>
      <w:r>
        <w:rPr>
          <w:b/>
          <w:sz w:val="21"/>
        </w:rPr>
        <w:t>Risk:</w:t>
      </w:r>
      <w:r>
        <w:rPr>
          <w:sz w:val="21"/>
        </w:rPr>
        <w:t xml:space="preserve"> Recent-Listing / Governance Maturity</w:t>
      </w:r>
    </w:p>
    <w:p>
      <w:pPr>
        <w:pStyle w:val="ListBullet"/>
        <w:jc w:val="both"/>
      </w:pPr>
      <w:r>
        <w:rPr>
          <w:sz w:val="21"/>
        </w:rPr>
        <w:t xml:space="preserve">  </w:t>
      </w:r>
      <w:r>
        <w:rPr>
          <w:b/>
          <w:sz w:val="21"/>
        </w:rPr>
        <w:t>Severity:</w:t>
      </w:r>
      <w:r>
        <w:rPr>
          <w:sz w:val="21"/>
        </w:rPr>
        <w:t xml:space="preserve"> Moderate</w:t>
      </w:r>
    </w:p>
    <w:p>
      <w:pPr>
        <w:pStyle w:val="ListBullet"/>
        <w:jc w:val="both"/>
      </w:pPr>
      <w:r>
        <w:rPr>
          <w:sz w:val="21"/>
        </w:rPr>
        <w:t xml:space="preserve">  </w:t>
      </w:r>
      <w:r>
        <w:rPr>
          <w:b/>
          <w:sz w:val="21"/>
        </w:rPr>
        <w:t>Description:</w:t>
      </w:r>
      <w:r>
        <w:rPr>
          <w:sz w:val="21"/>
        </w:rPr>
        <w:t xml:space="preserve"> As a newly listed SME (December 2024), several SEBI LODR provisions are not yet applicable, indicating a maturing governance framework.</w:t>
      </w:r>
    </w:p>
    <w:p>
      <w:pPr>
        <w:pStyle w:val="ListBullet"/>
        <w:jc w:val="both"/>
      </w:pPr>
      <w:r>
        <w:rPr>
          <w:sz w:val="21"/>
        </w:rPr>
        <w:t xml:space="preserve">  </w:t>
      </w:r>
      <w:r>
        <w:rPr>
          <w:b/>
          <w:sz w:val="21"/>
        </w:rPr>
        <w:t>Mitigant:</w:t>
      </w:r>
      <w:r>
        <w:rPr>
          <w:sz w:val="21"/>
        </w:rPr>
        <w:t xml:space="preserve"> The company has adopted voluntary committees, a vigil mechanism, and an insider-trading code to enhance governance.</w:t>
      </w:r>
    </w:p>
    <w:p/>
    <w:p>
      <w:r>
        <w:rPr>
          <w:b/>
          <w:color w:val="003366"/>
          <w:sz w:val="22"/>
        </w:rPr>
        <w:t>Compliance Risk</w:t>
      </w:r>
    </w:p>
    <w:p/>
    <w:p>
      <w:pPr>
        <w:pStyle w:val="ListBullet"/>
        <w:jc w:val="both"/>
      </w:pPr>
      <w:r>
        <w:rPr>
          <w:sz w:val="21"/>
        </w:rPr>
        <w:t xml:space="preserve">  </w:t>
      </w:r>
      <w:r>
        <w:rPr>
          <w:b/>
          <w:sz w:val="21"/>
        </w:rPr>
        <w:t>Risk:</w:t>
      </w:r>
      <w:r>
        <w:rPr>
          <w:sz w:val="21"/>
        </w:rPr>
        <w:t xml:space="preserve"> Regulatory &amp; Environmental Compliance</w:t>
      </w:r>
    </w:p>
    <w:p>
      <w:pPr>
        <w:pStyle w:val="ListBullet"/>
        <w:jc w:val="both"/>
      </w:pPr>
      <w:r>
        <w:rPr>
          <w:sz w:val="21"/>
        </w:rPr>
        <w:t xml:space="preserve">  </w:t>
      </w:r>
      <w:r>
        <w:rPr>
          <w:b/>
          <w:sz w:val="21"/>
        </w:rPr>
        <w:t>Severity:</w:t>
      </w:r>
      <w:r>
        <w:rPr>
          <w:sz w:val="21"/>
        </w:rPr>
        <w:t xml:space="preserve"> Moderate</w:t>
      </w:r>
    </w:p>
    <w:p>
      <w:pPr>
        <w:pStyle w:val="ListBullet"/>
        <w:jc w:val="both"/>
      </w:pPr>
      <w:r>
        <w:rPr>
          <w:sz w:val="21"/>
        </w:rPr>
        <w:t xml:space="preserve">  </w:t>
      </w:r>
      <w:r>
        <w:rPr>
          <w:b/>
          <w:sz w:val="21"/>
        </w:rPr>
        <w:t>Description:</w:t>
      </w:r>
      <w:r>
        <w:rPr>
          <w:sz w:val="21"/>
        </w:rPr>
        <w:t xml:space="preserve"> The company is subject to various environmental regulations (Air/Water/Environment Protection Acts) and Mines &amp; Minerals laws, with potential penalties for breaches.</w:t>
      </w:r>
    </w:p>
    <w:p>
      <w:pPr>
        <w:pStyle w:val="ListBullet"/>
        <w:jc w:val="both"/>
      </w:pPr>
      <w:r>
        <w:rPr>
          <w:sz w:val="21"/>
        </w:rPr>
        <w:t xml:space="preserve">  </w:t>
      </w:r>
      <w:r>
        <w:rPr>
          <w:b/>
          <w:sz w:val="21"/>
        </w:rPr>
        <w:t>Mitigant:</w:t>
      </w:r>
      <w:r>
        <w:rPr>
          <w:sz w:val="21"/>
        </w:rPr>
        <w:t xml:space="preserve"> The company holds ISO 14001 &amp; ISO 45001 certifications and employs Zero Liquid Discharge (ZLD) systems, scrubbers, and bag filters.</w:t>
      </w:r>
    </w:p>
    <w:p>
      <w:pPr>
        <w:pStyle w:val="ListBullet"/>
        <w:jc w:val="both"/>
      </w:pPr>
      <w:r>
        <w:rPr>
          <w:sz w:val="21"/>
        </w:rPr>
        <w:t xml:space="preserve">  </w:t>
      </w:r>
      <w:r>
        <w:rPr>
          <w:b/>
          <w:sz w:val="21"/>
        </w:rPr>
        <w:t>Risk:</w:t>
      </w:r>
      <w:r>
        <w:rPr>
          <w:sz w:val="21"/>
        </w:rPr>
        <w:t xml:space="preserve"> CSR Compliance Shortfall</w:t>
      </w:r>
    </w:p>
    <w:p>
      <w:pPr>
        <w:pStyle w:val="ListBullet"/>
        <w:jc w:val="both"/>
      </w:pPr>
      <w:r>
        <w:rPr>
          <w:sz w:val="21"/>
        </w:rPr>
        <w:t xml:space="preserve">  </w:t>
      </w:r>
      <w:r>
        <w:rPr>
          <w:b/>
          <w:sz w:val="21"/>
        </w:rPr>
        <w:t>Severity:</w:t>
      </w:r>
      <w:r>
        <w:rPr>
          <w:sz w:val="21"/>
        </w:rPr>
        <w:t xml:space="preserve"> Low</w:t>
      </w:r>
    </w:p>
    <w:p>
      <w:pPr>
        <w:pStyle w:val="ListBullet"/>
        <w:jc w:val="both"/>
      </w:pPr>
      <w:r>
        <w:rPr>
          <w:sz w:val="21"/>
        </w:rPr>
        <w:t xml:space="preserve">  </w:t>
      </w:r>
      <w:r>
        <w:rPr>
          <w:b/>
          <w:sz w:val="21"/>
        </w:rPr>
        <w:t>Description:</w:t>
      </w:r>
      <w:r>
        <w:rPr>
          <w:sz w:val="21"/>
        </w:rPr>
        <w:t xml:space="preserve"> Unspent Corporate Social Responsibility (CSR) amount of INR 4.67 Lakhs was transferred to PMNRF only on 20-August-2025, flagged as a CARO exception.</w:t>
      </w:r>
    </w:p>
    <w:p>
      <w:pPr>
        <w:pStyle w:val="ListBullet"/>
        <w:jc w:val="both"/>
      </w:pPr>
      <w:r>
        <w:rPr>
          <w:sz w:val="21"/>
        </w:rPr>
        <w:t xml:space="preserve">  </w:t>
      </w:r>
      <w:r>
        <w:rPr>
          <w:b/>
          <w:sz w:val="21"/>
        </w:rPr>
        <w:t>Mitigant:</w:t>
      </w:r>
      <w:r>
        <w:rPr>
          <w:sz w:val="21"/>
        </w:rPr>
        <w:t xml:space="preserve"> The amount has since been transferred, resulting in nil unspent CSR as of the report date.</w:t>
      </w:r>
    </w:p>
    <w:p/>
    <w:p>
      <w:r>
        <w:rPr>
          <w:b/>
          <w:color w:val="003366"/>
          <w:sz w:val="22"/>
        </w:rPr>
        <w:t>External Risk</w:t>
      </w:r>
    </w:p>
    <w:p/>
    <w:p>
      <w:pPr>
        <w:pStyle w:val="ListBullet"/>
        <w:jc w:val="both"/>
      </w:pPr>
      <w:r>
        <w:rPr>
          <w:sz w:val="21"/>
        </w:rPr>
        <w:t xml:space="preserve">  </w:t>
      </w:r>
      <w:r>
        <w:rPr>
          <w:b/>
          <w:sz w:val="21"/>
        </w:rPr>
        <w:t>Risk:</w:t>
      </w:r>
      <w:r>
        <w:rPr>
          <w:sz w:val="21"/>
        </w:rPr>
        <w:t xml:space="preserve"> Raw Material &amp; Energy Price Volatility</w:t>
      </w:r>
    </w:p>
    <w:p>
      <w:pPr>
        <w:pStyle w:val="ListBullet"/>
        <w:jc w:val="both"/>
      </w:pPr>
      <w:r>
        <w:rPr>
          <w:sz w:val="21"/>
        </w:rPr>
        <w:t xml:space="preserve">  </w:t>
      </w:r>
      <w:r>
        <w:rPr>
          <w:b/>
          <w:sz w:val="21"/>
        </w:rPr>
        <w:t>Severity:</w:t>
      </w:r>
      <w:r>
        <w:rPr>
          <w:sz w:val="21"/>
        </w:rPr>
        <w:t xml:space="preserve"> High</w:t>
      </w:r>
    </w:p>
    <w:p>
      <w:pPr>
        <w:pStyle w:val="ListBullet"/>
        <w:jc w:val="both"/>
      </w:pPr>
      <w:r>
        <w:rPr>
          <w:sz w:val="21"/>
        </w:rPr>
        <w:t xml:space="preserve">  </w:t>
      </w:r>
      <w:r>
        <w:rPr>
          <w:b/>
          <w:sz w:val="21"/>
        </w:rPr>
        <w:t>Description:</w:t>
      </w:r>
      <w:r>
        <w:rPr>
          <w:sz w:val="21"/>
        </w:rPr>
        <w:t xml:space="preserve"> Pig iron, scrap, ferro-alloys, and power costs remained volatile in FY25, leading to input-cost swings that can compress margins.</w:t>
      </w:r>
    </w:p>
    <w:p>
      <w:pPr>
        <w:pStyle w:val="ListBullet"/>
        <w:jc w:val="both"/>
      </w:pPr>
      <w:r>
        <w:rPr>
          <w:sz w:val="21"/>
        </w:rPr>
        <w:t xml:space="preserve">  </w:t>
      </w:r>
      <w:r>
        <w:rPr>
          <w:b/>
          <w:sz w:val="21"/>
        </w:rPr>
        <w:t>Mitigant:</w:t>
      </w:r>
      <w:r>
        <w:rPr>
          <w:sz w:val="21"/>
        </w:rPr>
        <w:t xml:space="preserve"> The company employs long-term supply contracts, forward purchases, and multi-source sourcing strategies.</w:t>
      </w:r>
    </w:p>
    <w:p>
      <w:pPr>
        <w:pStyle w:val="ListBullet"/>
        <w:jc w:val="both"/>
      </w:pPr>
      <w:r>
        <w:rPr>
          <w:sz w:val="21"/>
        </w:rPr>
        <w:t xml:space="preserve">  </w:t>
      </w:r>
      <w:r>
        <w:rPr>
          <w:b/>
          <w:sz w:val="21"/>
        </w:rPr>
        <w:t>Risk:</w:t>
      </w:r>
      <w:r>
        <w:rPr>
          <w:sz w:val="21"/>
        </w:rPr>
        <w:t xml:space="preserve"> Industry Cyclicality &amp; Competition</w:t>
      </w:r>
    </w:p>
    <w:p>
      <w:pPr>
        <w:pStyle w:val="ListBullet"/>
        <w:jc w:val="both"/>
      </w:pPr>
      <w:r>
        <w:rPr>
          <w:sz w:val="21"/>
        </w:rPr>
        <w:t xml:space="preserve">  </w:t>
      </w:r>
      <w:r>
        <w:rPr>
          <w:b/>
          <w:sz w:val="21"/>
        </w:rPr>
        <w:t>Severity:</w:t>
      </w:r>
      <w:r>
        <w:rPr>
          <w:sz w:val="21"/>
        </w:rPr>
        <w:t xml:space="preserve"> High</w:t>
      </w:r>
    </w:p>
    <w:p>
      <w:pPr>
        <w:pStyle w:val="ListBullet"/>
        <w:jc w:val="both"/>
      </w:pPr>
      <w:r>
        <w:rPr>
          <w:sz w:val="21"/>
        </w:rPr>
        <w:t xml:space="preserve">  </w:t>
      </w:r>
      <w:r>
        <w:rPr>
          <w:b/>
          <w:sz w:val="21"/>
        </w:rPr>
        <w:t>Description:</w:t>
      </w:r>
      <w:r>
        <w:rPr>
          <w:sz w:val="21"/>
        </w:rPr>
        <w:t xml:space="preserve"> Demand for steel casting is cyclical and the company faces competition from SMEs and potential substitution by lightweight materials.</w:t>
      </w:r>
    </w:p>
    <w:p>
      <w:pPr>
        <w:pStyle w:val="ListBullet"/>
        <w:jc w:val="both"/>
      </w:pPr>
      <w:r>
        <w:rPr>
          <w:sz w:val="21"/>
        </w:rPr>
        <w:t xml:space="preserve">  </w:t>
      </w:r>
      <w:r>
        <w:rPr>
          <w:b/>
          <w:sz w:val="21"/>
        </w:rPr>
        <w:t>Mitigant:</w:t>
      </w:r>
      <w:r>
        <w:rPr>
          <w:sz w:val="21"/>
        </w:rPr>
        <w:t xml:space="preserve"> The company offers a diversified product portfolio of over 1,000 items across various sectors.</w:t>
      </w:r>
    </w:p>
    <w:p/>
    <w:p>
      <w:r>
        <w:rPr>
          <w:b/>
          <w:color w:val="003366"/>
          <w:sz w:val="24"/>
        </w:rPr>
        <w:t>2. SAVE Risk Rating</w:t>
      </w:r>
    </w:p>
    <w:p/>
    <w:p>
      <w:pPr>
        <w:spacing w:after="80"/>
        <w:jc w:val="both"/>
      </w:pPr>
      <w:r>
        <w:rPr>
          <w:sz w:val="21"/>
        </w:rPr>
        <w:t xml:space="preserve">The company's overall SAVE Risk Rating is </w:t>
      </w:r>
      <w:r>
        <w:rPr>
          <w:b/>
          <w:sz w:val="21"/>
        </w:rPr>
        <w:t>MODERATE RISK</w:t>
      </w:r>
      <w:r>
        <w:rPr>
          <w:sz w:val="21"/>
        </w:rPr>
        <w:t xml:space="preserve">, with a composite score of </w:t>
      </w:r>
      <w:r>
        <w:rPr>
          <w:b/>
          <w:sz w:val="21"/>
        </w:rPr>
        <w:t>6.20</w:t>
      </w:r>
      <w:r>
        <w:rPr>
          <w:sz w:val="21"/>
        </w:rPr>
        <w:t xml:space="preserve"> as of March 31, 2025. There is no previous rating or rating movement recorded.</w:t>
      </w:r>
    </w:p>
    <w:p/>
    <w:p>
      <w:pPr>
        <w:spacing w:after="80"/>
        <w:jc w:val="both"/>
      </w:pPr>
      <w:r>
        <w:rPr>
          <w:sz w:val="21"/>
        </w:rPr>
        <w:t>This 'MODERATE RISK' rating implies that Abha Power and Steel Limited exhibits an acceptable level of creditworthiness, but with certain identifiable vulnerabilities that warrant ongoing monitoring. While the company demonstrates strengths in areas such as profitability, asset quality, and financial strength, the rating is tempered by concerns regarding cash flow adequacy (DSCR 0.66x), customer concentration, and the cyclical nature of its industry.</w:t>
      </w:r>
    </w:p>
    <w:p/>
    <w:p>
      <w:pPr>
        <w:spacing w:after="80"/>
        <w:jc w:val="both"/>
      </w:pPr>
      <w:r>
        <w:rPr>
          <w:sz w:val="21"/>
        </w:rPr>
        <w:t>The sub-scores contributing to the composite rating are as follows:</w:t>
      </w:r>
    </w:p>
    <w:p/>
    <w:p>
      <w:pPr>
        <w:pStyle w:val="ListBullet"/>
        <w:jc w:val="both"/>
      </w:pPr>
      <w:r>
        <w:rPr>
          <w:sz w:val="21"/>
        </w:rPr>
        <w:t xml:space="preserve">  </w:t>
      </w:r>
      <w:r>
        <w:rPr>
          <w:b/>
          <w:sz w:val="21"/>
        </w:rPr>
        <w:t>Financial Strength:</w:t>
      </w:r>
      <w:r>
        <w:rPr>
          <w:sz w:val="21"/>
        </w:rPr>
        <w:t xml:space="preserve"> Raw Score 7, Weighted Score 1.75</w:t>
      </w:r>
    </w:p>
    <w:p>
      <w:pPr>
        <w:pStyle w:val="ListBullet"/>
        <w:jc w:val="both"/>
      </w:pPr>
      <w:r>
        <w:rPr>
          <w:sz w:val="21"/>
        </w:rPr>
        <w:t xml:space="preserve">  </w:t>
      </w:r>
      <w:r>
        <w:rPr>
          <w:b/>
          <w:sz w:val="21"/>
        </w:rPr>
        <w:t>Profitability &amp; Growth:</w:t>
      </w:r>
      <w:r>
        <w:rPr>
          <w:sz w:val="21"/>
        </w:rPr>
        <w:t xml:space="preserve"> Raw Score 7, Weighted Score 1.40</w:t>
      </w:r>
    </w:p>
    <w:p>
      <w:pPr>
        <w:pStyle w:val="ListBullet"/>
        <w:jc w:val="both"/>
      </w:pPr>
      <w:r>
        <w:rPr>
          <w:sz w:val="21"/>
        </w:rPr>
        <w:t xml:space="preserve">  </w:t>
      </w:r>
      <w:r>
        <w:rPr>
          <w:b/>
          <w:sz w:val="21"/>
        </w:rPr>
        <w:t>Cash Flow Adequacy:</w:t>
      </w:r>
      <w:r>
        <w:rPr>
          <w:sz w:val="21"/>
        </w:rPr>
        <w:t xml:space="preserve"> Raw Score 4, Weighted Score 0.60</w:t>
      </w:r>
    </w:p>
    <w:p>
      <w:pPr>
        <w:pStyle w:val="ListBullet"/>
        <w:jc w:val="both"/>
      </w:pPr>
      <w:r>
        <w:rPr>
          <w:sz w:val="21"/>
        </w:rPr>
        <w:t xml:space="preserve">  </w:t>
      </w:r>
      <w:r>
        <w:rPr>
          <w:b/>
          <w:sz w:val="21"/>
        </w:rPr>
        <w:t>Asset Quality:</w:t>
      </w:r>
      <w:r>
        <w:rPr>
          <w:sz w:val="21"/>
        </w:rPr>
        <w:t xml:space="preserve"> Raw Score 7, Weighted Score 0.70</w:t>
      </w:r>
    </w:p>
    <w:p>
      <w:pPr>
        <w:pStyle w:val="ListBullet"/>
        <w:jc w:val="both"/>
      </w:pPr>
      <w:r>
        <w:rPr>
          <w:sz w:val="21"/>
        </w:rPr>
        <w:t xml:space="preserve">  </w:t>
      </w:r>
      <w:r>
        <w:rPr>
          <w:b/>
          <w:sz w:val="21"/>
        </w:rPr>
        <w:t>Industry / Market Risk:</w:t>
      </w:r>
      <w:r>
        <w:rPr>
          <w:sz w:val="21"/>
        </w:rPr>
        <w:t xml:space="preserve"> Raw Score 5, Weighted Score 0.50</w:t>
      </w:r>
    </w:p>
    <w:p>
      <w:pPr>
        <w:pStyle w:val="ListBullet"/>
        <w:jc w:val="both"/>
      </w:pPr>
      <w:r>
        <w:rPr>
          <w:sz w:val="21"/>
        </w:rPr>
        <w:t xml:space="preserve">  </w:t>
      </w:r>
      <w:r>
        <w:rPr>
          <w:b/>
          <w:sz w:val="21"/>
        </w:rPr>
        <w:t>Management Quality:</w:t>
      </w:r>
      <w:r>
        <w:rPr>
          <w:sz w:val="21"/>
        </w:rPr>
        <w:t xml:space="preserve"> Raw Score 6, Weighted Score 0.60</w:t>
      </w:r>
    </w:p>
    <w:p>
      <w:pPr>
        <w:pStyle w:val="ListBullet"/>
        <w:jc w:val="both"/>
      </w:pPr>
      <w:r>
        <w:rPr>
          <w:sz w:val="21"/>
        </w:rPr>
        <w:t xml:space="preserve">  </w:t>
      </w:r>
      <w:r>
        <w:rPr>
          <w:b/>
          <w:sz w:val="21"/>
        </w:rPr>
        <w:t>Compliance &amp; Legal:</w:t>
      </w:r>
      <w:r>
        <w:rPr>
          <w:sz w:val="21"/>
        </w:rPr>
        <w:t xml:space="preserve"> Raw Score 6, Weighted Score 0.30</w:t>
      </w:r>
    </w:p>
    <w:p>
      <w:pPr>
        <w:pStyle w:val="ListBullet"/>
        <w:jc w:val="both"/>
      </w:pPr>
      <w:r>
        <w:rPr>
          <w:sz w:val="21"/>
        </w:rPr>
        <w:t xml:space="preserve">  </w:t>
      </w:r>
      <w:r>
        <w:rPr>
          <w:b/>
          <w:sz w:val="21"/>
        </w:rPr>
        <w:t>ESG / Sustainability:</w:t>
      </w:r>
      <w:r>
        <w:rPr>
          <w:sz w:val="21"/>
        </w:rPr>
        <w:t xml:space="preserve"> Raw Score 7, Weighted Score 0.35</w:t>
      </w:r>
    </w:p>
    <w:p/>
    <w:p>
      <w:r>
        <w:rPr>
          <w:b/>
          <w:color w:val="003366"/>
          <w:sz w:val="24"/>
        </w:rPr>
        <w:t>3. Security &amp; Collateral</w:t>
      </w:r>
    </w:p>
    <w:p/>
    <w:p>
      <w:pPr>
        <w:spacing w:after="80"/>
        <w:jc w:val="both"/>
      </w:pPr>
      <w:r>
        <w:rPr>
          <w:sz w:val="21"/>
        </w:rPr>
        <w:t>The following security and collateral arrangements are in place for Abha Power and Steel Limited:</w:t>
      </w:r>
    </w:p>
    <w:p/>
    <w:p>
      <w:r>
        <w:rPr>
          <w:b/>
          <w:color w:val="003366"/>
          <w:sz w:val="22"/>
        </w:rPr>
        <w:t>Primary Security</w:t>
      </w:r>
    </w:p>
    <w:p/>
    <w:p>
      <w:pPr>
        <w:pStyle w:val="ListBullet"/>
        <w:jc w:val="both"/>
      </w:pPr>
      <w:r>
        <w:rPr>
          <w:sz w:val="21"/>
        </w:rPr>
        <w:t xml:space="preserve">  </w:t>
      </w:r>
      <w:r>
        <w:rPr>
          <w:b/>
          <w:sz w:val="21"/>
        </w:rPr>
        <w:t>First Charge (Mortgage / Hypothecation):</w:t>
      </w:r>
      <w:r>
        <w:rPr>
          <w:sz w:val="21"/>
        </w:rPr>
        <w:t xml:space="preserve"> Immovable and movable assets, including land, building, plant, machinery, equipment, tools, spares, accessories, and all other assets acquired or proposed to be acquired under the project/scheme. (Primary Security for SIDBI Term Loans). Value: Not provided.</w:t>
      </w:r>
    </w:p>
    <w:p>
      <w:pPr>
        <w:pStyle w:val="ListBullet"/>
        <w:jc w:val="both"/>
      </w:pPr>
      <w:r>
        <w:rPr>
          <w:sz w:val="21"/>
        </w:rPr>
        <w:t xml:space="preserve">  </w:t>
      </w:r>
      <w:r>
        <w:rPr>
          <w:b/>
          <w:sz w:val="21"/>
        </w:rPr>
        <w:t>Hypothecation:</w:t>
      </w:r>
      <w:r>
        <w:rPr>
          <w:sz w:val="21"/>
        </w:rPr>
        <w:t xml:space="preserve"> All movable assets of the borrower, including plant &amp; machinery, machinery parts, tools &amp; accessories, office equipment, furniture &amp; fixtures, acquired/to be acquired under the project. (Primary Security; First charge for Term Loan &amp; Residual charge for Soft Loan). Value: Not provided.</w:t>
      </w:r>
    </w:p>
    <w:p>
      <w:pPr>
        <w:pStyle w:val="ListBullet"/>
        <w:jc w:val="both"/>
      </w:pPr>
      <w:r>
        <w:rPr>
          <w:sz w:val="21"/>
        </w:rPr>
        <w:t xml:space="preserve">  </w:t>
      </w:r>
      <w:r>
        <w:rPr>
          <w:b/>
          <w:sz w:val="21"/>
        </w:rPr>
        <w:t>Exclusive Charge (Hypothecation):</w:t>
      </w:r>
      <w:r>
        <w:rPr>
          <w:sz w:val="21"/>
        </w:rPr>
        <w:t xml:space="preserve"> The company’s entire stocks of raw materials, semi-finished and finished goods, consumable stores and spares, and such other movables including book-debts, bills (documentary or clean), outstanding monies, and receivables, both present and future. (In favour of ICICI Bank for Cash Credit). Value: Not provided.</w:t>
      </w:r>
    </w:p>
    <w:p>
      <w:pPr>
        <w:pStyle w:val="ListBullet"/>
        <w:jc w:val="both"/>
      </w:pPr>
      <w:r>
        <w:rPr>
          <w:sz w:val="21"/>
        </w:rPr>
        <w:t xml:space="preserve">  </w:t>
      </w:r>
      <w:r>
        <w:rPr>
          <w:b/>
          <w:sz w:val="21"/>
        </w:rPr>
        <w:t>Hypothecation:</w:t>
      </w:r>
      <w:r>
        <w:rPr>
          <w:sz w:val="21"/>
        </w:rPr>
        <w:t xml:space="preserve"> Entire stocks of raw materials, semi-finished and finished goods, consumable stores and spares, and such other movables including book-debts, bills (documentary or clean), outstanding monies, and receivables, both present and future. (Exclusive charge in favour of the Bank). Value: Not provided.</w:t>
      </w:r>
    </w:p>
    <w:p/>
    <w:p>
      <w:r>
        <w:rPr>
          <w:b/>
          <w:color w:val="003366"/>
          <w:sz w:val="22"/>
        </w:rPr>
        <w:t>Collateral Security</w:t>
      </w:r>
    </w:p>
    <w:p/>
    <w:p>
      <w:pPr>
        <w:pStyle w:val="ListBullet"/>
        <w:jc w:val="both"/>
      </w:pPr>
      <w:r>
        <w:rPr>
          <w:sz w:val="21"/>
        </w:rPr>
        <w:t xml:space="preserve">  </w:t>
      </w:r>
      <w:r>
        <w:rPr>
          <w:b/>
          <w:sz w:val="21"/>
        </w:rPr>
        <w:t>Second Charge (Mortgage):</w:t>
      </w:r>
      <w:r>
        <w:rPr>
          <w:sz w:val="21"/>
        </w:rPr>
        <w:t xml:space="preserve"> Property as described in the table mentioned in the guarantor property details tab. Value: INR 970.00 Lakhs.</w:t>
      </w:r>
    </w:p>
    <w:p>
      <w:pPr>
        <w:pStyle w:val="ListBullet"/>
        <w:jc w:val="both"/>
      </w:pPr>
      <w:r>
        <w:rPr>
          <w:sz w:val="21"/>
        </w:rPr>
        <w:t xml:space="preserve">  </w:t>
      </w:r>
      <w:r>
        <w:rPr>
          <w:b/>
          <w:sz w:val="21"/>
        </w:rPr>
        <w:t>Exclusive Charge (Equitable Mortgage):</w:t>
      </w:r>
      <w:r>
        <w:rPr>
          <w:sz w:val="21"/>
        </w:rPr>
        <w:t xml:space="preserve"> Commercial Vacant Land being Khasra no. 440/4 and Khasra no. 449/4, 4495, 449/7, 449/8, 450/1, 451 Mouja Bakarkuda, PHN no. 33, RNM Masturi, Vikas Khand and Tehsil Masturi, District Bilaspur, Chhattisgarh. Value: INR 250.00 Lakhs.</w:t>
      </w:r>
    </w:p>
    <w:p>
      <w:pPr>
        <w:pStyle w:val="ListBullet"/>
        <w:jc w:val="both"/>
      </w:pPr>
      <w:r>
        <w:rPr>
          <w:sz w:val="21"/>
        </w:rPr>
        <w:t xml:space="preserve">  </w:t>
      </w:r>
      <w:r>
        <w:rPr>
          <w:b/>
          <w:sz w:val="21"/>
        </w:rPr>
        <w:t>Secured Fixed Deposit:</w:t>
      </w:r>
      <w:r>
        <w:rPr>
          <w:sz w:val="21"/>
        </w:rPr>
        <w:t xml:space="preserve"> Value: INR 100.00 Lakhs. (For ICICI Bank Overdraft).</w:t>
      </w:r>
    </w:p>
    <w:p>
      <w:pPr>
        <w:pStyle w:val="ListBullet"/>
        <w:jc w:val="both"/>
      </w:pPr>
      <w:r>
        <w:rPr>
          <w:sz w:val="21"/>
        </w:rPr>
        <w:t xml:space="preserve">  </w:t>
      </w:r>
      <w:r>
        <w:rPr>
          <w:b/>
          <w:sz w:val="21"/>
        </w:rPr>
        <w:t>First Charge (Hypothecation):</w:t>
      </w:r>
      <w:r>
        <w:rPr>
          <w:sz w:val="21"/>
        </w:rPr>
        <w:t xml:space="preserve"> All the Borrower's movables (save and except stock &amp; book debts), including the movables, plant, machinery, machinery spares, tools &amp; accessories, office equipment, computers, furniture and fixtures, both present and future, created out of earlier assistance / loans. (Collateral Security for SIDBI Term Loans). Value: Not provided.</w:t>
      </w:r>
    </w:p>
    <w:p>
      <w:pPr>
        <w:pStyle w:val="ListBullet"/>
        <w:jc w:val="both"/>
      </w:pPr>
      <w:r>
        <w:rPr>
          <w:sz w:val="21"/>
        </w:rPr>
        <w:t xml:space="preserve">  </w:t>
      </w:r>
      <w:r>
        <w:rPr>
          <w:b/>
          <w:sz w:val="21"/>
        </w:rPr>
        <w:t>First Charge (Mortgage of Leasehold Rights):</w:t>
      </w:r>
      <w:r>
        <w:rPr>
          <w:sz w:val="21"/>
        </w:rPr>
        <w:t xml:space="preserve"> All immovable properties, both present and future, situated at Hardikala Village, Bilha Tahsil, Bilaspur District, bearing part of Khasra No. 657/2, area admeasuring 3,19,200 sq.ft. along with structure thereon. (Collateral Security for SIDBI Term Loans. Leasehold owner being Abha Power &amp; Steel Pvt Ltd.). Value: Not provided.</w:t>
      </w:r>
    </w:p>
    <w:p>
      <w:pPr>
        <w:pStyle w:val="ListBullet"/>
        <w:jc w:val="both"/>
      </w:pPr>
      <w:r>
        <w:rPr>
          <w:sz w:val="21"/>
        </w:rPr>
        <w:t xml:space="preserve">  </w:t>
      </w:r>
      <w:r>
        <w:rPr>
          <w:b/>
          <w:sz w:val="21"/>
        </w:rPr>
        <w:t>First Charge (Mortgage of Freehold Rights):</w:t>
      </w:r>
      <w:r>
        <w:rPr>
          <w:sz w:val="21"/>
        </w:rPr>
        <w:t xml:space="preserve"> All immovable properties both present and future situated at Kh. No. 446/1 adm. 0.417 Hect. And Kh. No. 447/1 adm. 0.230 Hect., Mouza Bakarkuda, Ph. No. 33, RIC-Masturi, Tehsil Masturi, Distt. Bilaspur (C. G.). (Collateral Security for SIDBI Term Loans). Value: Not provided.</w:t>
      </w:r>
    </w:p>
    <w:p>
      <w:pPr>
        <w:pStyle w:val="ListBullet"/>
        <w:jc w:val="both"/>
      </w:pPr>
      <w:r>
        <w:rPr>
          <w:sz w:val="21"/>
        </w:rPr>
        <w:t xml:space="preserve">  </w:t>
      </w:r>
      <w:r>
        <w:rPr>
          <w:b/>
          <w:sz w:val="21"/>
        </w:rPr>
        <w:t>First Charge (Mortgage of Freehold Rights):</w:t>
      </w:r>
      <w:r>
        <w:rPr>
          <w:sz w:val="21"/>
        </w:rPr>
        <w:t xml:space="preserve"> All immovable properties both present and future situated at Khasra No.446/2, 447/2, 448/2, 449/6, 433/3 Mauja Bakarkuda, P.H.No.33, Ra.Ni.Ma. Masturi, Vikas Khand, Evam Tehsil Masturi, Bilaspur (C.G.). (Collateral Security for SIDBI Term Loans). Value: Not provided.</w:t>
      </w:r>
    </w:p>
    <w:p>
      <w:pPr>
        <w:pStyle w:val="ListBullet"/>
        <w:jc w:val="both"/>
      </w:pPr>
      <w:r>
        <w:rPr>
          <w:sz w:val="21"/>
        </w:rPr>
        <w:t xml:space="preserve">  </w:t>
      </w:r>
      <w:r>
        <w:rPr>
          <w:b/>
          <w:sz w:val="21"/>
        </w:rPr>
        <w:t>First Charge (Mortgage of Freehold Rights):</w:t>
      </w:r>
      <w:r>
        <w:rPr>
          <w:sz w:val="21"/>
        </w:rPr>
        <w:t xml:space="preserve"> All immovable properties owned by Abha Power &amp; Steel Pvt Ltd Khasra No 432 admeasuring 0.90 Acres (0.364 Hectare) and Khasra No 448/1 admeasuring 0.58 Acres (0.235 Hectare) Located At Ph No 33, Ric-Masturi, Tehsil Masturi, District Bilaspur, Chhattisgarh (A) Kh No 447/2 Area 0.243 Hect, Kh No 448/2 Area 0.462 Hect, Kh No 449/6 Area 0.423 Hect &amp; Part Of Kh No 433/3 Area 0.114 Hect (B) Kh No 446/1 Area 0.417 Hect, Kh No 447/1 Area 0.230 Hect Including Buildings and Structures Thereon, If Any. (Collateral Security for SIDBI Term Loans). Value: Not provided.</w:t>
      </w:r>
    </w:p>
    <w:p/>
    <w:p>
      <w:r>
        <w:rPr>
          <w:b/>
          <w:color w:val="003366"/>
          <w:sz w:val="22"/>
        </w:rPr>
        <w:t>Other Charges</w:t>
      </w:r>
    </w:p>
    <w:p/>
    <w:p>
      <w:pPr>
        <w:pStyle w:val="ListBullet"/>
        <w:jc w:val="both"/>
      </w:pPr>
      <w:r>
        <w:rPr>
          <w:sz w:val="21"/>
        </w:rPr>
        <w:t xml:space="preserve">  </w:t>
      </w:r>
      <w:r>
        <w:rPr>
          <w:b/>
          <w:sz w:val="21"/>
        </w:rPr>
        <w:t>Second Charge:</w:t>
      </w:r>
      <w:r>
        <w:rPr>
          <w:sz w:val="21"/>
        </w:rPr>
        <w:t xml:space="preserve"> Assets financed under the ECLGS scheme. (To be created prior to disbursement). Value: Not provided.</w:t>
      </w:r>
    </w:p>
    <w:p>
      <w:pPr>
        <w:pStyle w:val="ListBullet"/>
        <w:jc w:val="both"/>
      </w:pPr>
      <w:r>
        <w:rPr>
          <w:sz w:val="21"/>
        </w:rPr>
        <w:t xml:space="preserve">  </w:t>
      </w:r>
      <w:r>
        <w:rPr>
          <w:b/>
          <w:sz w:val="21"/>
        </w:rPr>
        <w:t>Second Charge:</w:t>
      </w:r>
      <w:r>
        <w:rPr>
          <w:sz w:val="21"/>
        </w:rPr>
        <w:t xml:space="preserve"> Existing account. (To be created). Value: Not provided.</w:t>
      </w:r>
    </w:p>
    <w:p>
      <w:pPr>
        <w:pStyle w:val="ListBullet"/>
        <w:jc w:val="both"/>
      </w:pPr>
      <w:r>
        <w:rPr>
          <w:sz w:val="21"/>
        </w:rPr>
        <w:t xml:space="preserve">  </w:t>
      </w:r>
      <w:r>
        <w:rPr>
          <w:b/>
          <w:sz w:val="21"/>
        </w:rPr>
        <w:t>Second Ranking Charge:</w:t>
      </w:r>
      <w:r>
        <w:rPr>
          <w:sz w:val="21"/>
        </w:rPr>
        <w:t xml:space="preserve"> All existing securities created in favour of ICICI Bank for the existing facilities, with charge also to be created on the assets financed under the Facility. (As per ECLGS). Value: Not provided.</w:t>
      </w:r>
    </w:p>
    <w:p/>
    <w:p>
      <w:r>
        <w:rPr>
          <w:b/>
          <w:color w:val="003366"/>
          <w:sz w:val="24"/>
        </w:rPr>
        <w:t>4. Contingent Liabilities</w:t>
      </w:r>
    </w:p>
    <w:p/>
    <w:p>
      <w:pPr>
        <w:spacing w:after="80"/>
        <w:jc w:val="both"/>
      </w:pPr>
      <w:r>
        <w:rPr>
          <w:sz w:val="21"/>
        </w:rPr>
        <w:t>Abha Power and Steel Limited has disclosed the following contingent liabilities:</w:t>
      </w:r>
    </w:p>
    <w:p/>
    <w:p>
      <w:pPr>
        <w:pStyle w:val="ListBullet"/>
        <w:jc w:val="both"/>
      </w:pPr>
      <w:r>
        <w:rPr>
          <w:sz w:val="21"/>
        </w:rPr>
        <w:t xml:space="preserve">  </w:t>
      </w:r>
      <w:r>
        <w:rPr>
          <w:b/>
          <w:sz w:val="21"/>
        </w:rPr>
        <w:t>Pending Litigation:</w:t>
      </w:r>
      <w:r>
        <w:rPr>
          <w:sz w:val="21"/>
        </w:rPr>
        <w:t xml:space="preserve"> The company has a pending litigation as referenced in Note No. 24 to the Financial Statements. The amount associated with this litigation is not provided.</w:t>
      </w:r>
    </w:p>
    <w:p>
      <w:pPr>
        <w:pStyle w:val="ListBullet"/>
        <w:jc w:val="both"/>
      </w:pPr>
      <w:r>
        <w:rPr>
          <w:sz w:val="21"/>
        </w:rPr>
        <w:t xml:space="preserve">  </w:t>
      </w:r>
      <w:r>
        <w:rPr>
          <w:b/>
          <w:sz w:val="21"/>
        </w:rPr>
        <w:t>Income-Tax Demand:</w:t>
      </w:r>
      <w:r>
        <w:rPr>
          <w:sz w:val="21"/>
        </w:rPr>
        <w:t xml:space="preserve"> An income-tax demand of INR 31.10 Lakhs has been disclosed as a contingent liability (Note 24). This outflow is not considered probable by the company.</w:t>
      </w:r>
    </w:p>
    <w:p/>
    <w:p>
      <w:pPr>
        <w:spacing w:after="80"/>
        <w:jc w:val="both"/>
      </w:pPr>
      <w:r>
        <w:rPr>
          <w:sz w:val="21"/>
        </w:rPr>
        <w:t>No other material contingent liabilities have been identified.</w:t>
      </w:r>
    </w:p>
    <w:p/>
    <w:p>
      <w:pPr>
        <w:pStyle w:val="Heading1"/>
        <w:spacing w:before="320" w:after="160"/>
      </w:pPr>
      <w:r>
        <w:rPr>
          <w:b/>
          <w:color w:val="003366"/>
          <w:sz w:val="26"/>
        </w:rPr>
        <w:t>SECTION 5 — DATA CONSISTENCY REVIEW</w:t>
      </w:r>
    </w:p>
    <w:p>
      <w:pPr>
        <w:pBdr>
          <w:bottom w:val="single" w:sz="6" w:space="1" w:color="003366"/>
        </w:pBdr>
      </w:pPr>
    </w:p>
    <w:p>
      <w:pPr>
        <w:spacing w:after="80"/>
        <w:jc w:val="both"/>
      </w:pPr>
      <w:r>
        <w:rPr>
          <w:sz w:val="21"/>
        </w:rPr>
        <w:t>[]</w:t>
      </w:r>
    </w:p>
    <w:p/>
    <w:p>
      <w:pPr>
        <w:pStyle w:val="Heading1"/>
        <w:spacing w:before="320" w:after="160"/>
      </w:pPr>
      <w:r>
        <w:rPr>
          <w:b/>
          <w:color w:val="003366"/>
          <w:sz w:val="26"/>
        </w:rPr>
        <w:t>SECTION 6 — CREDIT STRUCTURE &amp; RECOMMENDATION</w:t>
      </w:r>
    </w:p>
    <w:p>
      <w:pPr>
        <w:pBdr>
          <w:bottom w:val="single" w:sz="6" w:space="1" w:color="003366"/>
        </w:pBdr>
      </w:pPr>
    </w:p>
    <w:p>
      <w:r>
        <w:rPr>
          <w:b/>
          <w:color w:val="003366"/>
          <w:sz w:val="24"/>
        </w:rPr>
        <w:t>5. Credit Structure &amp; Recommendation</w:t>
      </w:r>
    </w:p>
    <w:p/>
    <w:p>
      <w:r>
        <w:rPr>
          <w:b/>
          <w:color w:val="003366"/>
          <w:sz w:val="24"/>
        </w:rPr>
        <w:t>1. Proposed Credit Structure</w:t>
      </w:r>
    </w:p>
    <w:p/>
    <w:p>
      <w:pPr>
        <w:spacing w:after="80"/>
        <w:jc w:val="both"/>
      </w:pPr>
      <w:r>
        <w:rPr>
          <w:sz w:val="21"/>
        </w:rPr>
        <w:t>Based on the comprehensive credit assessment of Abha Power and Steel Limited, the following credit structure is proposed:</w:t>
      </w:r>
    </w:p>
    <w:p/>
    <w:p>
      <w:pPr>
        <w:pStyle w:val="ListBullet"/>
        <w:jc w:val="both"/>
      </w:pPr>
      <w:r>
        <w:rPr>
          <w:sz w:val="21"/>
        </w:rPr>
        <w:t xml:space="preserve">  </w:t>
      </w:r>
      <w:r>
        <w:rPr>
          <w:b/>
          <w:sz w:val="21"/>
        </w:rPr>
        <w:t>Facility Type</w:t>
      </w:r>
      <w:r>
        <w:rPr>
          <w:sz w:val="21"/>
        </w:rPr>
        <w:t>: Term Loan</w:t>
      </w:r>
    </w:p>
    <w:p>
      <w:pPr>
        <w:pStyle w:val="ListBullet"/>
        <w:jc w:val="both"/>
      </w:pPr>
      <w:r>
        <w:rPr>
          <w:sz w:val="21"/>
        </w:rPr>
        <w:t xml:space="preserve">  </w:t>
      </w:r>
      <w:r>
        <w:rPr>
          <w:b/>
          <w:sz w:val="21"/>
        </w:rPr>
        <w:t>Amount</w:t>
      </w:r>
      <w:r>
        <w:rPr>
          <w:sz w:val="21"/>
        </w:rPr>
        <w:t>: INR 500 Lakhs</w:t>
      </w:r>
    </w:p>
    <w:p>
      <w:pPr>
        <w:pStyle w:val="ListBullet"/>
        <w:jc w:val="both"/>
      </w:pPr>
      <w:r>
        <w:rPr>
          <w:sz w:val="21"/>
        </w:rPr>
        <w:t xml:space="preserve">  </w:t>
      </w:r>
      <w:r>
        <w:rPr>
          <w:b/>
          <w:sz w:val="21"/>
        </w:rPr>
        <w:t>Purpose</w:t>
      </w:r>
      <w:r>
        <w:rPr>
          <w:sz w:val="21"/>
        </w:rPr>
        <w:t>: To support capital expenditure for capacity enhancement and modernization, specifically for continuous sand mixer and machine-shop additions aimed at increasing output and improving operational efficiency, as indicated by the company's expansion plans and low capacity utilization.</w:t>
      </w:r>
    </w:p>
    <w:p>
      <w:pPr>
        <w:pStyle w:val="ListBullet"/>
        <w:jc w:val="both"/>
      </w:pPr>
      <w:r>
        <w:rPr>
          <w:sz w:val="21"/>
        </w:rPr>
        <w:t xml:space="preserve">  </w:t>
      </w:r>
      <w:r>
        <w:rPr>
          <w:b/>
          <w:sz w:val="21"/>
        </w:rPr>
        <w:t>Tenor</w:t>
      </w:r>
      <w:r>
        <w:rPr>
          <w:sz w:val="21"/>
        </w:rPr>
        <w:t>: 60 months (5 years)</w:t>
      </w:r>
    </w:p>
    <w:p>
      <w:pPr>
        <w:pStyle w:val="ListBullet"/>
        <w:jc w:val="both"/>
      </w:pPr>
      <w:r>
        <w:rPr>
          <w:sz w:val="21"/>
        </w:rPr>
        <w:t xml:space="preserve">  </w:t>
      </w:r>
      <w:r>
        <w:rPr>
          <w:b/>
          <w:sz w:val="21"/>
        </w:rPr>
        <w:t>Interest Rate</w:t>
      </w:r>
      <w:r>
        <w:rPr>
          <w:sz w:val="21"/>
        </w:rPr>
        <w:t>: 9.00% per annum, floating, linked to the Bank's prevailing Marginal Cost of Funds Based Lending Rate (MCLR) or External Benchmark Lending Rate (EBLR).</w:t>
      </w:r>
    </w:p>
    <w:p>
      <w:pPr>
        <w:pStyle w:val="ListBullet"/>
        <w:jc w:val="both"/>
      </w:pPr>
      <w:r>
        <w:rPr>
          <w:sz w:val="21"/>
        </w:rPr>
        <w:t xml:space="preserve">  </w:t>
      </w:r>
      <w:r>
        <w:rPr>
          <w:b/>
          <w:sz w:val="21"/>
        </w:rPr>
        <w:t>Repayment Schedule</w:t>
      </w:r>
      <w:r>
        <w:rPr>
          <w:sz w:val="21"/>
        </w:rPr>
        <w:t>: 60 equal monthly installments of principal, commencing one month after the first disbursement, along with accrued interest.</w:t>
      </w:r>
    </w:p>
    <w:p>
      <w:pPr>
        <w:pStyle w:val="ListBullet"/>
        <w:jc w:val="both"/>
      </w:pPr>
      <w:r>
        <w:rPr>
          <w:sz w:val="21"/>
        </w:rPr>
        <w:t xml:space="preserve">  </w:t>
      </w:r>
      <w:r>
        <w:rPr>
          <w:b/>
          <w:sz w:val="21"/>
        </w:rPr>
        <w:t>Security</w:t>
      </w:r>
      <w:r>
        <w:rPr>
          <w:sz w:val="21"/>
        </w:rPr>
        <w:t>:</w:t>
      </w:r>
    </w:p>
    <w:p>
      <w:pPr>
        <w:pStyle w:val="ListBullet"/>
        <w:jc w:val="both"/>
      </w:pPr>
      <w:r>
        <w:rPr>
          <w:sz w:val="21"/>
        </w:rPr>
        <w:t xml:space="preserve">  First Pari-Passu Charge by way of Hypothecation on the Company’s entire stocks of raw materials, semi-finished and finished goods, consumable stores and spares, and book-debts, both present and future, subject to existing charges.</w:t>
      </w:r>
    </w:p>
    <w:p>
      <w:pPr>
        <w:pStyle w:val="ListBullet"/>
        <w:jc w:val="both"/>
      </w:pPr>
      <w:r>
        <w:rPr>
          <w:sz w:val="21"/>
        </w:rPr>
        <w:t xml:space="preserve">  Second Pari-Passu Charge by way of Hypothecation on all existing and future movable assets of the borrower, including plant &amp; machinery, machinery parts, tools &amp; accessories, office equipment, furniture &amp; fixtures.</w:t>
      </w:r>
    </w:p>
    <w:p>
      <w:pPr>
        <w:pStyle w:val="ListBullet"/>
        <w:jc w:val="both"/>
      </w:pPr>
      <w:r>
        <w:rPr>
          <w:sz w:val="21"/>
        </w:rPr>
        <w:t xml:space="preserve">  Second Pari-Passu Charge by way of Mortgage on all existing and future immovable properties of the borrower.</w:t>
      </w:r>
    </w:p>
    <w:p>
      <w:pPr>
        <w:pStyle w:val="ListBullet"/>
        <w:jc w:val="both"/>
      </w:pPr>
      <w:r>
        <w:rPr>
          <w:sz w:val="21"/>
        </w:rPr>
        <w:t xml:space="preserve">  Personal Guarantees from Mr. Atish Agrawal, Mr. Ankit Agrawal, Mr. Satish Kumar Shah, Mr. Harish Kumar Shah, and Mr. Girish Kumar Shah.</w:t>
      </w:r>
    </w:p>
    <w:p>
      <w:pPr>
        <w:pStyle w:val="ListBullet"/>
        <w:jc w:val="both"/>
      </w:pPr>
      <w:r>
        <w:rPr>
          <w:sz w:val="21"/>
        </w:rPr>
        <w:t xml:space="preserve">  Corporate Guarantee from M/s Sunflower Commotrade Pvt Ltd.</w:t>
      </w:r>
    </w:p>
    <w:p/>
    <w:p>
      <w:r>
        <w:rPr>
          <w:b/>
          <w:color w:val="003366"/>
          <w:sz w:val="24"/>
        </w:rPr>
        <w:t>2. Key Conditions &amp; Covenants</w:t>
      </w:r>
    </w:p>
    <w:p/>
    <w:p>
      <w:r>
        <w:rPr>
          <w:b/>
          <w:color w:val="003366"/>
          <w:sz w:val="22"/>
        </w:rPr>
        <w:t>Conditions Precedent to Disbursement:</w:t>
      </w:r>
    </w:p>
    <w:p>
      <w:pPr>
        <w:pStyle w:val="ListBullet"/>
        <w:jc w:val="both"/>
      </w:pPr>
      <w:r>
        <w:rPr>
          <w:sz w:val="21"/>
        </w:rPr>
        <w:t xml:space="preserve">  Execution of definitive loan agreements and security documentation, satisfactory to the Bank's legal counsel.</w:t>
      </w:r>
    </w:p>
    <w:p>
      <w:pPr>
        <w:pStyle w:val="ListBullet"/>
        <w:jc w:val="both"/>
      </w:pPr>
      <w:r>
        <w:rPr>
          <w:sz w:val="21"/>
        </w:rPr>
        <w:t xml:space="preserve">  Submission of certified true copies of Board Resolutions authorizing the borrowing and creation of charges.</w:t>
      </w:r>
    </w:p>
    <w:p>
      <w:pPr>
        <w:pStyle w:val="ListBullet"/>
        <w:jc w:val="both"/>
      </w:pPr>
      <w:r>
        <w:rPr>
          <w:sz w:val="21"/>
        </w:rPr>
        <w:t xml:space="preserve">  Receipt of satisfactory legal opinion from the Borrower's counsel.</w:t>
      </w:r>
    </w:p>
    <w:p>
      <w:pPr>
        <w:pStyle w:val="ListBullet"/>
        <w:jc w:val="both"/>
      </w:pPr>
      <w:r>
        <w:rPr>
          <w:sz w:val="21"/>
        </w:rPr>
        <w:t xml:space="preserve">  Confirmation that there has been no Material Adverse Change in the financial condition or operations of Abha Power and Steel Limited since the date of the latest audited financial statements.</w:t>
      </w:r>
    </w:p>
    <w:p>
      <w:pPr>
        <w:pStyle w:val="ListBullet"/>
        <w:jc w:val="both"/>
      </w:pPr>
      <w:r>
        <w:rPr>
          <w:sz w:val="21"/>
        </w:rPr>
        <w:t xml:space="preserve">  Submission of a detailed action plan and timeline for the rectification of the audit-trail gap identified by the auditors in FY2025, along with evidence of initial steps taken towards implementation.</w:t>
      </w:r>
    </w:p>
    <w:p>
      <w:pPr>
        <w:pStyle w:val="ListBullet"/>
        <w:jc w:val="both"/>
      </w:pPr>
      <w:r>
        <w:rPr>
          <w:sz w:val="21"/>
        </w:rPr>
        <w:t xml:space="preserve">  Proof of registration of all charges with the Registrar of Companies (ROC) and other relevant authorities within the stipulated timelines.</w:t>
      </w:r>
    </w:p>
    <w:p/>
    <w:p>
      <w:r>
        <w:rPr>
          <w:b/>
          <w:color w:val="003366"/>
          <w:sz w:val="22"/>
        </w:rPr>
        <w:t>Financial Covenants:</w:t>
      </w:r>
    </w:p>
    <w:p>
      <w:pPr>
        <w:pStyle w:val="ListBullet"/>
        <w:jc w:val="both"/>
      </w:pPr>
      <w:r>
        <w:rPr>
          <w:sz w:val="21"/>
        </w:rPr>
        <w:t xml:space="preserve">  </w:t>
      </w:r>
      <w:r>
        <w:rPr>
          <w:b/>
          <w:sz w:val="21"/>
        </w:rPr>
        <w:t>Debt Service Coverage Ratio (DSCR)</w:t>
      </w:r>
      <w:r>
        <w:rPr>
          <w:sz w:val="21"/>
        </w:rPr>
        <w:t>: To be maintained at a minimum of 1.25x on a trailing twelve-month basis.</w:t>
      </w:r>
    </w:p>
    <w:p>
      <w:pPr>
        <w:pStyle w:val="ListBullet"/>
        <w:jc w:val="both"/>
      </w:pPr>
      <w:r>
        <w:rPr>
          <w:sz w:val="21"/>
        </w:rPr>
        <w:t xml:space="preserve">  </w:t>
      </w:r>
      <w:r>
        <w:rPr>
          <w:b/>
          <w:sz w:val="21"/>
        </w:rPr>
        <w:t>Debt-to-Equity Ratio (D/E)</w:t>
      </w:r>
      <w:r>
        <w:rPr>
          <w:sz w:val="21"/>
        </w:rPr>
        <w:t>: To be maintained at a maximum of 1.50x.</w:t>
      </w:r>
    </w:p>
    <w:p>
      <w:pPr>
        <w:pStyle w:val="ListBullet"/>
        <w:jc w:val="both"/>
      </w:pPr>
      <w:r>
        <w:rPr>
          <w:sz w:val="21"/>
        </w:rPr>
        <w:t xml:space="preserve">  </w:t>
      </w:r>
      <w:r>
        <w:rPr>
          <w:b/>
          <w:sz w:val="21"/>
        </w:rPr>
        <w:t>Interest Coverage Ratio (ICR)</w:t>
      </w:r>
      <w:r>
        <w:rPr>
          <w:sz w:val="21"/>
        </w:rPr>
        <w:t>: To be maintained at a minimum of 2.50x on a trailing twelve-month basis.</w:t>
      </w:r>
    </w:p>
    <w:p>
      <w:pPr>
        <w:pStyle w:val="ListBullet"/>
        <w:jc w:val="both"/>
      </w:pPr>
      <w:r>
        <w:rPr>
          <w:sz w:val="21"/>
        </w:rPr>
        <w:t xml:space="preserve">  </w:t>
      </w:r>
      <w:r>
        <w:rPr>
          <w:b/>
          <w:sz w:val="21"/>
        </w:rPr>
        <w:t>Current Ratio</w:t>
      </w:r>
      <w:r>
        <w:rPr>
          <w:sz w:val="21"/>
        </w:rPr>
        <w:t>: To be maintained at a minimum of 1.50x.</w:t>
      </w:r>
    </w:p>
    <w:p>
      <w:pPr>
        <w:pStyle w:val="ListBullet"/>
        <w:jc w:val="both"/>
      </w:pPr>
      <w:r>
        <w:rPr>
          <w:sz w:val="21"/>
        </w:rPr>
        <w:t xml:space="preserve">  </w:t>
      </w:r>
      <w:r>
        <w:rPr>
          <w:b/>
          <w:sz w:val="21"/>
        </w:rPr>
        <w:t>EBITDA Margin</w:t>
      </w:r>
      <w:r>
        <w:rPr>
          <w:sz w:val="21"/>
        </w:rPr>
        <w:t>: To be maintained at a minimum of 12.00% on a trailing twelve-month basis.</w:t>
      </w:r>
    </w:p>
    <w:p>
      <w:pPr>
        <w:pStyle w:val="ListBullet"/>
        <w:jc w:val="both"/>
      </w:pPr>
      <w:r>
        <w:rPr>
          <w:sz w:val="21"/>
        </w:rPr>
        <w:t xml:space="preserve">  </w:t>
      </w:r>
      <w:r>
        <w:rPr>
          <w:b/>
          <w:sz w:val="21"/>
        </w:rPr>
        <w:t>Inventory Days</w:t>
      </w:r>
      <w:r>
        <w:rPr>
          <w:sz w:val="21"/>
        </w:rPr>
        <w:t>: To be maintained at a maximum of 120 days.</w:t>
      </w:r>
    </w:p>
    <w:p/>
    <w:p>
      <w:r>
        <w:rPr>
          <w:b/>
          <w:color w:val="003366"/>
          <w:sz w:val="22"/>
        </w:rPr>
        <w:t>Reporting Requirements:</w:t>
      </w:r>
    </w:p>
    <w:p>
      <w:pPr>
        <w:pStyle w:val="ListBullet"/>
        <w:jc w:val="both"/>
      </w:pPr>
      <w:r>
        <w:rPr>
          <w:sz w:val="21"/>
        </w:rPr>
        <w:t xml:space="preserve">  Submission of quarterly unaudited financial statements within 45 days of quarter-end.</w:t>
      </w:r>
    </w:p>
    <w:p>
      <w:pPr>
        <w:pStyle w:val="ListBullet"/>
        <w:jc w:val="both"/>
      </w:pPr>
      <w:r>
        <w:rPr>
          <w:sz w:val="21"/>
        </w:rPr>
        <w:t xml:space="preserve">  Submission of annual audited financial statements within 120 days of fiscal year-end.</w:t>
      </w:r>
    </w:p>
    <w:p>
      <w:pPr>
        <w:pStyle w:val="ListBullet"/>
        <w:jc w:val="both"/>
      </w:pPr>
      <w:r>
        <w:rPr>
          <w:sz w:val="21"/>
        </w:rPr>
        <w:t xml:space="preserve">  Submission of annual operating plan and financial projections for the upcoming fiscal year.</w:t>
      </w:r>
    </w:p>
    <w:p>
      <w:pPr>
        <w:pStyle w:val="ListBullet"/>
        <w:jc w:val="both"/>
      </w:pPr>
      <w:r>
        <w:rPr>
          <w:sz w:val="21"/>
        </w:rPr>
        <w:t xml:space="preserve">  Detailed report on the progress of capacity utilization improvement initiatives on a semi-annual basis.</w:t>
      </w:r>
    </w:p>
    <w:p>
      <w:pPr>
        <w:pStyle w:val="ListBullet"/>
        <w:jc w:val="both"/>
      </w:pPr>
      <w:r>
        <w:rPr>
          <w:sz w:val="21"/>
        </w:rPr>
        <w:t xml:space="preserve">  Confirmation of compliance with all financial covenants, along with supporting calculations, on a quarterly basis.</w:t>
      </w:r>
    </w:p>
    <w:p>
      <w:pPr>
        <w:pStyle w:val="ListBullet"/>
        <w:jc w:val="both"/>
      </w:pPr>
      <w:r>
        <w:rPr>
          <w:sz w:val="21"/>
        </w:rPr>
        <w:t xml:space="preserve">  Report on the status of rectification of the audit-trail gap on a quarterly basis until fully resolved and confirmed by an independent auditor.</w:t>
      </w:r>
    </w:p>
    <w:p/>
    <w:p>
      <w:r>
        <w:rPr>
          <w:b/>
          <w:color w:val="003366"/>
          <w:sz w:val="24"/>
        </w:rPr>
        <w:t>3. Final Recommendation</w:t>
      </w:r>
    </w:p>
    <w:p/>
    <w:p>
      <w:pPr>
        <w:spacing w:after="80"/>
        <w:jc w:val="both"/>
      </w:pPr>
      <w:r>
        <w:rPr>
          <w:b/>
          <w:sz w:val="21"/>
        </w:rPr>
        <w:t>Approve with Conditions</w:t>
      </w:r>
    </w:p>
    <w:p/>
    <w:p>
      <w:pPr>
        <w:spacing w:after="80"/>
        <w:jc w:val="both"/>
      </w:pPr>
      <w:r>
        <w:rPr>
          <w:sz w:val="21"/>
        </w:rPr>
        <w:t xml:space="preserve">The application for a Term Loan of INR 500 Lakhs for Abha Power and Steel Limited is recommended for </w:t>
      </w:r>
      <w:r>
        <w:rPr>
          <w:b/>
          <w:sz w:val="21"/>
        </w:rPr>
        <w:t>Approval with Conditions</w:t>
      </w:r>
      <w:r>
        <w:rPr>
          <w:sz w:val="21"/>
        </w:rPr>
        <w:t>.</w:t>
      </w:r>
    </w:p>
    <w:p/>
    <w:p>
      <w:pPr>
        <w:spacing w:after="80"/>
        <w:jc w:val="both"/>
      </w:pPr>
      <w:r>
        <w:rPr>
          <w:b/>
          <w:sz w:val="21"/>
        </w:rPr>
        <w:t>Justification:</w:t>
      </w:r>
    </w:p>
    <w:p/>
    <w:p>
      <w:pPr>
        <w:spacing w:after="80"/>
        <w:jc w:val="both"/>
      </w:pPr>
      <w:r>
        <w:rPr>
          <w:sz w:val="21"/>
        </w:rPr>
        <w:t>Abha Power and Steel Limited has demonstrated a robust financial turnaround and strong operational performance in FY2025. The company recorded significant revenue growth, reaching INR 7018.03 Lakhs, a substantial increase from previous years. Profitability has also seen remarkable improvement, with PAT surging to INR 622.50 Lakhs, supported by an impressive EBITDA margin of 15.31% and PAT margin of 8.87%. Furthermore, the company's capital structure has significantly strengthened, evidenced by a healthy Debt-to-Equity ratio of 0.42x in FY2025, a considerable improvement from 1.35x in FY2024. Liquidity metrics are strong, with a Current Ratio of 3.26x and an Interest Coverage Ratio (ICR) of 5.54x. The company's SAVE rating of "MODERATE RISK" (composite score 6.20) reflects these positive trends, particularly its strong financial strength and profitability. The Unqualified Opinion issued by N B T and Co Chartered Accountants for FY2025 further underscores the integrity of its financial reporting.</w:t>
      </w:r>
    </w:p>
    <w:p/>
    <w:p>
      <w:pPr>
        <w:spacing w:after="80"/>
        <w:jc w:val="both"/>
      </w:pPr>
      <w:r>
        <w:rPr>
          <w:sz w:val="21"/>
        </w:rPr>
        <w:t>However, the recommendation for approval is conditional due to several critical areas requiring proactive management and monitoring:</w:t>
      </w:r>
    </w:p>
    <w:p/>
    <w:p>
      <w:pPr>
        <w:pStyle w:val="ListNumber"/>
        <w:jc w:val="both"/>
      </w:pPr>
      <w:r>
        <w:rPr>
          <w:sz w:val="21"/>
        </w:rPr>
        <w:t xml:space="preserve">1.  </w:t>
      </w:r>
      <w:r>
        <w:rPr>
          <w:b/>
          <w:sz w:val="21"/>
        </w:rPr>
        <w:t>Debt Service Coverage Ratio (DSCR)</w:t>
      </w:r>
      <w:r>
        <w:rPr>
          <w:sz w:val="21"/>
        </w:rPr>
        <w:t>: A primary concern is the reported DSCR of 0.66x, which falls below the acceptable threshold of 1.0x. This indicates a current challenge in generating sufficient cash flow to cover existing debt service obligations, despite the improved leverage. The proposed facility, while modest relative to the company's scale, must be structured with stringent DSCR covenants to ensure repayment capacity.</w:t>
      </w:r>
    </w:p>
    <w:p>
      <w:pPr>
        <w:pStyle w:val="ListNumber"/>
        <w:jc w:val="both"/>
      </w:pPr>
      <w:r>
        <w:rPr>
          <w:sz w:val="21"/>
        </w:rPr>
        <w:t xml:space="preserve">2.  </w:t>
      </w:r>
      <w:r>
        <w:rPr>
          <w:b/>
          <w:sz w:val="21"/>
        </w:rPr>
        <w:t>Audit Findings</w:t>
      </w:r>
      <w:r>
        <w:rPr>
          <w:sz w:val="21"/>
        </w:rPr>
        <w:t>: The auditors noted a CARO finding regarding the non-operation of the accounting software's audit-trail (edit log) facility for all relevant transactions throughout FY2025. While the overall internal controls are deemed adequate, this specific gap in audit trail functionality needs immediate and verifiable rectification to enhance financial transparency and governance.</w:t>
      </w:r>
    </w:p>
    <w:p>
      <w:pPr>
        <w:pStyle w:val="ListNumber"/>
        <w:jc w:val="both"/>
      </w:pPr>
      <w:r>
        <w:rPr>
          <w:sz w:val="21"/>
        </w:rPr>
        <w:t xml:space="preserve">3.  </w:t>
      </w:r>
      <w:r>
        <w:rPr>
          <w:b/>
          <w:sz w:val="21"/>
        </w:rPr>
        <w:t>Operational Efficiency and Working Capital Management</w:t>
      </w:r>
      <w:r>
        <w:rPr>
          <w:sz w:val="21"/>
        </w:rPr>
        <w:t>: The company's capacity utilization remains low at approximately 45% of its 14,400 MT installed capacity in FY2025, limiting its operating leverage. Additionally, an increase in inventories to INR 2,347 Lakhs, resulting in an inventory turnover of 3.39x (approximately 108 days), indicates a potential tie-up of working capital.</w:t>
      </w:r>
    </w:p>
    <w:p/>
    <w:p>
      <w:pPr>
        <w:spacing w:after="80"/>
        <w:jc w:val="both"/>
      </w:pPr>
      <w:r>
        <w:rPr>
          <w:sz w:val="21"/>
        </w:rPr>
        <w:t>The proposed financial covenants, particularly the DSCR requirement of 1.25x, are designed to directly address the identified debt servicing risk and ensure the company's ability to meet its obligations. The condition related to the audit-trail gap mandates a clear plan and execution for its resolution. The facility amount of INR 500 Lakhs is considered prudent, balancing the company's demonstrated need for expansion capital (as highlighted by negative Free Cash Flow in FY2025 due to expansion capex) with its current debt servicing challenges. The overall positive trajectory in profitability and leverage provides a strong foundation, but the identified weaknesses necessitate robust monitoring and adherence to the stipulated conditions.</w:t>
      </w:r>
    </w:p>
    <w:p/>
    <w:p>
      <w:pPr>
        <w:spacing w:after="80"/>
        <w:jc w:val="both"/>
      </w:pPr>
      <w:r>
        <w:rPr>
          <w:sz w:val="21"/>
        </w:rPr>
        <w:t>Therefore, approval is contingent upon the borrower's explicit agreement to and demonstrated compliance with all specified conditions precedent and financial covenants, which are deemed essential for mitigating identified risks and safeguarding the Bank's exposure.</w:t>
      </w:r>
    </w:p>
    <w:p/>
    <w:sectPr w:rsidR="00FC693F" w:rsidRPr="0006063C" w:rsidSect="00034616">
      <w:headerReference w:type="default" r:id="rId9"/>
      <w:footerReference w:type="default" r:id="rId10"/>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06060"/>
        <w:sz w:val="16"/>
      </w:rPr>
      <w:t>CREDIT ASSESSMENT MEMORANDUM  |  Abha Power and Steel Limited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