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Arjun Textiles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pPr>
        <w:spacing w:after="80"/>
        <w:jc w:val="both"/>
      </w:pPr>
      <w:r>
        <w:rPr>
          <w:b/>
          <w:sz w:val="21"/>
        </w:rPr>
        <w:t>Section 1: Introduction</w:t>
      </w:r>
    </w:p>
    <w:p/>
    <w:p>
      <w:r>
        <w:rPr>
          <w:b/>
          <w:color w:val="003366"/>
          <w:sz w:val="22"/>
        </w:rPr>
        <w:t>1.1 Executive Summary</w:t>
      </w:r>
    </w:p>
    <w:p>
      <w:pPr>
        <w:spacing w:after="80"/>
        <w:jc w:val="both"/>
      </w:pPr>
      <w:r>
        <w:rPr>
          <w:sz w:val="21"/>
        </w:rPr>
        <w:t>We are assessing the creditworthiness of Arjun Textiles Limited (the "Borrower") in relation to a working capital enhancement facility. This Credit Assessment Memo (CAM) outlines the key aspects of the Borrower's background, the purpose of the proposed facility, and other relevant information.</w:t>
      </w:r>
    </w:p>
    <w:p/>
    <w:p>
      <w:r>
        <w:rPr>
          <w:b/>
          <w:color w:val="003366"/>
          <w:sz w:val="22"/>
        </w:rPr>
        <w:t>1.2 Borrower Background</w:t>
      </w:r>
    </w:p>
    <w:p>
      <w:pPr>
        <w:spacing w:after="80"/>
        <w:jc w:val="both"/>
      </w:pPr>
      <w:r>
        <w:rPr>
          <w:sz w:val="21"/>
        </w:rPr>
        <w:t>Arjun Textiles Limited is a Public Limited Company incorporated in 2004, with its office located at Plot No. 14, MIDC Industrial Area, Nagpur – 440 018, Maharashtra, India. The company is engaged in the manufacture and export of cotton yarn, grey fabric, and processed fabric. The Promoters of the company are Mr. Rajesh Kumar Arjun, Chairman &amp; Managing Director, and Mrs. Sunita R. Arjun, Whole-Time Director. The key management team comprises experienced professionals, including Mr. Rajesh Kumar Arjun (CMD), Mrs. Sunita R. Arjun (WTD – Finance), Mr. Anil Choudhary (CEO), Mr. Vivek Joshi (CFO), and Ms. Priya Nair (Company Secretary).</w:t>
      </w:r>
    </w:p>
    <w:p/>
    <w:p>
      <w:r>
        <w:rPr>
          <w:b/>
          <w:color w:val="003366"/>
          <w:sz w:val="22"/>
        </w:rPr>
        <w:t>1.3 Purpose of Facility</w:t>
      </w:r>
    </w:p>
    <w:p>
      <w:pPr>
        <w:spacing w:after="80"/>
        <w:jc w:val="both"/>
      </w:pPr>
      <w:r>
        <w:rPr>
          <w:sz w:val="21"/>
        </w:rPr>
        <w:t>The purpose of the proposed facility is to enhance the working capital of Arjun Textiles Limited. The company has approached us for a working capital enhancement, the details of which will be outlined in subsequent sections of this CAM. The proposed facility amount is not specified, and the terms and conditions will be determined based on our credit assessment and evaluation of the company's requirements.</w:t>
      </w:r>
    </w:p>
    <w:p/>
    <w:p>
      <w:pPr>
        <w:pStyle w:val="Heading1"/>
        <w:spacing w:before="320" w:after="160"/>
      </w:pPr>
      <w:r>
        <w:rPr>
          <w:b/>
          <w:color w:val="003366"/>
          <w:sz w:val="26"/>
        </w:rPr>
        <w:t>SECTION 2 — FINANCIAL ANALYSIS</w:t>
      </w:r>
    </w:p>
    <w:p>
      <w:pPr>
        <w:pBdr>
          <w:bottom w:val="single" w:sz="6" w:space="1" w:color="003366"/>
        </w:pBdr>
      </w:pPr>
    </w:p>
    <w:p>
      <w:pPr>
        <w:spacing w:after="80"/>
        <w:jc w:val="both"/>
      </w:pPr>
      <w:r>
        <w:rPr>
          <w:b/>
          <w:sz w:val="21"/>
        </w:rPr>
        <w:t>Section 2: Financial Analysis</w:t>
      </w:r>
    </w:p>
    <w:p/>
    <w:p>
      <w:pPr>
        <w:spacing w:after="80"/>
        <w:jc w:val="both"/>
      </w:pPr>
      <w:r>
        <w:rPr>
          <w:sz w:val="21"/>
        </w:rPr>
        <w:t>The financial performance of the company over the past three years (FY22 to FY24) is analyzed below:</w:t>
      </w:r>
    </w:p>
    <w:p/>
    <w:p>
      <w:pPr>
        <w:spacing w:after="80"/>
        <w:jc w:val="both"/>
      </w:pPr>
      <w:r>
        <w:rPr>
          <w:b/>
          <w:sz w:val="21"/>
        </w:rPr>
        <w:t>1. Financial Performance</w:t>
      </w:r>
    </w:p>
    <w:p/>
    <w:p>
      <w:pPr>
        <w:spacing w:after="80"/>
        <w:jc w:val="both"/>
      </w:pPr>
      <w:r>
        <w:rPr>
          <w:sz w:val="21"/>
        </w:rPr>
        <w:t>The company has demonstrated a consistent increase in revenue, with a year-on-year (YoY) growth of 17.5% from FY22 to FY23 and 14.8% from FY23 to FY24. The revenue has increased from Rs 13891.20 lakhs in FY22 to Rs 16318.54 lakhs in FY23 and further to Rs 18742.36 lakhs in FY24. The EBITDA margin has also shown an upward trend, improving from 15.98% in FY22 to 16.43% in FY23 and 18.47% in FY24.</w:t>
      </w:r>
    </w:p>
    <w:p/>
    <w:p>
      <w:pPr>
        <w:spacing w:after="80"/>
        <w:jc w:val="both"/>
      </w:pPr>
      <w:r>
        <w:rPr>
          <w:b/>
          <w:sz w:val="21"/>
        </w:rPr>
        <w:t>2. Balance Sheet Analysis</w:t>
      </w:r>
    </w:p>
    <w:p/>
    <w:p>
      <w:pPr>
        <w:spacing w:after="80"/>
        <w:jc w:val="both"/>
      </w:pPr>
      <w:r>
        <w:rPr>
          <w:sz w:val="21"/>
        </w:rPr>
        <w:t>The total assets of the company have increased from Rs 15164.78 lakhs in FY22 to Rs 15467.48 lakhs in FY23 and further to Rs 17013.20 lakhs in FY24, representing a moderate growth. The debt-equity ratio has decreased from 1.24 in FY22 to 1.08 in FY23 and 0.86 in FY24, indicating a reduction in leverage.</w:t>
      </w:r>
    </w:p>
    <w:p/>
    <w:p>
      <w:pPr>
        <w:spacing w:after="80"/>
        <w:jc w:val="both"/>
      </w:pPr>
      <w:r>
        <w:rPr>
          <w:b/>
          <w:sz w:val="21"/>
        </w:rPr>
        <w:t>3. Key Ratios</w:t>
      </w:r>
    </w:p>
    <w:p/>
    <w:p>
      <w:r>
        <w:rPr>
          <w:b/>
          <w:color w:val="003366"/>
          <w:sz w:val="22"/>
        </w:rPr>
        <w:t>The key ratios of the company are as follows:</w:t>
      </w:r>
    </w:p>
    <w:p>
      <w:pPr>
        <w:pStyle w:val="ListBullet"/>
        <w:jc w:val="both"/>
      </w:pPr>
      <w:r>
        <w:rPr>
          <w:sz w:val="21"/>
        </w:rPr>
        <w:t>Debt Service Coverage Ratio (DSCR): Improved from 1.34 in FY22 to 1.52 in FY23 and 1.84 in FY24, indicating an enhancement in the company's ability to meet its debt obligations.</w:t>
      </w:r>
    </w:p>
    <w:p>
      <w:pPr>
        <w:pStyle w:val="ListBullet"/>
        <w:jc w:val="both"/>
      </w:pPr>
      <w:r>
        <w:rPr>
          <w:sz w:val="21"/>
        </w:rPr>
        <w:t>Interest Coverage Ratio (ICR): Increased from 2.28 in FY22 to 2.65 in FY23 and 3.46 in FY24, suggesting a strengthening of the company's ability to service its interest expenses.</w:t>
      </w:r>
    </w:p>
    <w:p>
      <w:pPr>
        <w:pStyle w:val="ListBullet"/>
        <w:jc w:val="both"/>
      </w:pPr>
      <w:r>
        <w:rPr>
          <w:sz w:val="21"/>
        </w:rPr>
        <w:t>Current Ratio: Improved from 1.31 in FY22 to 1.38 in FY23 and 1.42 in FY24, indicating a modest improvement in the company's liquidity position.</w:t>
      </w:r>
    </w:p>
    <w:p>
      <w:pPr>
        <w:pStyle w:val="ListBullet"/>
        <w:jc w:val="both"/>
      </w:pPr>
      <w:r>
        <w:rPr>
          <w:sz w:val="21"/>
        </w:rPr>
        <w:t>Debt-Equity Ratio (D/E): Decreased from 1.24 in FY22 to 1.08 in FY23 and 0.86 in FY24, signifying a reduction in the company's reliance on debt financing.</w:t>
      </w:r>
    </w:p>
    <w:p/>
    <w:p>
      <w:pPr>
        <w:spacing w:after="80"/>
        <w:jc w:val="both"/>
      </w:pPr>
      <w:r>
        <w:rPr>
          <w:b/>
          <w:sz w:val="21"/>
        </w:rPr>
        <w:t>4. Cash Flow Analysis</w:t>
      </w:r>
    </w:p>
    <w:p/>
    <w:p>
      <w:pPr>
        <w:spacing w:after="80"/>
        <w:jc w:val="both"/>
      </w:pPr>
      <w:r>
        <w:rPr>
          <w:sz w:val="21"/>
        </w:rPr>
        <w:t>The cash flow from operations has shown a significant improvement, increasing from Rs 1742.70 lakhs in FY22 to Rs 2049.02 lakhs in FY23 and Rs 2678.32 lakhs in FY24. The closing cash balance has also increased from Rs 175.60 lakhs in FY22 to Rs 284.60 lakhs in FY23 and Rs 701.96 lakhs in FY24, indicating a strengthening of the company's cash position. Overall, the company's cash flow generation has been robust, supporting its growth and debt repayment.</w:t>
      </w:r>
    </w:p>
    <w:p/>
    <w:p>
      <w:pPr>
        <w:pStyle w:val="Heading1"/>
        <w:spacing w:before="320" w:after="160"/>
      </w:pPr>
      <w:r>
        <w:rPr>
          <w:b/>
          <w:color w:val="003366"/>
          <w:sz w:val="26"/>
        </w:rPr>
        <w:t>SECTION 3 — BANKING &amp; CREDIT HISTORY</w:t>
      </w:r>
    </w:p>
    <w:p>
      <w:pPr>
        <w:pBdr>
          <w:bottom w:val="single" w:sz="6" w:space="1" w:color="003366"/>
        </w:pBdr>
      </w:pPr>
    </w:p>
    <w:p>
      <w:r>
        <w:rPr>
          <w:b/>
          <w:color w:val="003366"/>
          <w:sz w:val="22"/>
        </w:rPr>
        <w:t>Section 3: Credit Assessment</w:t>
      </w:r>
    </w:p>
    <w:p/>
    <w:p>
      <w:pPr>
        <w:spacing w:after="80"/>
        <w:jc w:val="both"/>
      </w:pPr>
      <w:r>
        <w:rPr>
          <w:sz w:val="21"/>
        </w:rPr>
        <w:t>#### 3.1 Banking Conduct</w:t>
      </w:r>
    </w:p>
    <w:p>
      <w:pPr>
        <w:spacing w:after="80"/>
        <w:jc w:val="both"/>
      </w:pPr>
      <w:r>
        <w:rPr>
          <w:sz w:val="21"/>
        </w:rPr>
        <w:t>The data provided does not indicate any defaults. However, we note the audit observations which include issues related to inventory reconciliation, GST Input Tax Credit reconciliation, employee loans, fixed asset register updates, and internal audit coverage. These have been addressed with corrective actions as per the audit report.</w:t>
      </w:r>
    </w:p>
    <w:p/>
    <w:p>
      <w:pPr>
        <w:spacing w:after="80"/>
        <w:jc w:val="both"/>
      </w:pPr>
      <w:r>
        <w:rPr>
          <w:sz w:val="21"/>
        </w:rPr>
        <w:t>#### 3.2 Existing Credit Facilities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003366"/>
          </w:tcPr>
          <w:p>
            <w:r>
              <w:rPr>
                <w:b/>
                <w:color w:val="FFFFFF"/>
                <w:sz w:val="19"/>
              </w:rPr>
              <w:t>Lender</w:t>
            </w:r>
          </w:p>
        </w:tc>
        <w:tc>
          <w:tcPr>
            <w:tcW w:type="dxa" w:w="1824"/>
            <w:shd w:val="clear" w:color="auto" w:fill="003366"/>
          </w:tcPr>
          <w:p>
            <w:r>
              <w:rPr>
                <w:b/>
                <w:color w:val="FFFFFF"/>
                <w:sz w:val="19"/>
              </w:rPr>
              <w:t>Facility Type</w:t>
            </w:r>
          </w:p>
        </w:tc>
        <w:tc>
          <w:tcPr>
            <w:tcW w:type="dxa" w:w="1824"/>
            <w:shd w:val="clear" w:color="auto" w:fill="003366"/>
          </w:tcPr>
          <w:p>
            <w:r>
              <w:rPr>
                <w:b/>
                <w:color w:val="FFFFFF"/>
                <w:sz w:val="19"/>
              </w:rPr>
              <w:t>Purpose</w:t>
            </w:r>
          </w:p>
        </w:tc>
        <w:tc>
          <w:tcPr>
            <w:tcW w:type="dxa" w:w="1824"/>
            <w:shd w:val="clear" w:color="auto" w:fill="003366"/>
          </w:tcPr>
          <w:p>
            <w:r>
              <w:rPr>
                <w:b/>
                <w:color w:val="FFFFFF"/>
                <w:sz w:val="19"/>
              </w:rPr>
              <w:t>Interest Rate</w:t>
            </w:r>
          </w:p>
        </w:tc>
        <w:tc>
          <w:tcPr>
            <w:tcW w:type="dxa" w:w="1824"/>
            <w:shd w:val="clear" w:color="auto" w:fill="003366"/>
          </w:tcPr>
          <w:p>
            <w:r>
              <w:rPr>
                <w:b/>
                <w:color w:val="FFFFFF"/>
                <w:sz w:val="19"/>
              </w:rPr>
              <w:t>Outstanding Amount (Rs Lakhs)</w:t>
            </w:r>
          </w:p>
        </w:tc>
      </w:tr>
      <w:tr>
        <w:tc>
          <w:tcPr>
            <w:tcW w:type="dxa" w:w="1824"/>
          </w:tcPr>
          <w:p>
            <w:r>
              <w:rPr>
                <w:color w:val="000000"/>
                <w:sz w:val="19"/>
              </w:rPr>
              <w:t>State Bank of India</w:t>
            </w:r>
          </w:p>
        </w:tc>
        <w:tc>
          <w:tcPr>
            <w:tcW w:type="dxa" w:w="1824"/>
          </w:tcPr>
          <w:p>
            <w:r>
              <w:rPr>
                <w:color w:val="000000"/>
                <w:sz w:val="19"/>
              </w:rPr>
              <w:t>Term Loan</w:t>
            </w:r>
          </w:p>
        </w:tc>
        <w:tc>
          <w:tcPr>
            <w:tcW w:type="dxa" w:w="1824"/>
          </w:tcPr>
          <w:p>
            <w:r>
              <w:rPr>
                <w:color w:val="000000"/>
                <w:sz w:val="19"/>
              </w:rPr>
              <w:t>Machinery Upgrade</w:t>
            </w:r>
          </w:p>
        </w:tc>
        <w:tc>
          <w:tcPr>
            <w:tcW w:type="dxa" w:w="1824"/>
          </w:tcPr>
          <w:p>
            <w:r>
              <w:rPr>
                <w:color w:val="000000"/>
                <w:sz w:val="19"/>
              </w:rPr>
              <w:t>9.25%</w:t>
            </w:r>
          </w:p>
        </w:tc>
        <w:tc>
          <w:tcPr>
            <w:tcW w:type="dxa" w:w="1824"/>
          </w:tcPr>
          <w:p>
            <w:r>
              <w:rPr>
                <w:color w:val="000000"/>
                <w:sz w:val="19"/>
              </w:rPr>
              <w:t>1842.40</w:t>
            </w:r>
          </w:p>
        </w:tc>
      </w:tr>
      <w:tr>
        <w:tc>
          <w:tcPr>
            <w:tcW w:type="dxa" w:w="1824"/>
            <w:shd w:val="clear" w:color="auto" w:fill="EAF0F8"/>
          </w:tcPr>
          <w:p>
            <w:r>
              <w:rPr>
                <w:color w:val="000000"/>
                <w:sz w:val="19"/>
              </w:rPr>
              <w:t>HDFC Bank Ltd</w:t>
            </w:r>
          </w:p>
        </w:tc>
        <w:tc>
          <w:tcPr>
            <w:tcW w:type="dxa" w:w="1824"/>
            <w:shd w:val="clear" w:color="auto" w:fill="EAF0F8"/>
          </w:tcPr>
          <w:p>
            <w:r>
              <w:rPr>
                <w:color w:val="000000"/>
                <w:sz w:val="19"/>
              </w:rPr>
              <w:t>Term Loan</w:t>
            </w:r>
          </w:p>
        </w:tc>
        <w:tc>
          <w:tcPr>
            <w:tcW w:type="dxa" w:w="1824"/>
            <w:shd w:val="clear" w:color="auto" w:fill="EAF0F8"/>
          </w:tcPr>
          <w:p>
            <w:r>
              <w:rPr>
                <w:color w:val="000000"/>
                <w:sz w:val="19"/>
              </w:rPr>
              <w:t>Plant Expansion</w:t>
            </w:r>
          </w:p>
        </w:tc>
        <w:tc>
          <w:tcPr>
            <w:tcW w:type="dxa" w:w="1824"/>
            <w:shd w:val="clear" w:color="auto" w:fill="EAF0F8"/>
          </w:tcPr>
          <w:p>
            <w:r>
              <w:rPr>
                <w:color w:val="000000"/>
                <w:sz w:val="19"/>
              </w:rPr>
              <w:t>9.75%</w:t>
            </w:r>
          </w:p>
        </w:tc>
        <w:tc>
          <w:tcPr>
            <w:tcW w:type="dxa" w:w="1824"/>
            <w:shd w:val="clear" w:color="auto" w:fill="EAF0F8"/>
          </w:tcPr>
          <w:p>
            <w:r>
              <w:rPr>
                <w:color w:val="000000"/>
                <w:sz w:val="19"/>
              </w:rPr>
              <w:t>1114.20</w:t>
            </w:r>
          </w:p>
        </w:tc>
      </w:tr>
      <w:tr>
        <w:tc>
          <w:tcPr>
            <w:tcW w:type="dxa" w:w="1824"/>
          </w:tcPr>
          <w:p>
            <w:r>
              <w:rPr>
                <w:color w:val="000000"/>
                <w:sz w:val="19"/>
              </w:rPr>
              <w:t>SBI</w:t>
            </w:r>
          </w:p>
        </w:tc>
        <w:tc>
          <w:tcPr>
            <w:tcW w:type="dxa" w:w="1824"/>
          </w:tcPr>
          <w:p>
            <w:r>
              <w:rPr>
                <w:color w:val="000000"/>
                <w:sz w:val="19"/>
              </w:rPr>
              <w:t>CC Limit</w:t>
            </w:r>
          </w:p>
        </w:tc>
        <w:tc>
          <w:tcPr>
            <w:tcW w:type="dxa" w:w="1824"/>
          </w:tcPr>
          <w:p>
            <w:r>
              <w:rPr>
                <w:color w:val="000000"/>
                <w:sz w:val="19"/>
              </w:rPr>
              <w:t>Working Cap. Raw Material</w:t>
            </w:r>
          </w:p>
        </w:tc>
        <w:tc>
          <w:tcPr>
            <w:tcW w:type="dxa" w:w="1824"/>
          </w:tcPr>
          <w:p>
            <w:r>
              <w:rPr>
                <w:color w:val="000000"/>
                <w:sz w:val="19"/>
              </w:rPr>
              <w:t>9.50%</w:t>
            </w:r>
          </w:p>
        </w:tc>
        <w:tc>
          <w:tcPr>
            <w:tcW w:type="dxa" w:w="1824"/>
          </w:tcPr>
          <w:p>
            <w:r>
              <w:rPr>
                <w:color w:val="000000"/>
                <w:sz w:val="19"/>
              </w:rPr>
              <w:t>1614.20</w:t>
            </w:r>
          </w:p>
        </w:tc>
      </w:tr>
      <w:tr>
        <w:tc>
          <w:tcPr>
            <w:tcW w:type="dxa" w:w="1824"/>
            <w:shd w:val="clear" w:color="auto" w:fill="EAF0F8"/>
          </w:tcPr>
          <w:p>
            <w:r>
              <w:rPr>
                <w:color w:val="000000"/>
                <w:sz w:val="19"/>
              </w:rPr>
              <w:t>HDFC</w:t>
            </w:r>
          </w:p>
        </w:tc>
        <w:tc>
          <w:tcPr>
            <w:tcW w:type="dxa" w:w="1824"/>
            <w:shd w:val="clear" w:color="auto" w:fill="EAF0F8"/>
          </w:tcPr>
          <w:p>
            <w:r>
              <w:rPr>
                <w:color w:val="000000"/>
                <w:sz w:val="19"/>
              </w:rPr>
              <w:t>Export PC</w:t>
            </w:r>
          </w:p>
        </w:tc>
        <w:tc>
          <w:tcPr>
            <w:tcW w:type="dxa" w:w="1824"/>
            <w:shd w:val="clear" w:color="auto" w:fill="EAF0F8"/>
          </w:tcPr>
          <w:p>
            <w:r>
              <w:rPr>
                <w:color w:val="000000"/>
                <w:sz w:val="19"/>
              </w:rPr>
              <w:t>Pre-shipment Export Finance</w:t>
            </w:r>
          </w:p>
        </w:tc>
        <w:tc>
          <w:tcPr>
            <w:tcW w:type="dxa" w:w="1824"/>
            <w:shd w:val="clear" w:color="auto" w:fill="EAF0F8"/>
          </w:tcPr>
          <w:p>
            <w:r>
              <w:rPr>
                <w:color w:val="000000"/>
                <w:sz w:val="19"/>
              </w:rPr>
              <w:t>8.80%</w:t>
            </w:r>
          </w:p>
        </w:tc>
        <w:tc>
          <w:tcPr>
            <w:tcW w:type="dxa" w:w="1824"/>
            <w:shd w:val="clear" w:color="auto" w:fill="EAF0F8"/>
          </w:tcPr>
          <w:p>
            <w:r>
              <w:rPr>
                <w:color w:val="000000"/>
                <w:sz w:val="19"/>
              </w:rPr>
              <w:t>842.40</w:t>
            </w:r>
          </w:p>
        </w:tc>
      </w:tr>
      <w:tr>
        <w:tc>
          <w:tcPr>
            <w:tcW w:type="dxa" w:w="1824"/>
          </w:tcPr>
          <w:p>
            <w:r>
              <w:rPr>
                <w:color w:val="000000"/>
                <w:sz w:val="19"/>
              </w:rPr>
              <w:t>NBFC</w:t>
            </w:r>
          </w:p>
        </w:tc>
        <w:tc>
          <w:tcPr>
            <w:tcW w:type="dxa" w:w="1824"/>
          </w:tcPr>
          <w:p>
            <w:r>
              <w:rPr>
                <w:color w:val="000000"/>
                <w:sz w:val="19"/>
              </w:rPr>
              <w:t>Equipment Hire</w:t>
            </w:r>
          </w:p>
        </w:tc>
        <w:tc>
          <w:tcPr>
            <w:tcW w:type="dxa" w:w="1824"/>
          </w:tcPr>
          <w:p>
            <w:r>
              <w:rPr>
                <w:color w:val="000000"/>
                <w:sz w:val="19"/>
              </w:rPr>
              <w:t>Looms Purchase</w:t>
            </w:r>
          </w:p>
        </w:tc>
        <w:tc>
          <w:tcPr>
            <w:tcW w:type="dxa" w:w="1824"/>
          </w:tcPr>
          <w:p>
            <w:r>
              <w:rPr>
                <w:color w:val="000000"/>
                <w:sz w:val="19"/>
              </w:rPr>
              <w:t>10.20%</w:t>
            </w:r>
          </w:p>
        </w:tc>
        <w:tc>
          <w:tcPr>
            <w:tcW w:type="dxa" w:w="1824"/>
          </w:tcPr>
          <w:p>
            <w:r>
              <w:rPr>
                <w:color w:val="000000"/>
                <w:sz w:val="19"/>
              </w:rPr>
              <w:t>357.60</w:t>
            </w:r>
          </w:p>
        </w:tc>
      </w:tr>
    </w:tbl>
    <w:p/>
    <w:p/>
    <w:p>
      <w:pPr>
        <w:spacing w:after="80"/>
        <w:jc w:val="both"/>
      </w:pPr>
      <w:r>
        <w:rPr>
          <w:sz w:val="21"/>
        </w:rPr>
        <w:t>#### 3.3 Repayment Track Record</w:t>
      </w:r>
    </w:p>
    <w:p>
      <w:pPr>
        <w:spacing w:after="80"/>
        <w:jc w:val="both"/>
      </w:pPr>
      <w:r>
        <w:rPr>
          <w:sz w:val="21"/>
        </w:rPr>
        <w:t>Based on the provided data, there is no information on the repayment track record of the facilities. The absence of any reported defaults in the banking conduct section suggests a satisfactory repayment history, but detailed repayment schedules and historical payment data are not available for a comprehensive assessment.</w:t>
      </w:r>
    </w:p>
    <w:p/>
    <w:p>
      <w:pPr>
        <w:pStyle w:val="Heading1"/>
        <w:spacing w:before="320" w:after="160"/>
      </w:pPr>
      <w:r>
        <w:rPr>
          <w:b/>
          <w:color w:val="003366"/>
          <w:sz w:val="26"/>
        </w:rPr>
        <w:t>SECTION 4 — RISK ASSESSMENT &amp; SECURITY</w:t>
      </w:r>
    </w:p>
    <w:p>
      <w:pPr>
        <w:pBdr>
          <w:bottom w:val="single" w:sz="6" w:space="1" w:color="003366"/>
        </w:pBdr>
      </w:pPr>
    </w:p>
    <w:p>
      <w:pPr>
        <w:spacing w:after="80"/>
        <w:jc w:val="both"/>
      </w:pPr>
      <w:r>
        <w:rPr>
          <w:b/>
          <w:sz w:val="21"/>
        </w:rPr>
        <w:t>Section 4: Risk Assessment, Security and Collateral, and Contingent Liabilities</w:t>
      </w:r>
    </w:p>
    <w:p/>
    <w:p>
      <w:r>
        <w:rPr>
          <w:b/>
          <w:color w:val="003366"/>
          <w:sz w:val="22"/>
        </w:rPr>
        <w:t>Risk Assessment</w:t>
      </w:r>
    </w:p>
    <w:p/>
    <w:p>
      <w:pPr>
        <w:spacing w:after="80"/>
        <w:jc w:val="both"/>
      </w:pPr>
      <w:r>
        <w:rPr>
          <w:sz w:val="21"/>
        </w:rPr>
        <w:t>The risk assessment of the company reveals various financial, operational, management, and other risks. The key risks identified are:</w:t>
      </w:r>
    </w:p>
    <w:p/>
    <w:p>
      <w:pPr>
        <w:pStyle w:val="ListBullet"/>
        <w:jc w:val="both"/>
      </w:pPr>
      <w:r>
        <w:rPr>
          <w:b/>
          <w:sz w:val="21"/>
        </w:rPr>
        <w:t>Financial Risks:</w:t>
      </w:r>
    </w:p>
    <w:p>
      <w:pPr>
        <w:pStyle w:val="ListBullet"/>
        <w:jc w:val="both"/>
      </w:pPr>
      <w:r>
        <w:rPr>
          <w:sz w:val="21"/>
        </w:rPr>
        <w:t>Cotton commodity price spike risk, with MCX cotton prices increasing by 18% in Q4 FY24, potentially impacting the company's profitability.</w:t>
      </w:r>
    </w:p>
    <w:p>
      <w:pPr>
        <w:pStyle w:val="ListBullet"/>
        <w:jc w:val="both"/>
      </w:pPr>
      <w:r>
        <w:rPr>
          <w:sz w:val="21"/>
        </w:rPr>
        <w:t>Export receivables exceeding 90 days, totaling ₹142L (5% of debtors), which may lead to liquidity issues.</w:t>
      </w:r>
    </w:p>
    <w:p>
      <w:pPr>
        <w:pStyle w:val="ListBullet"/>
        <w:jc w:val="both"/>
      </w:pPr>
      <w:r>
        <w:rPr>
          <w:b/>
          <w:sz w:val="21"/>
        </w:rPr>
        <w:t>Operational Risks:</w:t>
      </w:r>
    </w:p>
    <w:p>
      <w:pPr>
        <w:pStyle w:val="ListBullet"/>
        <w:jc w:val="both"/>
      </w:pPr>
      <w:r>
        <w:rPr>
          <w:sz w:val="21"/>
        </w:rPr>
        <w:t>Bhilwara plant utilization at 72%, below the company average, which may affect overall efficiency and productivity.</w:t>
      </w:r>
    </w:p>
    <w:p>
      <w:pPr>
        <w:pStyle w:val="ListBullet"/>
        <w:jc w:val="both"/>
      </w:pPr>
      <w:r>
        <w:rPr>
          <w:b/>
          <w:sz w:val="21"/>
        </w:rPr>
        <w:t>Management Risks:</w:t>
      </w:r>
    </w:p>
    <w:p>
      <w:pPr>
        <w:pStyle w:val="ListBullet"/>
        <w:jc w:val="both"/>
      </w:pPr>
      <w:r>
        <w:rPr>
          <w:sz w:val="21"/>
        </w:rPr>
        <w:t>Key-man dependency, with the CMD being the sole signatory for major contracts, which may lead to decision-making and operational risks.</w:t>
      </w:r>
    </w:p>
    <w:p>
      <w:pPr>
        <w:pStyle w:val="ListBullet"/>
        <w:jc w:val="both"/>
      </w:pPr>
      <w:r>
        <w:rPr>
          <w:b/>
          <w:sz w:val="21"/>
        </w:rPr>
        <w:t>Compliance and Governance Risks:</w:t>
      </w:r>
    </w:p>
    <w:p>
      <w:pPr>
        <w:pStyle w:val="ListBullet"/>
        <w:jc w:val="both"/>
      </w:pPr>
      <w:r>
        <w:rPr>
          <w:sz w:val="21"/>
        </w:rPr>
        <w:t>Historical vendor compliance weaknesses, although the GST ITC mismatch issue has been resolved.</w:t>
      </w:r>
    </w:p>
    <w:p>
      <w:pPr>
        <w:pStyle w:val="ListBullet"/>
        <w:jc w:val="both"/>
      </w:pPr>
      <w:r>
        <w:rPr>
          <w:sz w:val="21"/>
        </w:rPr>
        <w:t>Internal audit coverage of Bhilwara plant, which was initially inadequate, but has since been addressed with additional visits.</w:t>
      </w:r>
    </w:p>
    <w:p/>
    <w:p>
      <w:r>
        <w:rPr>
          <w:b/>
          <w:color w:val="003366"/>
          <w:sz w:val="22"/>
        </w:rPr>
        <w:t>The mitigants to these risks include:</w:t>
      </w:r>
    </w:p>
    <w:p/>
    <w:p>
      <w:pPr>
        <w:pStyle w:val="ListBullet"/>
        <w:jc w:val="both"/>
      </w:pPr>
      <w:r>
        <w:rPr>
          <w:b/>
          <w:sz w:val="21"/>
        </w:rPr>
        <w:t>Financial Mitigants:</w:t>
      </w:r>
    </w:p>
    <w:p>
      <w:pPr>
        <w:pStyle w:val="ListBullet"/>
        <w:jc w:val="both"/>
      </w:pPr>
      <w:r>
        <w:rPr>
          <w:sz w:val="21"/>
        </w:rPr>
        <w:t>The company's overall financial performance, with a solvency score of 23.40/30 and an asset score of 19.50/25, indicates a relatively stable financial position.</w:t>
      </w:r>
    </w:p>
    <w:p>
      <w:pPr>
        <w:pStyle w:val="ListBullet"/>
        <w:jc w:val="both"/>
      </w:pPr>
      <w:r>
        <w:rPr>
          <w:b/>
          <w:sz w:val="21"/>
        </w:rPr>
        <w:t>Operational Mitigants:</w:t>
      </w:r>
    </w:p>
    <w:p>
      <w:pPr>
        <w:pStyle w:val="ListBullet"/>
        <w:jc w:val="both"/>
      </w:pPr>
      <w:r>
        <w:rPr>
          <w:sz w:val="21"/>
        </w:rPr>
        <w:t>Ongoing actions to improve Bhilwara plant utilization, which is expected to enhance overall operational efficiency.</w:t>
      </w:r>
    </w:p>
    <w:p>
      <w:pPr>
        <w:pStyle w:val="ListBullet"/>
        <w:jc w:val="both"/>
      </w:pPr>
      <w:r>
        <w:rPr>
          <w:b/>
          <w:sz w:val="21"/>
        </w:rPr>
        <w:t>Management Mitigants:</w:t>
      </w:r>
    </w:p>
    <w:p>
      <w:pPr>
        <w:pStyle w:val="ListBullet"/>
        <w:jc w:val="both"/>
      </w:pPr>
      <w:r>
        <w:rPr>
          <w:sz w:val="21"/>
        </w:rPr>
        <w:t>Partial resolution of key-man dependency, with efforts to distribute decision-making responsibilities and reduce reliance on the CMD.</w:t>
      </w:r>
    </w:p>
    <w:p>
      <w:pPr>
        <w:pStyle w:val="ListBullet"/>
        <w:jc w:val="both"/>
      </w:pPr>
      <w:r>
        <w:rPr>
          <w:b/>
          <w:sz w:val="21"/>
        </w:rPr>
        <w:t>Compliance and Governance Mitigants:</w:t>
      </w:r>
    </w:p>
    <w:p>
      <w:pPr>
        <w:pStyle w:val="ListBullet"/>
        <w:jc w:val="both"/>
      </w:pPr>
      <w:r>
        <w:rPr>
          <w:sz w:val="21"/>
        </w:rPr>
        <w:t>Resolution of GST ITC mismatch issue and strengthened internal audit coverage, demonstrating the company's commitment to compliance and governance.</w:t>
      </w:r>
    </w:p>
    <w:p/>
    <w:p>
      <w:r>
        <w:rPr>
          <w:b/>
          <w:color w:val="003366"/>
          <w:sz w:val="22"/>
        </w:rPr>
        <w:t>Security and Collateral</w:t>
      </w:r>
    </w:p>
    <w:p/>
    <w:p>
      <w:pPr>
        <w:spacing w:after="80"/>
        <w:jc w:val="both"/>
      </w:pPr>
      <w:r>
        <w:rPr>
          <w:sz w:val="21"/>
        </w:rPr>
        <w:t>The company has provided a mix of primary and collateral security to support its debt obligations. The primary security consists of a mortgage of Property, Plant &amp; Equipment, valued at ₹7833.24L. The collateral security includes:</w:t>
      </w:r>
    </w:p>
    <w:p/>
    <w:p>
      <w:pPr>
        <w:pStyle w:val="ListBullet"/>
        <w:jc w:val="both"/>
      </w:pPr>
      <w:r>
        <w:rPr>
          <w:sz w:val="21"/>
        </w:rPr>
        <w:t>Hypothecation of Inventories: ₹3648.20L</w:t>
      </w:r>
    </w:p>
    <w:p>
      <w:pPr>
        <w:pStyle w:val="ListBullet"/>
        <w:jc w:val="both"/>
      </w:pPr>
      <w:r>
        <w:rPr>
          <w:sz w:val="21"/>
        </w:rPr>
        <w:t>Hypothecation of Trade Receivables: ₹2814.60L</w:t>
      </w:r>
    </w:p>
    <w:p>
      <w:pPr>
        <w:pStyle w:val="ListBullet"/>
        <w:jc w:val="both"/>
      </w:pPr>
      <w:r>
        <w:rPr>
          <w:sz w:val="21"/>
        </w:rPr>
        <w:t>Hypothecation of Other Current Assets: ₹1558.12L</w:t>
      </w:r>
    </w:p>
    <w:p>
      <w:pPr>
        <w:pStyle w:val="ListBullet"/>
        <w:jc w:val="both"/>
      </w:pPr>
      <w:r>
        <w:rPr>
          <w:sz w:val="21"/>
        </w:rPr>
        <w:t>Mortgage of Right-of-Use Assets: ₹142.20L</w:t>
      </w:r>
    </w:p>
    <w:p>
      <w:pPr>
        <w:pStyle w:val="ListBullet"/>
        <w:jc w:val="both"/>
      </w:pPr>
      <w:r>
        <w:rPr>
          <w:sz w:val="21"/>
        </w:rPr>
        <w:t>Mortgage of Other Non-Current Assets: ₹214.80L</w:t>
      </w:r>
    </w:p>
    <w:p>
      <w:pPr>
        <w:pStyle w:val="ListBullet"/>
        <w:jc w:val="both"/>
      </w:pPr>
      <w:r>
        <w:rPr>
          <w:sz w:val="21"/>
        </w:rPr>
        <w:t>Letter of Credit Outstanding: ₹386.40L</w:t>
      </w:r>
    </w:p>
    <w:p>
      <w:pPr>
        <w:pStyle w:val="ListBullet"/>
        <w:jc w:val="both"/>
      </w:pPr>
      <w:r>
        <w:rPr>
          <w:sz w:val="21"/>
        </w:rPr>
        <w:t>Bank Guarantees Outstanding: ₹214.80L</w:t>
      </w:r>
    </w:p>
    <w:p/>
    <w:p>
      <w:pPr>
        <w:spacing w:after="80"/>
        <w:jc w:val="both"/>
      </w:pPr>
      <w:r>
        <w:rPr>
          <w:sz w:val="21"/>
        </w:rPr>
        <w:t>The total collateral coverage is substantial, providing a comfortable cushion against potential defaults. The coverage ratio is not explicitly calculated, but the diversity and value of the collateral provide a significant mitigant to credit risk.</w:t>
      </w:r>
    </w:p>
    <w:p/>
    <w:p>
      <w:r>
        <w:rPr>
          <w:b/>
          <w:color w:val="003366"/>
          <w:sz w:val="22"/>
        </w:rPr>
        <w:t>Contingent Liabilities</w:t>
      </w:r>
    </w:p>
    <w:p/>
    <w:p>
      <w:pPr>
        <w:spacing w:after="80"/>
        <w:jc w:val="both"/>
      </w:pPr>
      <w:r>
        <w:rPr>
          <w:sz w:val="21"/>
        </w:rPr>
        <w:t>The company has contingent liabilities totaling ₹126.8L, comprising:</w:t>
      </w:r>
    </w:p>
    <w:p/>
    <w:p>
      <w:pPr>
        <w:pStyle w:val="ListBullet"/>
        <w:jc w:val="both"/>
      </w:pPr>
      <w:r>
        <w:rPr>
          <w:sz w:val="21"/>
        </w:rPr>
        <w:t>Income Tax demand: ₹84.2L (disputed, under appeal, and not deposited)</w:t>
      </w:r>
    </w:p>
    <w:p>
      <w:pPr>
        <w:pStyle w:val="ListBullet"/>
        <w:jc w:val="both"/>
      </w:pPr>
      <w:r>
        <w:rPr>
          <w:sz w:val="21"/>
        </w:rPr>
        <w:t>GST demand: ₹42.6L (disputed, under appeal, and not deposited)</w:t>
      </w:r>
    </w:p>
    <w:p/>
    <w:p>
      <w:pPr>
        <w:spacing w:after="80"/>
        <w:jc w:val="both"/>
      </w:pPr>
      <w:r>
        <w:rPr>
          <w:sz w:val="21"/>
        </w:rPr>
        <w:t>These contingent liabilities pose a potential risk to the company's financial position, although they are currently under appeal and not recognized as expenses. The company's ability to manage and resolve these disputes will be closely monitored.</w:t>
      </w:r>
    </w:p>
    <w:p/>
    <w:p>
      <w:pPr>
        <w:pStyle w:val="Heading1"/>
        <w:spacing w:before="320" w:after="160"/>
      </w:pPr>
      <w:r>
        <w:rPr>
          <w:b/>
          <w:color w:val="003366"/>
          <w:sz w:val="26"/>
        </w:rPr>
        <w:t>SECTION 5 — CREDIT STRUCTURE &amp; RECOMMENDATION</w:t>
      </w:r>
    </w:p>
    <w:p>
      <w:pPr>
        <w:pBdr>
          <w:bottom w:val="single" w:sz="6" w:space="1" w:color="003366"/>
        </w:pBdr>
      </w:pPr>
    </w:p>
    <w:p>
      <w:pPr>
        <w:spacing w:after="80"/>
        <w:jc w:val="both"/>
      </w:pPr>
      <w:r>
        <w:rPr>
          <w:b/>
          <w:sz w:val="21"/>
        </w:rPr>
        <w:t>Section 5: Proposed Credit Structure and Final Recommendation</w:t>
      </w:r>
    </w:p>
    <w:p/>
    <w:p>
      <w:r>
        <w:rPr>
          <w:b/>
          <w:color w:val="003366"/>
          <w:sz w:val="22"/>
        </w:rPr>
        <w:t>5.1 Proposed Credit Structure</w:t>
      </w:r>
    </w:p>
    <w:p/>
    <w:p>
      <w:pPr>
        <w:spacing w:after="80"/>
        <w:jc w:val="both"/>
      </w:pPr>
      <w:r>
        <w:rPr>
          <w:sz w:val="21"/>
        </w:rPr>
        <w:t>Based on our analysis, we propose a working capital enhancement facility to Arjun Textiles Limited with the following terms:</w:t>
      </w:r>
    </w:p>
    <w:p/>
    <w:p>
      <w:pPr>
        <w:pStyle w:val="ListBullet"/>
        <w:jc w:val="both"/>
      </w:pPr>
      <w:r>
        <w:rPr>
          <w:sz w:val="21"/>
        </w:rPr>
        <w:t>Facility Type: Working Capital Term Loan</w:t>
      </w:r>
    </w:p>
    <w:p>
      <w:pPr>
        <w:pStyle w:val="ListBullet"/>
        <w:jc w:val="both"/>
      </w:pPr>
      <w:r>
        <w:rPr>
          <w:sz w:val="21"/>
        </w:rPr>
        <w:t>Facility Amount: Rs 4685.59 Lakhs</w:t>
      </w:r>
    </w:p>
    <w:p>
      <w:pPr>
        <w:pStyle w:val="ListBullet"/>
        <w:jc w:val="both"/>
      </w:pPr>
      <w:r>
        <w:rPr>
          <w:sz w:val="21"/>
        </w:rPr>
        <w:t>Tenor: 36 months</w:t>
      </w:r>
    </w:p>
    <w:p>
      <w:pPr>
        <w:pStyle w:val="ListBullet"/>
        <w:jc w:val="both"/>
      </w:pPr>
      <w:r>
        <w:rPr>
          <w:sz w:val="21"/>
        </w:rPr>
        <w:t>Rate: 10.50% per annum</w:t>
      </w:r>
    </w:p>
    <w:p>
      <w:pPr>
        <w:pStyle w:val="ListBullet"/>
        <w:jc w:val="both"/>
      </w:pPr>
      <w:r>
        <w:rPr>
          <w:sz w:val="21"/>
        </w:rPr>
        <w:t>Repayment: Quarterly installments of Rs 434.89 Lakhs, with a moratorium of 6 months from the date of disbursement</w:t>
      </w:r>
    </w:p>
    <w:p>
      <w:pPr>
        <w:pStyle w:val="ListBullet"/>
        <w:jc w:val="both"/>
      </w:pPr>
      <w:r>
        <w:rPr>
          <w:sz w:val="21"/>
        </w:rPr>
        <w:t>Covenants:</w:t>
      </w:r>
    </w:p>
    <w:p>
      <w:pPr>
        <w:pStyle w:val="ListBullet"/>
        <w:jc w:val="both"/>
      </w:pPr>
      <w:r>
        <w:rPr>
          <w:sz w:val="21"/>
        </w:rPr>
        <w:t>Maintain a minimum Debt Service Coverage Ratio (DSCR) of 1.50x</w:t>
      </w:r>
    </w:p>
    <w:p>
      <w:pPr>
        <w:pStyle w:val="ListBullet"/>
        <w:jc w:val="both"/>
      </w:pPr>
      <w:r>
        <w:rPr>
          <w:sz w:val="21"/>
        </w:rPr>
        <w:t>Maintain a minimum Interest Coverage Ratio (ICR) of 2.50x</w:t>
      </w:r>
    </w:p>
    <w:p>
      <w:pPr>
        <w:pStyle w:val="ListBullet"/>
        <w:jc w:val="both"/>
      </w:pPr>
      <w:r>
        <w:rPr>
          <w:sz w:val="21"/>
        </w:rPr>
        <w:t>Limit the Total Borrowings to not more than 1.25 times the Net Worth</w:t>
      </w:r>
    </w:p>
    <w:p>
      <w:pPr>
        <w:pStyle w:val="ListBullet"/>
        <w:jc w:val="both"/>
      </w:pPr>
      <w:r>
        <w:rPr>
          <w:sz w:val="21"/>
        </w:rPr>
        <w:t>Maintain a minimum Current Ratio of 1.20x</w:t>
      </w:r>
    </w:p>
    <w:p/>
    <w:p>
      <w:r>
        <w:rPr>
          <w:b/>
          <w:color w:val="003366"/>
          <w:sz w:val="22"/>
        </w:rPr>
        <w:t>5.2 Final Recommendation</w:t>
      </w:r>
    </w:p>
    <w:p/>
    <w:p>
      <w:pPr>
        <w:spacing w:after="80"/>
        <w:jc w:val="both"/>
      </w:pPr>
      <w:r>
        <w:rPr>
          <w:sz w:val="21"/>
        </w:rPr>
        <w:t xml:space="preserve">Based on the credit assessment and risk analysis, we recommend </w:t>
      </w:r>
      <w:r>
        <w:rPr>
          <w:b/>
          <w:sz w:val="21"/>
        </w:rPr>
        <w:t>Approve with conditions</w:t>
      </w:r>
      <w:r>
        <w:rPr>
          <w:sz w:val="21"/>
        </w:rPr>
        <w:t>. The conditions are aimed at mitigating the identified risks and ensuring the Borrower's continued creditworthiness.</w:t>
      </w:r>
    </w:p>
    <w:p/>
    <w:p>
      <w:r>
        <w:rPr>
          <w:b/>
          <w:color w:val="003366"/>
          <w:sz w:val="22"/>
        </w:rPr>
        <w:t>5.3 Key Conditions and Covenants</w:t>
      </w:r>
    </w:p>
    <w:p/>
    <w:p>
      <w:pPr>
        <w:spacing w:after="80"/>
        <w:jc w:val="both"/>
      </w:pPr>
      <w:r>
        <w:rPr>
          <w:sz w:val="21"/>
        </w:rPr>
        <w:t>The key conditions and covenants for the proposed facility are as follows:</w:t>
      </w:r>
    </w:p>
    <w:p/>
    <w:p>
      <w:pPr>
        <w:pStyle w:val="ListNumber"/>
        <w:jc w:val="both"/>
      </w:pPr>
      <w:r>
        <w:rPr>
          <w:sz w:val="21"/>
        </w:rPr>
        <w:t xml:space="preserve">1. </w:t>
      </w:r>
      <w:r>
        <w:rPr>
          <w:b/>
          <w:sz w:val="21"/>
        </w:rPr>
        <w:t>Regular Financial Reporting</w:t>
      </w:r>
      <w:r>
        <w:rPr>
          <w:sz w:val="21"/>
        </w:rPr>
        <w:t>: The Borrower shall submit quarterly financial statements, including the balance sheet, profit and loss account, and cash flow statement, within 30 days of the end of each quarter.</w:t>
      </w:r>
    </w:p>
    <w:p>
      <w:pPr>
        <w:pStyle w:val="ListNumber"/>
        <w:jc w:val="both"/>
      </w:pPr>
      <w:r>
        <w:rPr>
          <w:sz w:val="21"/>
        </w:rPr>
        <w:t xml:space="preserve">2. </w:t>
      </w:r>
      <w:r>
        <w:rPr>
          <w:b/>
          <w:sz w:val="21"/>
        </w:rPr>
        <w:t>Compliance with Covenants</w:t>
      </w:r>
      <w:r>
        <w:rPr>
          <w:sz w:val="21"/>
        </w:rPr>
        <w:t>: The Borrower shall comply with the covenants outlined in Section 5.1, including maintaining the minimum DSCR, ICR, and Current Ratio.</w:t>
      </w:r>
    </w:p>
    <w:p>
      <w:pPr>
        <w:pStyle w:val="ListNumber"/>
        <w:jc w:val="both"/>
      </w:pPr>
      <w:r>
        <w:rPr>
          <w:sz w:val="21"/>
        </w:rPr>
        <w:t xml:space="preserve">3. </w:t>
      </w:r>
      <w:r>
        <w:rPr>
          <w:b/>
          <w:sz w:val="21"/>
        </w:rPr>
        <w:t>Audit and Audit Opinion</w:t>
      </w:r>
      <w:r>
        <w:rPr>
          <w:sz w:val="21"/>
        </w:rPr>
        <w:t>: The Borrower shall ensure that the annual financial statements are audited by a reputable auditor, and the audit opinion shall be unqualified.</w:t>
      </w:r>
    </w:p>
    <w:p>
      <w:pPr>
        <w:pStyle w:val="ListNumber"/>
        <w:jc w:val="both"/>
      </w:pPr>
      <w:r>
        <w:rPr>
          <w:sz w:val="21"/>
        </w:rPr>
        <w:t xml:space="preserve">4. </w:t>
      </w:r>
      <w:r>
        <w:rPr>
          <w:b/>
          <w:sz w:val="21"/>
        </w:rPr>
        <w:t>No Default</w:t>
      </w:r>
      <w:r>
        <w:rPr>
          <w:sz w:val="21"/>
        </w:rPr>
        <w:t>: The Borrower shall not default on any payment obligations under the proposed facility or any other borrowings.</w:t>
      </w:r>
    </w:p>
    <w:p>
      <w:pPr>
        <w:pStyle w:val="ListNumber"/>
        <w:jc w:val="both"/>
      </w:pPr>
      <w:r>
        <w:rPr>
          <w:sz w:val="21"/>
        </w:rPr>
        <w:t xml:space="preserve">5. </w:t>
      </w:r>
      <w:r>
        <w:rPr>
          <w:b/>
          <w:sz w:val="21"/>
        </w:rPr>
        <w:t>Security and Collateral</w:t>
      </w:r>
      <w:r>
        <w:rPr>
          <w:sz w:val="21"/>
        </w:rPr>
        <w:t>: The Borrower shall provide security and collateral as deemed necessary by the lender to secure the proposed facility.</w:t>
      </w:r>
    </w:p>
    <w:p/>
    <w:p>
      <w:pPr>
        <w:spacing w:after="80"/>
        <w:jc w:val="both"/>
      </w:pPr>
      <w:r>
        <w:rPr>
          <w:sz w:val="21"/>
        </w:rPr>
        <w:t>By imposing these conditions and covenants, we aim to mitigate the risks associated with the proposed facility and ensure that Arjun Textiles Limited maintains its creditworthiness throughout the tenor of the loan.</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Arjun Textiles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