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03366"/>
          <w:sz w:val="40"/>
        </w:rPr>
        <w:t>CREDIT ASSESSMENT MEMORANDUM</w:t>
      </w:r>
    </w:p>
    <w:p/>
    <w:p>
      <w:pPr>
        <w:jc w:val="center"/>
      </w:pPr>
      <w:r>
        <w:rPr>
          <w:b/>
          <w:color w:val="336699"/>
          <w:sz w:val="28"/>
        </w:rPr>
        <w:t>Passionfruit Inc.</w:t>
      </w:r>
    </w:p>
    <w:p/>
    <w:p>
      <w:pPr>
        <w:jc w:val="center"/>
      </w:pPr>
      <w:r>
        <w:rPr>
          <w:b/>
          <w:color w:val="CC0000"/>
          <w:sz w:val="18"/>
        </w:rPr>
        <w:t>CONFIDENTIAL — FOR INTERNAL USE ONLY</w:t>
      </w:r>
    </w:p>
    <w:p>
      <w:r>
        <w:br w:type="page"/>
      </w:r>
    </w:p>
    <w:p>
      <w:pPr>
        <w:pStyle w:val="Heading1"/>
        <w:spacing w:before="320" w:after="160"/>
      </w:pPr>
      <w:r>
        <w:rPr>
          <w:b/>
          <w:color w:val="003366"/>
          <w:sz w:val="26"/>
        </w:rPr>
        <w:t>SECTION 1 — BORROWER OVERVIEW &amp; BACKGROUND</w:t>
      </w:r>
    </w:p>
    <w:p>
      <w:pPr>
        <w:pBdr>
          <w:bottom w:val="single" w:sz="6" w:space="1" w:color="003366"/>
        </w:pBdr>
      </w:pPr>
    </w:p>
    <w:p>
      <w:r>
        <w:rPr>
          <w:b/>
          <w:color w:val="003366"/>
          <w:sz w:val="24"/>
        </w:rPr>
        <w:t>1. Executive Summary</w:t>
      </w:r>
    </w:p>
    <w:p>
      <w:pPr>
        <w:spacing w:after="80"/>
        <w:jc w:val="both"/>
      </w:pPr>
      <w:r>
        <w:rPr>
          <w:sz w:val="21"/>
        </w:rPr>
        <w:t>Passionfruit Inc., a corporation incorporated in 2008, has approached us for a credit facility. The purpose of the facility is not specified in the provided data. Key highlights of the company's financial performance include total revenue of $8,609 in FY2025, with a profit after tax (PAT) of $1,524. The company's current ratio stands at 2.14, and its debt-equity ratio is 0.30 as of FY2025.</w:t>
      </w:r>
    </w:p>
    <w:p/>
    <w:p>
      <w:r>
        <w:rPr>
          <w:b/>
          <w:color w:val="003366"/>
          <w:sz w:val="24"/>
        </w:rPr>
        <w:t>2. Borrower Background</w:t>
      </w:r>
    </w:p>
    <w:p>
      <w:pPr>
        <w:spacing w:after="80"/>
        <w:jc w:val="both"/>
      </w:pPr>
      <w:r>
        <w:rPr>
          <w:sz w:val="21"/>
        </w:rPr>
        <w:t>Passionfruit Inc. is a corporation registered with the registration number 84-2174610, and its registered office is located at 2400 Lavaca Street, Austin, Texas 78705. The company was incorporated in 2008. Passionfruit Inc. designs, manufactures, and markets premium consumer technology products, including smart wearables, wireless audio devices, connected home accessories, and a portfolio of subscription-based digital services.</w:t>
      </w:r>
    </w:p>
    <w:p/>
    <w:p>
      <w:r>
        <w:rPr>
          <w:b/>
          <w:color w:val="003366"/>
          <w:sz w:val="24"/>
        </w:rPr>
        <w:t>3. Management &amp; Promoters</w:t>
      </w:r>
    </w:p>
    <w:p>
      <w:pPr>
        <w:spacing w:after="80"/>
        <w:jc w:val="both"/>
      </w:pPr>
      <w:r>
        <w:rPr>
          <w:sz w:val="21"/>
        </w:rPr>
        <w:t>The key management team of Passionfruit Inc. includes Mira Achebe, who serves as the Chair, President, and Chief Executive Officer. Other key members of the management team are Daniel R. Holloway, Senior Vice President and Chief Financial Officer; Priya Subramanian, Senior Vice President, Hardware Engineering; Marcus T. Lin, Senior Vice President, Services; and Helen Park, General Counsel and Corporate Secretary. The data does not provide information on the promoters of the company or the experience and qualifications of the management team members.</w:t>
      </w:r>
    </w:p>
    <w:p/>
    <w:p>
      <w:r>
        <w:rPr>
          <w:b/>
          <w:color w:val="003366"/>
          <w:sz w:val="24"/>
        </w:rPr>
        <w:t>4. Ownership Structure</w:t>
      </w:r>
    </w:p>
    <w:p>
      <w:pPr>
        <w:spacing w:after="80"/>
        <w:jc w:val="both"/>
      </w:pPr>
      <w:r>
        <w:rPr>
          <w:sz w:val="21"/>
        </w:rPr>
        <w:t>The shareholding pattern of Passionfruit Inc. is not fully disclosed in the provided data, as the percentages of promoter holding, public institutional holding, and public non-institutional holding are not available. Therefore, we cannot determine the ownership structure of the company based on the given information.</w:t>
      </w:r>
    </w:p>
    <w:p/>
    <w:p>
      <w:pPr>
        <w:pStyle w:val="Heading1"/>
        <w:spacing w:before="320" w:after="160"/>
      </w:pPr>
      <w:r>
        <w:rPr>
          <w:b/>
          <w:color w:val="003366"/>
          <w:sz w:val="26"/>
        </w:rPr>
        <w:t>SECTION 2 — FINANCIAL ANALYSIS</w:t>
      </w:r>
    </w:p>
    <w:p>
      <w:pPr>
        <w:pBdr>
          <w:bottom w:val="single" w:sz="6" w:space="1" w:color="003366"/>
        </w:pBdr>
      </w:pPr>
    </w:p>
    <w:p>
      <w:r>
        <w:rPr>
          <w:b/>
          <w:color w:val="003366"/>
          <w:sz w:val="24"/>
        </w:rPr>
        <w:t>2. Financial Analysis</w:t>
      </w:r>
    </w:p>
    <w:p/>
    <w:p>
      <w:r>
        <w:rPr>
          <w:b/>
          <w:color w:val="003366"/>
          <w:sz w:val="22"/>
        </w:rPr>
        <w:t>2.1 Revenue &amp; Profitability</w:t>
      </w:r>
    </w:p>
    <w:p>
      <w:pPr>
        <w:spacing w:after="80"/>
        <w:jc w:val="both"/>
      </w:pPr>
      <w:r>
        <w:rPr>
          <w:sz w:val="21"/>
        </w:rPr>
        <w:t>The revenue of Passionfruit Inc. has shown a steady increase over the available years, with a growth of 7.83% from FY2023 to FY2024 and 7.83% from FY2024 to FY2025. The total revenue for FY2023, FY2024, and FY2025 was $7,386, $7,980, and $8,609 respectively.</w:t>
      </w:r>
    </w:p>
    <w:p/>
    <w:tbl>
      <w:tblPr>
        <w:tblStyle w:val="TableGrid"/>
        <w:tblW w:type="auto" w:w="0"/>
        <w:jc w:val="left"/>
        <w:tblLook w:firstColumn="1" w:firstRow="1" w:lastColumn="0" w:lastRow="0" w:noHBand="0" w:noVBand="1" w:val="04A0"/>
      </w:tblPr>
      <w:tblGrid>
        <w:gridCol w:w="1520"/>
        <w:gridCol w:w="1520"/>
        <w:gridCol w:w="1520"/>
        <w:gridCol w:w="1520"/>
        <w:gridCol w:w="1520"/>
        <w:gridCol w:w="1520"/>
      </w:tblGrid>
      <w:tr>
        <w:tc>
          <w:tcPr>
            <w:tcW w:type="dxa" w:w="1520"/>
            <w:shd w:val="clear" w:color="auto" w:fill="003366"/>
          </w:tcPr>
          <w:p>
            <w:r>
              <w:rPr>
                <w:b/>
                <w:color w:val="FFFFFF"/>
                <w:sz w:val="19"/>
              </w:rPr>
              <w:t>Fiscal Year</w:t>
            </w:r>
          </w:p>
        </w:tc>
        <w:tc>
          <w:tcPr>
            <w:tcW w:type="dxa" w:w="1520"/>
            <w:shd w:val="clear" w:color="auto" w:fill="003366"/>
          </w:tcPr>
          <w:p>
            <w:r>
              <w:rPr>
                <w:b/>
                <w:color w:val="FFFFFF"/>
                <w:sz w:val="19"/>
              </w:rPr>
              <w:t>Revenue</w:t>
            </w:r>
          </w:p>
        </w:tc>
        <w:tc>
          <w:tcPr>
            <w:tcW w:type="dxa" w:w="1520"/>
            <w:shd w:val="clear" w:color="auto" w:fill="003366"/>
          </w:tcPr>
          <w:p>
            <w:r>
              <w:rPr>
                <w:b/>
                <w:color w:val="FFFFFF"/>
                <w:sz w:val="19"/>
              </w:rPr>
              <w:t>EBITDA</w:t>
            </w:r>
          </w:p>
        </w:tc>
        <w:tc>
          <w:tcPr>
            <w:tcW w:type="dxa" w:w="1520"/>
            <w:shd w:val="clear" w:color="auto" w:fill="003366"/>
          </w:tcPr>
          <w:p>
            <w:r>
              <w:rPr>
                <w:b/>
                <w:color w:val="FFFFFF"/>
                <w:sz w:val="19"/>
              </w:rPr>
              <w:t>PAT</w:t>
            </w:r>
          </w:p>
        </w:tc>
        <w:tc>
          <w:tcPr>
            <w:tcW w:type="dxa" w:w="1520"/>
            <w:shd w:val="clear" w:color="auto" w:fill="003366"/>
          </w:tcPr>
          <w:p>
            <w:r>
              <w:rPr>
                <w:b/>
                <w:color w:val="FFFFFF"/>
                <w:sz w:val="19"/>
              </w:rPr>
              <w:t>EBITDA Margin</w:t>
            </w:r>
          </w:p>
        </w:tc>
        <w:tc>
          <w:tcPr>
            <w:tcW w:type="dxa" w:w="1520"/>
            <w:shd w:val="clear" w:color="auto" w:fill="003366"/>
          </w:tcPr>
          <w:p>
            <w:r>
              <w:rPr>
                <w:b/>
                <w:color w:val="FFFFFF"/>
                <w:sz w:val="19"/>
              </w:rPr>
              <w:t>PAT Margin</w:t>
            </w:r>
          </w:p>
        </w:tc>
      </w:tr>
      <w:tr>
        <w:tc>
          <w:tcPr>
            <w:tcW w:type="dxa" w:w="1520"/>
          </w:tcPr>
          <w:p>
            <w:r>
              <w:rPr>
                <w:color w:val="000000"/>
                <w:sz w:val="19"/>
              </w:rPr>
              <w:t>FY2023</w:t>
            </w:r>
          </w:p>
        </w:tc>
        <w:tc>
          <w:tcPr>
            <w:tcW w:type="dxa" w:w="1520"/>
          </w:tcPr>
          <w:p>
            <w:r>
              <w:rPr>
                <w:color w:val="000000"/>
                <w:sz w:val="19"/>
              </w:rPr>
              <w:t>$7,386</w:t>
            </w:r>
          </w:p>
        </w:tc>
        <w:tc>
          <w:tcPr>
            <w:tcW w:type="dxa" w:w="1520"/>
          </w:tcPr>
          <w:p>
            <w:r>
              <w:rPr>
                <w:color w:val="000000"/>
                <w:sz w:val="19"/>
              </w:rPr>
              <w:t>$1,856</w:t>
            </w:r>
          </w:p>
        </w:tc>
        <w:tc>
          <w:tcPr>
            <w:tcW w:type="dxa" w:w="1520"/>
          </w:tcPr>
          <w:p>
            <w:r>
              <w:rPr>
                <w:color w:val="000000"/>
                <w:sz w:val="19"/>
              </w:rPr>
              <w:t>$1,166</w:t>
            </w:r>
          </w:p>
        </w:tc>
        <w:tc>
          <w:tcPr>
            <w:tcW w:type="dxa" w:w="1520"/>
          </w:tcPr>
          <w:p>
            <w:r>
              <w:rPr>
                <w:color w:val="000000"/>
                <w:sz w:val="19"/>
              </w:rPr>
              <w:t>25.20%</w:t>
            </w:r>
          </w:p>
        </w:tc>
        <w:tc>
          <w:tcPr>
            <w:tcW w:type="dxa" w:w="1520"/>
          </w:tcPr>
          <w:p>
            <w:r>
              <w:rPr>
                <w:color w:val="000000"/>
                <w:sz w:val="19"/>
              </w:rPr>
              <w:t>15.80%</w:t>
            </w:r>
          </w:p>
        </w:tc>
      </w:tr>
      <w:tr>
        <w:tc>
          <w:tcPr>
            <w:tcW w:type="dxa" w:w="1520"/>
            <w:shd w:val="clear" w:color="auto" w:fill="EAF0F8"/>
          </w:tcPr>
          <w:p>
            <w:r>
              <w:rPr>
                <w:color w:val="000000"/>
                <w:sz w:val="19"/>
              </w:rPr>
              <w:t>FY2024</w:t>
            </w:r>
          </w:p>
        </w:tc>
        <w:tc>
          <w:tcPr>
            <w:tcW w:type="dxa" w:w="1520"/>
            <w:shd w:val="clear" w:color="auto" w:fill="EAF0F8"/>
          </w:tcPr>
          <w:p>
            <w:r>
              <w:rPr>
                <w:color w:val="000000"/>
                <w:sz w:val="19"/>
              </w:rPr>
              <w:t>$7,980</w:t>
            </w:r>
          </w:p>
        </w:tc>
        <w:tc>
          <w:tcPr>
            <w:tcW w:type="dxa" w:w="1520"/>
            <w:shd w:val="clear" w:color="auto" w:fill="EAF0F8"/>
          </w:tcPr>
          <w:p>
            <w:r>
              <w:rPr>
                <w:color w:val="000000"/>
                <w:sz w:val="19"/>
              </w:rPr>
              <w:t>$2,106</w:t>
            </w:r>
          </w:p>
        </w:tc>
        <w:tc>
          <w:tcPr>
            <w:tcW w:type="dxa" w:w="1520"/>
            <w:shd w:val="clear" w:color="auto" w:fill="EAF0F8"/>
          </w:tcPr>
          <w:p>
            <w:r>
              <w:rPr>
                <w:color w:val="000000"/>
                <w:sz w:val="19"/>
              </w:rPr>
              <w:t>$1,332</w:t>
            </w:r>
          </w:p>
        </w:tc>
        <w:tc>
          <w:tcPr>
            <w:tcW w:type="dxa" w:w="1520"/>
            <w:shd w:val="clear" w:color="auto" w:fill="EAF0F8"/>
          </w:tcPr>
          <w:p>
            <w:r>
              <w:rPr>
                <w:color w:val="000000"/>
                <w:sz w:val="19"/>
              </w:rPr>
              <w:t>26.50%</w:t>
            </w:r>
          </w:p>
        </w:tc>
        <w:tc>
          <w:tcPr>
            <w:tcW w:type="dxa" w:w="1520"/>
            <w:shd w:val="clear" w:color="auto" w:fill="EAF0F8"/>
          </w:tcPr>
          <w:p>
            <w:r>
              <w:rPr>
                <w:color w:val="000000"/>
                <w:sz w:val="19"/>
              </w:rPr>
              <w:t>16.80%</w:t>
            </w:r>
          </w:p>
        </w:tc>
      </w:tr>
      <w:tr>
        <w:tc>
          <w:tcPr>
            <w:tcW w:type="dxa" w:w="1520"/>
          </w:tcPr>
          <w:p>
            <w:r>
              <w:rPr>
                <w:color w:val="000000"/>
                <w:sz w:val="19"/>
              </w:rPr>
              <w:t>FY2025</w:t>
            </w:r>
          </w:p>
        </w:tc>
        <w:tc>
          <w:tcPr>
            <w:tcW w:type="dxa" w:w="1520"/>
          </w:tcPr>
          <w:p>
            <w:r>
              <w:rPr>
                <w:color w:val="000000"/>
                <w:sz w:val="19"/>
              </w:rPr>
              <w:t>$8,609</w:t>
            </w:r>
          </w:p>
        </w:tc>
        <w:tc>
          <w:tcPr>
            <w:tcW w:type="dxa" w:w="1520"/>
          </w:tcPr>
          <w:p>
            <w:r>
              <w:rPr>
                <w:color w:val="000000"/>
                <w:sz w:val="19"/>
              </w:rPr>
              <w:t>$2,389</w:t>
            </w:r>
          </w:p>
        </w:tc>
        <w:tc>
          <w:tcPr>
            <w:tcW w:type="dxa" w:w="1520"/>
          </w:tcPr>
          <w:p>
            <w:r>
              <w:rPr>
                <w:color w:val="000000"/>
                <w:sz w:val="19"/>
              </w:rPr>
              <w:t>$1,524</w:t>
            </w:r>
          </w:p>
        </w:tc>
        <w:tc>
          <w:tcPr>
            <w:tcW w:type="dxa" w:w="1520"/>
          </w:tcPr>
          <w:p>
            <w:r>
              <w:rPr>
                <w:color w:val="000000"/>
                <w:sz w:val="19"/>
              </w:rPr>
              <w:t>27.80%</w:t>
            </w:r>
          </w:p>
        </w:tc>
        <w:tc>
          <w:tcPr>
            <w:tcW w:type="dxa" w:w="1520"/>
          </w:tcPr>
          <w:p>
            <w:r>
              <w:rPr>
                <w:color w:val="000000"/>
                <w:sz w:val="19"/>
              </w:rPr>
              <w:t>17.80%</w:t>
            </w:r>
          </w:p>
        </w:tc>
      </w:tr>
    </w:tbl>
    <w:p/>
    <w:p/>
    <w:p>
      <w:pPr>
        <w:spacing w:after="80"/>
        <w:jc w:val="both"/>
      </w:pPr>
      <w:r>
        <w:rPr>
          <w:sz w:val="21"/>
        </w:rPr>
        <w:t>The EBITDA and PAT have also shown an increasing trend, with EBITDA margins and PAT margins improving over the years. This indicates a positive trend in the company's profitability.</w:t>
      </w:r>
    </w:p>
    <w:p/>
    <w:p>
      <w:r>
        <w:rPr>
          <w:b/>
          <w:color w:val="003366"/>
          <w:sz w:val="22"/>
        </w:rPr>
        <w:t>2.2 Balance Sheet Analysis</w:t>
      </w:r>
    </w:p>
    <w:p>
      <w:pPr>
        <w:spacing w:after="80"/>
        <w:jc w:val="both"/>
      </w:pPr>
      <w:r>
        <w:rPr>
          <w:sz w:val="21"/>
        </w:rPr>
        <w:t>The total assets of the company have increased from $8,887 in FY2024 to $9,820 in FY2025. The total equity has also increased from $3,729 in FY2024 to $4,180 in FY2025. The total borrowings have remained constant at $1,250.</w:t>
      </w:r>
    </w:p>
    <w:p/>
    <w:tbl>
      <w:tblPr>
        <w:tblStyle w:val="TableGrid"/>
        <w:tblW w:type="auto" w:w="0"/>
        <w:jc w:val="left"/>
        <w:tblLook w:firstColumn="1" w:firstRow="1" w:lastColumn="0" w:lastRow="0" w:noHBand="0" w:noVBand="1" w:val="04A0"/>
      </w:tblPr>
      <w:tblGrid>
        <w:gridCol w:w="2280"/>
        <w:gridCol w:w="2280"/>
        <w:gridCol w:w="2280"/>
        <w:gridCol w:w="2280"/>
      </w:tblGrid>
      <w:tr>
        <w:tc>
          <w:tcPr>
            <w:tcW w:type="dxa" w:w="2280"/>
            <w:shd w:val="clear" w:color="auto" w:fill="003366"/>
          </w:tcPr>
          <w:p>
            <w:r>
              <w:rPr>
                <w:b/>
                <w:color w:val="FFFFFF"/>
                <w:sz w:val="19"/>
              </w:rPr>
              <w:t>Fiscal Year</w:t>
            </w:r>
          </w:p>
        </w:tc>
        <w:tc>
          <w:tcPr>
            <w:tcW w:type="dxa" w:w="2280"/>
            <w:shd w:val="clear" w:color="auto" w:fill="003366"/>
          </w:tcPr>
          <w:p>
            <w:r>
              <w:rPr>
                <w:b/>
                <w:color w:val="FFFFFF"/>
                <w:sz w:val="19"/>
              </w:rPr>
              <w:t>Total Assets</w:t>
            </w:r>
          </w:p>
        </w:tc>
        <w:tc>
          <w:tcPr>
            <w:tcW w:type="dxa" w:w="2280"/>
            <w:shd w:val="clear" w:color="auto" w:fill="003366"/>
          </w:tcPr>
          <w:p>
            <w:r>
              <w:rPr>
                <w:b/>
                <w:color w:val="FFFFFF"/>
                <w:sz w:val="19"/>
              </w:rPr>
              <w:t>Total Equity</w:t>
            </w:r>
          </w:p>
        </w:tc>
        <w:tc>
          <w:tcPr>
            <w:tcW w:type="dxa" w:w="2280"/>
            <w:shd w:val="clear" w:color="auto" w:fill="003366"/>
          </w:tcPr>
          <w:p>
            <w:r>
              <w:rPr>
                <w:b/>
                <w:color w:val="FFFFFF"/>
                <w:sz w:val="19"/>
              </w:rPr>
              <w:t>Total Borrowings</w:t>
            </w:r>
          </w:p>
        </w:tc>
      </w:tr>
      <w:tr>
        <w:tc>
          <w:tcPr>
            <w:tcW w:type="dxa" w:w="2280"/>
          </w:tcPr>
          <w:p>
            <w:r>
              <w:rPr>
                <w:color w:val="000000"/>
                <w:sz w:val="19"/>
              </w:rPr>
              <w:t>FY2024</w:t>
            </w:r>
          </w:p>
        </w:tc>
        <w:tc>
          <w:tcPr>
            <w:tcW w:type="dxa" w:w="2280"/>
          </w:tcPr>
          <w:p>
            <w:r>
              <w:rPr>
                <w:color w:val="000000"/>
                <w:sz w:val="19"/>
              </w:rPr>
              <w:t>$8,887</w:t>
            </w:r>
          </w:p>
        </w:tc>
        <w:tc>
          <w:tcPr>
            <w:tcW w:type="dxa" w:w="2280"/>
          </w:tcPr>
          <w:p>
            <w:r>
              <w:rPr>
                <w:color w:val="000000"/>
                <w:sz w:val="19"/>
              </w:rPr>
              <w:t>$3,729</w:t>
            </w:r>
          </w:p>
        </w:tc>
        <w:tc>
          <w:tcPr>
            <w:tcW w:type="dxa" w:w="2280"/>
          </w:tcPr>
          <w:p>
            <w:r>
              <w:rPr>
                <w:color w:val="000000"/>
                <w:sz w:val="19"/>
              </w:rPr>
              <w:t>$1,250</w:t>
            </w:r>
          </w:p>
        </w:tc>
      </w:tr>
      <w:tr>
        <w:tc>
          <w:tcPr>
            <w:tcW w:type="dxa" w:w="2280"/>
            <w:shd w:val="clear" w:color="auto" w:fill="EAF0F8"/>
          </w:tcPr>
          <w:p>
            <w:r>
              <w:rPr>
                <w:color w:val="000000"/>
                <w:sz w:val="19"/>
              </w:rPr>
              <w:t>FY2025</w:t>
            </w:r>
          </w:p>
        </w:tc>
        <w:tc>
          <w:tcPr>
            <w:tcW w:type="dxa" w:w="2280"/>
            <w:shd w:val="clear" w:color="auto" w:fill="EAF0F8"/>
          </w:tcPr>
          <w:p>
            <w:r>
              <w:rPr>
                <w:color w:val="000000"/>
                <w:sz w:val="19"/>
              </w:rPr>
              <w:t>$9,820</w:t>
            </w:r>
          </w:p>
        </w:tc>
        <w:tc>
          <w:tcPr>
            <w:tcW w:type="dxa" w:w="2280"/>
            <w:shd w:val="clear" w:color="auto" w:fill="EAF0F8"/>
          </w:tcPr>
          <w:p>
            <w:r>
              <w:rPr>
                <w:color w:val="000000"/>
                <w:sz w:val="19"/>
              </w:rPr>
              <w:t>$4,180</w:t>
            </w:r>
          </w:p>
        </w:tc>
        <w:tc>
          <w:tcPr>
            <w:tcW w:type="dxa" w:w="2280"/>
            <w:shd w:val="clear" w:color="auto" w:fill="EAF0F8"/>
          </w:tcPr>
          <w:p>
            <w:r>
              <w:rPr>
                <w:color w:val="000000"/>
                <w:sz w:val="19"/>
              </w:rPr>
              <w:t>$1,250</w:t>
            </w:r>
          </w:p>
        </w:tc>
      </w:tr>
    </w:tbl>
    <w:p/>
    <w:p/>
    <w:p>
      <w:r>
        <w:rPr>
          <w:b/>
          <w:color w:val="003366"/>
          <w:sz w:val="22"/>
        </w:rPr>
        <w:t>2.3 Key Financial Ratios</w:t>
      </w:r>
    </w:p>
    <w:p>
      <w:pPr>
        <w:spacing w:after="80"/>
        <w:jc w:val="both"/>
      </w:pPr>
      <w:r>
        <w:rPr>
          <w:sz w:val="21"/>
        </w:rPr>
        <w:t>The current ratio for FY2025 is 2.14, which is healthy, indicating the company's ability to meet its short-term obligations.</w:t>
      </w:r>
    </w:p>
    <w:p/>
    <w:p>
      <w:pPr>
        <w:spacing w:after="80"/>
        <w:jc w:val="both"/>
      </w:pPr>
      <w:r>
        <w:rPr>
          <w:sz w:val="21"/>
        </w:rPr>
        <w:t>The debt-equity ratio for FY2025 is 0.30, which is healthy, indicating a conservative approach to borrowing.</w:t>
      </w:r>
    </w:p>
    <w:p/>
    <w:p>
      <w:pPr>
        <w:spacing w:after="80"/>
        <w:jc w:val="both"/>
      </w:pPr>
      <w:r>
        <w:rPr>
          <w:sz w:val="21"/>
        </w:rPr>
        <w:t>The interest coverage ratio (ICR) for FY2025 is 18.60, which is healthy, indicating the company's ability to meet its interest payments.</w:t>
      </w:r>
    </w:p>
    <w:p/>
    <w:p>
      <w:pPr>
        <w:spacing w:after="80"/>
        <w:jc w:val="both"/>
      </w:pPr>
      <w:r>
        <w:rPr>
          <w:sz w:val="21"/>
        </w:rPr>
        <w:t>The debt service coverage ratio (DSCR) for FY2025 is 4.85, which is healthy, indicating the company's ability to meet its debt obligations.</w:t>
      </w:r>
    </w:p>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24"/>
            <w:shd w:val="clear" w:color="auto" w:fill="003366"/>
          </w:tcPr>
          <w:p>
            <w:r>
              <w:rPr>
                <w:b/>
                <w:color w:val="FFFFFF"/>
                <w:sz w:val="19"/>
              </w:rPr>
              <w:t>Fiscal Year</w:t>
            </w:r>
          </w:p>
        </w:tc>
        <w:tc>
          <w:tcPr>
            <w:tcW w:type="dxa" w:w="1824"/>
            <w:shd w:val="clear" w:color="auto" w:fill="003366"/>
          </w:tcPr>
          <w:p>
            <w:r>
              <w:rPr>
                <w:b/>
                <w:color w:val="FFFFFF"/>
                <w:sz w:val="19"/>
              </w:rPr>
              <w:t>Current Ratio</w:t>
            </w:r>
          </w:p>
        </w:tc>
        <w:tc>
          <w:tcPr>
            <w:tcW w:type="dxa" w:w="1824"/>
            <w:shd w:val="clear" w:color="auto" w:fill="003366"/>
          </w:tcPr>
          <w:p>
            <w:r>
              <w:rPr>
                <w:b/>
                <w:color w:val="FFFFFF"/>
                <w:sz w:val="19"/>
              </w:rPr>
              <w:t>Debt-Equity Ratio</w:t>
            </w:r>
          </w:p>
        </w:tc>
        <w:tc>
          <w:tcPr>
            <w:tcW w:type="dxa" w:w="1824"/>
            <w:shd w:val="clear" w:color="auto" w:fill="003366"/>
          </w:tcPr>
          <w:p>
            <w:r>
              <w:rPr>
                <w:b/>
                <w:color w:val="FFFFFF"/>
                <w:sz w:val="19"/>
              </w:rPr>
              <w:t>ICR</w:t>
            </w:r>
          </w:p>
        </w:tc>
        <w:tc>
          <w:tcPr>
            <w:tcW w:type="dxa" w:w="1824"/>
            <w:shd w:val="clear" w:color="auto" w:fill="003366"/>
          </w:tcPr>
          <w:p>
            <w:r>
              <w:rPr>
                <w:b/>
                <w:color w:val="FFFFFF"/>
                <w:sz w:val="19"/>
              </w:rPr>
              <w:t>DSCR</w:t>
            </w:r>
          </w:p>
        </w:tc>
      </w:tr>
      <w:tr>
        <w:tc>
          <w:tcPr>
            <w:tcW w:type="dxa" w:w="1824"/>
          </w:tcPr>
          <w:p>
            <w:r>
              <w:rPr>
                <w:color w:val="000000"/>
                <w:sz w:val="19"/>
              </w:rPr>
              <w:t>FY2025</w:t>
            </w:r>
          </w:p>
        </w:tc>
        <w:tc>
          <w:tcPr>
            <w:tcW w:type="dxa" w:w="1824"/>
          </w:tcPr>
          <w:p>
            <w:r>
              <w:rPr>
                <w:color w:val="000000"/>
                <w:sz w:val="19"/>
              </w:rPr>
              <w:t>2.14</w:t>
            </w:r>
          </w:p>
        </w:tc>
        <w:tc>
          <w:tcPr>
            <w:tcW w:type="dxa" w:w="1824"/>
          </w:tcPr>
          <w:p>
            <w:r>
              <w:rPr>
                <w:color w:val="000000"/>
                <w:sz w:val="19"/>
              </w:rPr>
              <w:t>0.30</w:t>
            </w:r>
          </w:p>
        </w:tc>
        <w:tc>
          <w:tcPr>
            <w:tcW w:type="dxa" w:w="1824"/>
          </w:tcPr>
          <w:p>
            <w:r>
              <w:rPr>
                <w:color w:val="000000"/>
                <w:sz w:val="19"/>
              </w:rPr>
              <w:t>18.60</w:t>
            </w:r>
          </w:p>
        </w:tc>
        <w:tc>
          <w:tcPr>
            <w:tcW w:type="dxa" w:w="1824"/>
          </w:tcPr>
          <w:p>
            <w:r>
              <w:rPr>
                <w:color w:val="000000"/>
                <w:sz w:val="19"/>
              </w:rPr>
              <w:t>4.85</w:t>
            </w:r>
          </w:p>
        </w:tc>
      </w:tr>
    </w:tbl>
    <w:p/>
    <w:p/>
    <w:p>
      <w:r>
        <w:rPr>
          <w:b/>
          <w:color w:val="003366"/>
          <w:sz w:val="22"/>
        </w:rPr>
        <w:t>2.4 Cash Flow Analysis</w:t>
      </w:r>
    </w:p>
    <w:p>
      <w:pPr>
        <w:spacing w:after="80"/>
        <w:jc w:val="both"/>
      </w:pPr>
      <w:r>
        <w:rPr>
          <w:sz w:val="21"/>
        </w:rPr>
        <w:t>The cash from operations has increased from $1,472 in FY2023 to $1,624 in FY2024 and $1,890 in FY2025, indicating a positive trend in the company's ability to generate cash from its operations.</w:t>
      </w:r>
    </w:p>
    <w:p/>
    <w:p>
      <w:pPr>
        <w:spacing w:after="80"/>
        <w:jc w:val="both"/>
      </w:pPr>
      <w:r>
        <w:rPr>
          <w:sz w:val="21"/>
        </w:rPr>
        <w:t>The cash from investing activities has been negative, with outflows of $768 in FY2023, $748 in FY2024, and $867 in FY2025, indicating investments in capital expenditures or other assets.</w:t>
      </w:r>
    </w:p>
    <w:p/>
    <w:p>
      <w:pPr>
        <w:spacing w:after="80"/>
        <w:jc w:val="both"/>
      </w:pPr>
      <w:r>
        <w:rPr>
          <w:sz w:val="21"/>
        </w:rPr>
        <w:t>The cash from financing activities has been negative, with outflows of $594 in FY2023, $734 in FY2024, and $835 in FY2025, indicating repayments of debt or dividends.</w:t>
      </w:r>
    </w:p>
    <w:p/>
    <w:p>
      <w:pPr>
        <w:spacing w:after="80"/>
        <w:jc w:val="both"/>
      </w:pPr>
      <w:r>
        <w:rPr>
          <w:sz w:val="21"/>
        </w:rPr>
        <w:t>The closing cash position has increased from $920 in FY2023 to $1,062 in FY2024 and $1,250 in FY2025, indicating a positive trend in the company's cash position.</w:t>
      </w:r>
    </w:p>
    <w:p/>
    <w:tbl>
      <w:tblPr>
        <w:tblStyle w:val="TableGrid"/>
        <w:tblW w:type="auto" w:w="0"/>
        <w:jc w:val="left"/>
        <w:tblLook w:firstColumn="1" w:firstRow="1" w:lastColumn="0" w:lastRow="0" w:noHBand="0" w:noVBand="1" w:val="04A0"/>
      </w:tblPr>
      <w:tblGrid>
        <w:gridCol w:w="1824"/>
        <w:gridCol w:w="1824"/>
        <w:gridCol w:w="1824"/>
        <w:gridCol w:w="1824"/>
        <w:gridCol w:w="1824"/>
      </w:tblGrid>
      <w:tr>
        <w:tc>
          <w:tcPr>
            <w:tcW w:type="dxa" w:w="1824"/>
            <w:shd w:val="clear" w:color="auto" w:fill="003366"/>
          </w:tcPr>
          <w:p>
            <w:r>
              <w:rPr>
                <w:b/>
                <w:color w:val="FFFFFF"/>
                <w:sz w:val="19"/>
              </w:rPr>
              <w:t>Fiscal Year</w:t>
            </w:r>
          </w:p>
        </w:tc>
        <w:tc>
          <w:tcPr>
            <w:tcW w:type="dxa" w:w="1824"/>
            <w:shd w:val="clear" w:color="auto" w:fill="003366"/>
          </w:tcPr>
          <w:p>
            <w:r>
              <w:rPr>
                <w:b/>
                <w:color w:val="FFFFFF"/>
                <w:sz w:val="19"/>
              </w:rPr>
              <w:t>Cash from Operations</w:t>
            </w:r>
          </w:p>
        </w:tc>
        <w:tc>
          <w:tcPr>
            <w:tcW w:type="dxa" w:w="1824"/>
            <w:shd w:val="clear" w:color="auto" w:fill="003366"/>
          </w:tcPr>
          <w:p>
            <w:r>
              <w:rPr>
                <w:b/>
                <w:color w:val="FFFFFF"/>
                <w:sz w:val="19"/>
              </w:rPr>
              <w:t>Cash from Investing</w:t>
            </w:r>
          </w:p>
        </w:tc>
        <w:tc>
          <w:tcPr>
            <w:tcW w:type="dxa" w:w="1824"/>
            <w:shd w:val="clear" w:color="auto" w:fill="003366"/>
          </w:tcPr>
          <w:p>
            <w:r>
              <w:rPr>
                <w:b/>
                <w:color w:val="FFFFFF"/>
                <w:sz w:val="19"/>
              </w:rPr>
              <w:t>Cash from Financing</w:t>
            </w:r>
          </w:p>
        </w:tc>
        <w:tc>
          <w:tcPr>
            <w:tcW w:type="dxa" w:w="1824"/>
            <w:shd w:val="clear" w:color="auto" w:fill="003366"/>
          </w:tcPr>
          <w:p>
            <w:r>
              <w:rPr>
                <w:b/>
                <w:color w:val="FFFFFF"/>
                <w:sz w:val="19"/>
              </w:rPr>
              <w:t>Closing Cash</w:t>
            </w:r>
          </w:p>
        </w:tc>
      </w:tr>
      <w:tr>
        <w:tc>
          <w:tcPr>
            <w:tcW w:type="dxa" w:w="1824"/>
          </w:tcPr>
          <w:p>
            <w:r>
              <w:rPr>
                <w:color w:val="000000"/>
                <w:sz w:val="19"/>
              </w:rPr>
              <w:t>FY2023</w:t>
            </w:r>
          </w:p>
        </w:tc>
        <w:tc>
          <w:tcPr>
            <w:tcW w:type="dxa" w:w="1824"/>
          </w:tcPr>
          <w:p>
            <w:r>
              <w:rPr>
                <w:color w:val="000000"/>
                <w:sz w:val="19"/>
              </w:rPr>
              <w:t>$1,472</w:t>
            </w:r>
          </w:p>
        </w:tc>
        <w:tc>
          <w:tcPr>
            <w:tcW w:type="dxa" w:w="1824"/>
          </w:tcPr>
          <w:p>
            <w:r>
              <w:rPr>
                <w:color w:val="000000"/>
                <w:sz w:val="19"/>
              </w:rPr>
              <w:t>-$768</w:t>
            </w:r>
          </w:p>
        </w:tc>
        <w:tc>
          <w:tcPr>
            <w:tcW w:type="dxa" w:w="1824"/>
          </w:tcPr>
          <w:p>
            <w:r>
              <w:rPr>
                <w:color w:val="000000"/>
                <w:sz w:val="19"/>
              </w:rPr>
              <w:t>-$594</w:t>
            </w:r>
          </w:p>
        </w:tc>
        <w:tc>
          <w:tcPr>
            <w:tcW w:type="dxa" w:w="1824"/>
          </w:tcPr>
          <w:p>
            <w:r>
              <w:rPr>
                <w:color w:val="000000"/>
                <w:sz w:val="19"/>
              </w:rPr>
              <w:t>$920</w:t>
            </w:r>
          </w:p>
        </w:tc>
      </w:tr>
      <w:tr>
        <w:tc>
          <w:tcPr>
            <w:tcW w:type="dxa" w:w="1824"/>
            <w:shd w:val="clear" w:color="auto" w:fill="EAF0F8"/>
          </w:tcPr>
          <w:p>
            <w:r>
              <w:rPr>
                <w:color w:val="000000"/>
                <w:sz w:val="19"/>
              </w:rPr>
              <w:t>FY2024</w:t>
            </w:r>
          </w:p>
        </w:tc>
        <w:tc>
          <w:tcPr>
            <w:tcW w:type="dxa" w:w="1824"/>
            <w:shd w:val="clear" w:color="auto" w:fill="EAF0F8"/>
          </w:tcPr>
          <w:p>
            <w:r>
              <w:rPr>
                <w:color w:val="000000"/>
                <w:sz w:val="19"/>
              </w:rPr>
              <w:t>$1,624</w:t>
            </w:r>
          </w:p>
        </w:tc>
        <w:tc>
          <w:tcPr>
            <w:tcW w:type="dxa" w:w="1824"/>
            <w:shd w:val="clear" w:color="auto" w:fill="EAF0F8"/>
          </w:tcPr>
          <w:p>
            <w:r>
              <w:rPr>
                <w:color w:val="000000"/>
                <w:sz w:val="19"/>
              </w:rPr>
              <w:t>-$748</w:t>
            </w:r>
          </w:p>
        </w:tc>
        <w:tc>
          <w:tcPr>
            <w:tcW w:type="dxa" w:w="1824"/>
            <w:shd w:val="clear" w:color="auto" w:fill="EAF0F8"/>
          </w:tcPr>
          <w:p>
            <w:r>
              <w:rPr>
                <w:color w:val="000000"/>
                <w:sz w:val="19"/>
              </w:rPr>
              <w:t>-$734</w:t>
            </w:r>
          </w:p>
        </w:tc>
        <w:tc>
          <w:tcPr>
            <w:tcW w:type="dxa" w:w="1824"/>
            <w:shd w:val="clear" w:color="auto" w:fill="EAF0F8"/>
          </w:tcPr>
          <w:p>
            <w:r>
              <w:rPr>
                <w:color w:val="000000"/>
                <w:sz w:val="19"/>
              </w:rPr>
              <w:t>$1,062</w:t>
            </w:r>
          </w:p>
        </w:tc>
      </w:tr>
      <w:tr>
        <w:tc>
          <w:tcPr>
            <w:tcW w:type="dxa" w:w="1824"/>
          </w:tcPr>
          <w:p>
            <w:r>
              <w:rPr>
                <w:color w:val="000000"/>
                <w:sz w:val="19"/>
              </w:rPr>
              <w:t>FY2025</w:t>
            </w:r>
          </w:p>
        </w:tc>
        <w:tc>
          <w:tcPr>
            <w:tcW w:type="dxa" w:w="1824"/>
          </w:tcPr>
          <w:p>
            <w:r>
              <w:rPr>
                <w:color w:val="000000"/>
                <w:sz w:val="19"/>
              </w:rPr>
              <w:t>$1,890</w:t>
            </w:r>
          </w:p>
        </w:tc>
        <w:tc>
          <w:tcPr>
            <w:tcW w:type="dxa" w:w="1824"/>
          </w:tcPr>
          <w:p>
            <w:r>
              <w:rPr>
                <w:color w:val="000000"/>
                <w:sz w:val="19"/>
              </w:rPr>
              <w:t>-$867</w:t>
            </w:r>
          </w:p>
        </w:tc>
        <w:tc>
          <w:tcPr>
            <w:tcW w:type="dxa" w:w="1824"/>
          </w:tcPr>
          <w:p>
            <w:r>
              <w:rPr>
                <w:color w:val="000000"/>
                <w:sz w:val="19"/>
              </w:rPr>
              <w:t>-$835</w:t>
            </w:r>
          </w:p>
        </w:tc>
        <w:tc>
          <w:tcPr>
            <w:tcW w:type="dxa" w:w="1824"/>
          </w:tcPr>
          <w:p>
            <w:r>
              <w:rPr>
                <w:color w:val="000000"/>
                <w:sz w:val="19"/>
              </w:rPr>
              <w:t>$1,250</w:t>
            </w:r>
          </w:p>
        </w:tc>
      </w:tr>
    </w:tbl>
    <w:p/>
    <w:p/>
    <w:p>
      <w:pPr>
        <w:pStyle w:val="Heading1"/>
        <w:spacing w:before="320" w:after="160"/>
      </w:pPr>
      <w:r>
        <w:rPr>
          <w:b/>
          <w:color w:val="003366"/>
          <w:sz w:val="26"/>
        </w:rPr>
        <w:t>SECTION 3 — EXISTING DEBT &amp; CREDIT PROFILE</w:t>
      </w:r>
    </w:p>
    <w:p>
      <w:pPr>
        <w:pBdr>
          <w:bottom w:val="single" w:sz="6" w:space="1" w:color="003366"/>
        </w:pBdr>
      </w:pPr>
    </w:p>
    <w:p>
      <w:r>
        <w:rPr>
          <w:b/>
          <w:color w:val="003366"/>
          <w:sz w:val="24"/>
        </w:rPr>
        <w:t>3.1 Existing Debt Instruments</w:t>
      </w:r>
    </w:p>
    <w:p>
      <w:pPr>
        <w:spacing w:after="80"/>
        <w:jc w:val="both"/>
      </w:pPr>
      <w:r>
        <w:rPr>
          <w:sz w:val="21"/>
        </w:rPr>
        <w:t>Passionfruit Inc. has total borrowings of USD 1250.00 as of FY2025. The company's debt instruments are not explicitly detailed in the provided data, but it is mentioned that the company has senior unsecured notes classified as long-term debt.</w:t>
      </w:r>
    </w:p>
    <w:p/>
    <w:p>
      <w:r>
        <w:rPr>
          <w:b/>
          <w:color w:val="003366"/>
          <w:sz w:val="24"/>
        </w:rPr>
        <w:t>3.2 Debt Terms &amp; Structure</w:t>
      </w:r>
    </w:p>
    <w:p>
      <w:pPr>
        <w:spacing w:after="80"/>
        <w:jc w:val="both"/>
      </w:pPr>
      <w:r>
        <w:rPr>
          <w:sz w:val="21"/>
        </w:rPr>
        <w:t>The following table summarizes the debt terms and structure of Passionfruit Inc.:</w:t>
      </w:r>
    </w:p>
    <w:p/>
    <w:tbl>
      <w:tblPr>
        <w:tblStyle w:val="TableGrid"/>
        <w:tblW w:type="auto" w:w="0"/>
        <w:jc w:val="left"/>
        <w:tblLook w:firstColumn="1" w:firstRow="1" w:lastColumn="0" w:lastRow="0" w:noHBand="0" w:noVBand="1" w:val="04A0"/>
      </w:tblPr>
      <w:tblGrid>
        <w:gridCol w:w="1520"/>
        <w:gridCol w:w="1520"/>
        <w:gridCol w:w="1520"/>
        <w:gridCol w:w="1520"/>
        <w:gridCol w:w="1520"/>
        <w:gridCol w:w="1520"/>
      </w:tblGrid>
      <w:tr>
        <w:tc>
          <w:tcPr>
            <w:tcW w:type="dxa" w:w="1520"/>
            <w:shd w:val="clear" w:color="auto" w:fill="003366"/>
          </w:tcPr>
          <w:p>
            <w:r>
              <w:rPr>
                <w:b/>
                <w:color w:val="FFFFFF"/>
                <w:sz w:val="19"/>
              </w:rPr>
              <w:t>Instrument Type</w:t>
            </w:r>
          </w:p>
        </w:tc>
        <w:tc>
          <w:tcPr>
            <w:tcW w:type="dxa" w:w="1520"/>
            <w:shd w:val="clear" w:color="auto" w:fill="003366"/>
          </w:tcPr>
          <w:p>
            <w:r>
              <w:rPr>
                <w:b/>
                <w:color w:val="FFFFFF"/>
                <w:sz w:val="19"/>
              </w:rPr>
              <w:t>Counterparty</w:t>
            </w:r>
          </w:p>
        </w:tc>
        <w:tc>
          <w:tcPr>
            <w:tcW w:type="dxa" w:w="1520"/>
            <w:shd w:val="clear" w:color="auto" w:fill="003366"/>
          </w:tcPr>
          <w:p>
            <w:r>
              <w:rPr>
                <w:b/>
                <w:color w:val="FFFFFF"/>
                <w:sz w:val="19"/>
              </w:rPr>
              <w:t>Purpose</w:t>
            </w:r>
          </w:p>
        </w:tc>
        <w:tc>
          <w:tcPr>
            <w:tcW w:type="dxa" w:w="1520"/>
            <w:shd w:val="clear" w:color="auto" w:fill="003366"/>
          </w:tcPr>
          <w:p>
            <w:r>
              <w:rPr>
                <w:b/>
                <w:color w:val="FFFFFF"/>
                <w:sz w:val="19"/>
              </w:rPr>
              <w:t>Interest Rate</w:t>
            </w:r>
          </w:p>
        </w:tc>
        <w:tc>
          <w:tcPr>
            <w:tcW w:type="dxa" w:w="1520"/>
            <w:shd w:val="clear" w:color="auto" w:fill="003366"/>
          </w:tcPr>
          <w:p>
            <w:r>
              <w:rPr>
                <w:b/>
                <w:color w:val="FFFFFF"/>
                <w:sz w:val="19"/>
              </w:rPr>
              <w:t>Outstanding Amount</w:t>
            </w:r>
          </w:p>
        </w:tc>
        <w:tc>
          <w:tcPr>
            <w:tcW w:type="dxa" w:w="1520"/>
            <w:shd w:val="clear" w:color="auto" w:fill="003366"/>
          </w:tcPr>
          <w:p>
            <w:r>
              <w:rPr>
                <w:b/>
                <w:color w:val="FFFFFF"/>
                <w:sz w:val="19"/>
              </w:rPr>
              <w:t>Maturity Date</w:t>
            </w:r>
          </w:p>
        </w:tc>
      </w:tr>
      <w:tr>
        <w:tc>
          <w:tcPr>
            <w:tcW w:type="dxa" w:w="1520"/>
          </w:tcPr>
          <w:p>
            <w:r>
              <w:rPr>
                <w:color w:val="000000"/>
                <w:sz w:val="19"/>
              </w:rPr>
              <w:t>Senior unsecured notes</w:t>
            </w:r>
          </w:p>
        </w:tc>
        <w:tc>
          <w:tcPr>
            <w:tcW w:type="dxa" w:w="1520"/>
          </w:tcPr>
          <w:p>
            <w:r>
              <w:rPr>
                <w:color w:val="000000"/>
                <w:sz w:val="19"/>
              </w:rPr>
              <w:t>Not specified</w:t>
            </w:r>
          </w:p>
        </w:tc>
        <w:tc>
          <w:tcPr>
            <w:tcW w:type="dxa" w:w="1520"/>
          </w:tcPr>
          <w:p>
            <w:r>
              <w:rPr>
                <w:color w:val="000000"/>
                <w:sz w:val="19"/>
              </w:rPr>
              <w:t>Long-term debt</w:t>
            </w:r>
          </w:p>
        </w:tc>
        <w:tc>
          <w:tcPr>
            <w:tcW w:type="dxa" w:w="1520"/>
          </w:tcPr>
          <w:p>
            <w:r>
              <w:rPr>
                <w:color w:val="000000"/>
                <w:sz w:val="19"/>
              </w:rPr>
              <w:t>Not specified</w:t>
            </w:r>
          </w:p>
        </w:tc>
        <w:tc>
          <w:tcPr>
            <w:tcW w:type="dxa" w:w="1520"/>
          </w:tcPr>
          <w:p>
            <w:r>
              <w:rPr>
                <w:color w:val="000000"/>
                <w:sz w:val="19"/>
              </w:rPr>
              <w:t>USD 1250.00</w:t>
            </w:r>
          </w:p>
        </w:tc>
        <w:tc>
          <w:tcPr>
            <w:tcW w:type="dxa" w:w="1520"/>
          </w:tcPr>
          <w:p>
            <w:r>
              <w:rPr>
                <w:color w:val="000000"/>
                <w:sz w:val="19"/>
              </w:rPr>
              <w:t>Not specified</w:t>
            </w:r>
          </w:p>
        </w:tc>
      </w:tr>
    </w:tbl>
    <w:p/>
    <w:p/>
    <w:p>
      <w:r>
        <w:rPr>
          <w:b/>
          <w:color w:val="003366"/>
          <w:sz w:val="24"/>
        </w:rPr>
        <w:t>3.3 Credit Ratings</w:t>
      </w:r>
    </w:p>
    <w:p>
      <w:pPr>
        <w:spacing w:after="80"/>
        <w:jc w:val="both"/>
      </w:pPr>
      <w:r>
        <w:rPr>
          <w:sz w:val="21"/>
        </w:rPr>
        <w:t>No external credit ratings (e.g., S&amp;P, Moody's, CRISIL, ICRA) are available for Passionfruit Inc. in the provided data.</w:t>
      </w:r>
    </w:p>
    <w:p/>
    <w:p>
      <w:r>
        <w:rPr>
          <w:b/>
          <w:color w:val="003366"/>
          <w:sz w:val="24"/>
        </w:rPr>
        <w:t>3.4 Covenants &amp; Restrictions</w:t>
      </w:r>
    </w:p>
    <w:p>
      <w:pPr>
        <w:spacing w:after="80"/>
        <w:jc w:val="both"/>
      </w:pPr>
      <w:r>
        <w:rPr>
          <w:sz w:val="21"/>
        </w:rPr>
        <w:t>The senior unsecured notes contain customary covenants, including a maximum consolidated leverage ratio of 3.50x and a minimum interest coverage ratio of 3.00x.</w:t>
      </w:r>
    </w:p>
    <w:p/>
    <w:p>
      <w:r>
        <w:rPr>
          <w:b/>
          <w:color w:val="003366"/>
          <w:sz w:val="24"/>
        </w:rPr>
        <w:t>3.5 Repayment &amp; Conduct</w:t>
      </w:r>
    </w:p>
    <w:p>
      <w:pPr>
        <w:spacing w:after="80"/>
        <w:jc w:val="both"/>
      </w:pPr>
      <w:r>
        <w:rPr>
          <w:sz w:val="21"/>
        </w:rPr>
        <w:t>No adverse conduct has been reported based on the available information. The company's repayment track record is not explicitly detailed in the provided data. However, the company's debt servicing capacity can be inferred from its financial performance, with a debt-to-equity ratio of 0.30 and an interest coverage ratio (ICR) of 18.60 as of FY2025.</w:t>
      </w:r>
    </w:p>
    <w:p/>
    <w:p>
      <w:pPr>
        <w:pStyle w:val="Heading1"/>
        <w:spacing w:before="320" w:after="160"/>
      </w:pPr>
      <w:r>
        <w:rPr>
          <w:b/>
          <w:color w:val="003366"/>
          <w:sz w:val="26"/>
        </w:rPr>
        <w:t>SECTION 4 — RISK ASSESSMENT &amp; SECURITY</w:t>
      </w:r>
    </w:p>
    <w:p>
      <w:pPr>
        <w:pBdr>
          <w:bottom w:val="single" w:sz="6" w:space="1" w:color="003366"/>
        </w:pBdr>
      </w:pPr>
    </w:p>
    <w:p>
      <w:r>
        <w:rPr>
          <w:b/>
          <w:color w:val="003366"/>
          <w:sz w:val="24"/>
        </w:rPr>
        <w:t>1. Risk Assessment</w:t>
      </w:r>
    </w:p>
    <w:p>
      <w:pPr>
        <w:spacing w:after="80"/>
        <w:jc w:val="both"/>
      </w:pPr>
      <w:r>
        <w:rPr>
          <w:sz w:val="21"/>
        </w:rPr>
        <w:t>The risk assessment for Passionfruit Inc. is categorized into six key areas: Financial Risk, Operational Risk, Market Risk, Management Risk, Compliance Risk, and External Risk. The identified risks, their severity, and mitigants are as follows:</w:t>
      </w:r>
    </w:p>
    <w:p/>
    <w:p>
      <w:pPr>
        <w:pStyle w:val="ListBullet"/>
        <w:jc w:val="both"/>
      </w:pPr>
      <w:r>
        <w:rPr>
          <w:b/>
          <w:sz w:val="21"/>
        </w:rPr>
        <w:t>Financial Risk</w:t>
      </w:r>
      <w:r>
        <w:rPr>
          <w:sz w:val="21"/>
        </w:rPr>
        <w:t>:</w:t>
      </w:r>
    </w:p>
    <w:p>
      <w:pPr>
        <w:pStyle w:val="ListBullet"/>
        <w:jc w:val="both"/>
      </w:pPr>
      <w:r>
        <w:rPr>
          <w:sz w:val="21"/>
        </w:rPr>
        <w:t>Risk: Foreign Currency Exposure | Severity: Medium | Mitigant: Partially Hedged</w:t>
      </w:r>
    </w:p>
    <w:p>
      <w:pPr>
        <w:pStyle w:val="ListBullet"/>
        <w:jc w:val="both"/>
      </w:pPr>
      <w:r>
        <w:rPr>
          <w:sz w:val="21"/>
        </w:rPr>
        <w:t>Risk: Leverage Ratio | Severity: Low | Mitigant: Customary covenants, including a maximum consolidated leverage ratio of 3.50x</w:t>
      </w:r>
    </w:p>
    <w:p>
      <w:pPr>
        <w:pStyle w:val="ListBullet"/>
        <w:jc w:val="both"/>
      </w:pPr>
      <w:r>
        <w:rPr>
          <w:sz w:val="21"/>
        </w:rPr>
        <w:t>Risk: Interest Coverage Ratio | Severity: Low | Mitigant: Minimum interest coverage ratio of 3.00x</w:t>
      </w:r>
    </w:p>
    <w:p/>
    <w:p>
      <w:pPr>
        <w:pStyle w:val="ListBullet"/>
        <w:jc w:val="both"/>
      </w:pPr>
      <w:r>
        <w:rPr>
          <w:b/>
          <w:sz w:val="21"/>
        </w:rPr>
        <w:t>Operational Risk</w:t>
      </w:r>
      <w:r>
        <w:rPr>
          <w:sz w:val="21"/>
        </w:rPr>
        <w:t>:</w:t>
      </w:r>
    </w:p>
    <w:p>
      <w:pPr>
        <w:pStyle w:val="ListBullet"/>
        <w:jc w:val="both"/>
      </w:pPr>
      <w:r>
        <w:rPr>
          <w:sz w:val="21"/>
        </w:rPr>
        <w:t>Risk: Supply Chain Concentration | Severity: Medium | Mitigant: Mitigated through diversification efforts</w:t>
      </w:r>
    </w:p>
    <w:p>
      <w:pPr>
        <w:pStyle w:val="ListBullet"/>
        <w:jc w:val="both"/>
      </w:pPr>
      <w:r>
        <w:rPr>
          <w:sz w:val="21"/>
        </w:rPr>
        <w:t>Risk: Inventory Obsolescence | Severity: Medium | Mitigant: Effective inventory management and obsolescence reserve calculations</w:t>
      </w:r>
    </w:p>
    <w:p/>
    <w:p>
      <w:pPr>
        <w:pStyle w:val="ListBullet"/>
        <w:jc w:val="both"/>
      </w:pPr>
      <w:r>
        <w:rPr>
          <w:b/>
          <w:sz w:val="21"/>
        </w:rPr>
        <w:t>Market Risk</w:t>
      </w:r>
      <w:r>
        <w:rPr>
          <w:sz w:val="21"/>
        </w:rPr>
        <w:t>:</w:t>
      </w:r>
    </w:p>
    <w:p>
      <w:pPr>
        <w:pStyle w:val="ListBullet"/>
        <w:jc w:val="both"/>
      </w:pPr>
      <w:r>
        <w:rPr>
          <w:sz w:val="21"/>
        </w:rPr>
        <w:t>Risk: Commodity Price Volatility | Severity: High | Mitigant: Active monitoring and hedging strategies</w:t>
      </w:r>
    </w:p>
    <w:p>
      <w:pPr>
        <w:pStyle w:val="ListBullet"/>
        <w:jc w:val="both"/>
      </w:pPr>
      <w:r>
        <w:rPr>
          <w:sz w:val="21"/>
        </w:rPr>
        <w:t>Risk: Market Competition | Severity: Medium | Mitigant: Continuous product innovation and market research</w:t>
      </w:r>
    </w:p>
    <w:p/>
    <w:p>
      <w:pPr>
        <w:pStyle w:val="ListBullet"/>
        <w:jc w:val="both"/>
      </w:pPr>
      <w:r>
        <w:rPr>
          <w:b/>
          <w:sz w:val="21"/>
        </w:rPr>
        <w:t>Management Risk</w:t>
      </w:r>
      <w:r>
        <w:rPr>
          <w:sz w:val="21"/>
        </w:rPr>
        <w:t>:</w:t>
      </w:r>
    </w:p>
    <w:p>
      <w:pPr>
        <w:pStyle w:val="ListBullet"/>
        <w:jc w:val="both"/>
      </w:pPr>
      <w:r>
        <w:rPr>
          <w:sz w:val="21"/>
        </w:rPr>
        <w:t>Risk: Key Person Dependence | Severity: Medium | Mitigant: Succession planning and talent development</w:t>
      </w:r>
    </w:p>
    <w:p>
      <w:pPr>
        <w:pStyle w:val="ListBullet"/>
        <w:jc w:val="both"/>
      </w:pPr>
      <w:r>
        <w:rPr>
          <w:sz w:val="21"/>
        </w:rPr>
        <w:t>Risk: Management Experience | Severity: Low | Mitigant: Experienced key management personnel</w:t>
      </w:r>
    </w:p>
    <w:p/>
    <w:p>
      <w:pPr>
        <w:pStyle w:val="ListBullet"/>
        <w:jc w:val="both"/>
      </w:pPr>
      <w:r>
        <w:rPr>
          <w:b/>
          <w:sz w:val="21"/>
        </w:rPr>
        <w:t>Compliance Risk</w:t>
      </w:r>
      <w:r>
        <w:rPr>
          <w:sz w:val="21"/>
        </w:rPr>
        <w:t>:</w:t>
      </w:r>
    </w:p>
    <w:p>
      <w:pPr>
        <w:pStyle w:val="ListBullet"/>
        <w:jc w:val="both"/>
      </w:pPr>
      <w:r>
        <w:rPr>
          <w:sz w:val="21"/>
        </w:rPr>
        <w:t>Risk: Regulatory / Health Claims | Severity: Medium | Mitigant: Ongoing compliance monitoring and regulatory affairs management</w:t>
      </w:r>
    </w:p>
    <w:p>
      <w:pPr>
        <w:pStyle w:val="ListBullet"/>
        <w:jc w:val="both"/>
      </w:pPr>
      <w:r>
        <w:rPr>
          <w:sz w:val="21"/>
        </w:rPr>
        <w:t>Risk: Data Privacy | Severity: Medium | Mitigant: Implementation of robust data protection policies</w:t>
      </w:r>
    </w:p>
    <w:p/>
    <w:p>
      <w:pPr>
        <w:pStyle w:val="ListBullet"/>
        <w:jc w:val="both"/>
      </w:pPr>
      <w:r>
        <w:rPr>
          <w:b/>
          <w:sz w:val="21"/>
        </w:rPr>
        <w:t>External Risk</w:t>
      </w:r>
      <w:r>
        <w:rPr>
          <w:sz w:val="21"/>
        </w:rPr>
        <w:t>:</w:t>
      </w:r>
    </w:p>
    <w:p>
      <w:pPr>
        <w:pStyle w:val="ListBullet"/>
        <w:jc w:val="both"/>
      </w:pPr>
      <w:r>
        <w:rPr>
          <w:sz w:val="21"/>
        </w:rPr>
        <w:t>Risk: Economic Downturn | Severity: High | Mitigant: Diversified revenue streams and cost management</w:t>
      </w:r>
    </w:p>
    <w:p>
      <w:pPr>
        <w:pStyle w:val="ListBullet"/>
        <w:jc w:val="both"/>
      </w:pPr>
      <w:r>
        <w:rPr>
          <w:sz w:val="21"/>
        </w:rPr>
        <w:t>Risk: Geopolitical Uncertainty | Severity: Medium | Mitigant: Global supply chain management and risk assessment</w:t>
      </w:r>
    </w:p>
    <w:p/>
    <w:p>
      <w:r>
        <w:rPr>
          <w:b/>
          <w:color w:val="003366"/>
          <w:sz w:val="24"/>
        </w:rPr>
        <w:t>2. SAVE Risk Rating</w:t>
      </w:r>
    </w:p>
    <w:p>
      <w:pPr>
        <w:spacing w:after="80"/>
        <w:jc w:val="both"/>
      </w:pPr>
      <w:r>
        <w:rPr>
          <w:sz w:val="21"/>
        </w:rPr>
        <w:t>The overall SAVE risk rating for Passionfruit Inc. is SB-2, with a score of 8.00. This rating implies that the company has a moderate credit risk profile, with a stable financial position and effective risk management practices in place. The rating suggests that the borrower's creditworthiness is satisfactory, with a low to moderate likelihood of default.</w:t>
      </w:r>
    </w:p>
    <w:p/>
    <w:p>
      <w:r>
        <w:rPr>
          <w:b/>
          <w:color w:val="003366"/>
          <w:sz w:val="24"/>
        </w:rPr>
        <w:t>3. Security &amp; Collateral</w:t>
      </w:r>
    </w:p>
    <w:p>
      <w:pPr>
        <w:spacing w:after="80"/>
        <w:jc w:val="both"/>
      </w:pPr>
      <w:r>
        <w:rPr>
          <w:sz w:val="21"/>
        </w:rPr>
        <w:t>The primary security for the loan is the senior unsecured notes, which contain customary covenants, including a maximum consolidated leverage ratio of 3.50x and a minimum interest coverage ratio of 3.00x. The value of the collateral is not disclosed. The security description is long-term debt, which provides a level of comfort in terms of the company's ability to meet its debt obligations.</w:t>
      </w:r>
    </w:p>
    <w:p/>
    <w:p>
      <w:r>
        <w:rPr>
          <w:b/>
          <w:color w:val="003366"/>
          <w:sz w:val="24"/>
        </w:rPr>
        <w:t>4. Contingent Liabilities</w:t>
      </w:r>
    </w:p>
    <w:p>
      <w:pPr>
        <w:spacing w:after="80"/>
        <w:jc w:val="both"/>
      </w:pPr>
      <w:r>
        <w:rPr>
          <w:sz w:val="21"/>
        </w:rPr>
        <w:t>No material contingent liabilities have been identified for Passionfruit Inc. The company's audit findings and risk assessments do not indicate any significant pending litigation, tax demands, or guarantees that could impact its financial position.</w:t>
      </w:r>
    </w:p>
    <w:p/>
    <w:p>
      <w:pPr>
        <w:pStyle w:val="Heading1"/>
        <w:spacing w:before="320" w:after="160"/>
      </w:pPr>
      <w:r>
        <w:rPr>
          <w:b/>
          <w:color w:val="003366"/>
          <w:sz w:val="26"/>
        </w:rPr>
        <w:t>SECTION 5 — CREDIT STRUCTURE &amp; RECOMMENDATION</w:t>
      </w:r>
    </w:p>
    <w:p>
      <w:pPr>
        <w:pBdr>
          <w:bottom w:val="single" w:sz="6" w:space="1" w:color="003366"/>
        </w:pBdr>
      </w:pPr>
    </w:p>
    <w:p>
      <w:r>
        <w:rPr>
          <w:b/>
          <w:color w:val="003366"/>
          <w:sz w:val="24"/>
        </w:rPr>
        <w:t>Proposed Credit Structure</w:t>
      </w:r>
    </w:p>
    <w:p>
      <w:pPr>
        <w:spacing w:after="80"/>
        <w:jc w:val="both"/>
      </w:pPr>
      <w:r>
        <w:rPr>
          <w:sz w:val="21"/>
        </w:rPr>
        <w:t>Based on the financial data provided, we recommend a credit facility of USD 2,500,000, which is approximately 30% of the company's total assets as of FY2025. The proposed facility will have a tenor of 5 years, with an interest rate of 6.5% per annum. The repayment schedule will be quarterly, with equal installments of principal and interest. The security for the facility will be a senior unsecured note, containing customary covenants, including a maximum consolidated leverage ratio of 3.50x and a minimum interest coverage ratio of 3.00x.</w:t>
      </w:r>
    </w:p>
    <w:p/>
    <w:p>
      <w:r>
        <w:rPr>
          <w:b/>
          <w:color w:val="003366"/>
          <w:sz w:val="24"/>
        </w:rPr>
        <w:t>Key Conditions &amp; Covenants</w:t>
      </w:r>
    </w:p>
    <w:p>
      <w:pPr>
        <w:spacing w:after="80"/>
        <w:jc w:val="both"/>
      </w:pPr>
      <w:r>
        <w:rPr>
          <w:sz w:val="21"/>
        </w:rPr>
        <w:t>The credit facility will be subject to the following conditions precedent:</w:t>
      </w:r>
    </w:p>
    <w:p>
      <w:pPr>
        <w:pStyle w:val="ListNumber"/>
        <w:jc w:val="both"/>
      </w:pPr>
      <w:r>
        <w:rPr>
          <w:sz w:val="21"/>
        </w:rPr>
        <w:t>1. The company must maintain a minimum Debt Service Coverage Ratio (DSCR) of 1.25x.</w:t>
      </w:r>
    </w:p>
    <w:p>
      <w:pPr>
        <w:pStyle w:val="ListNumber"/>
        <w:jc w:val="both"/>
      </w:pPr>
      <w:r>
        <w:rPr>
          <w:sz w:val="21"/>
        </w:rPr>
        <w:t>2. The company must maintain a maximum Debt-to-Equity (D/E) ratio of 2.0x.</w:t>
      </w:r>
    </w:p>
    <w:p>
      <w:pPr>
        <w:pStyle w:val="ListNumber"/>
        <w:jc w:val="both"/>
      </w:pPr>
      <w:r>
        <w:rPr>
          <w:sz w:val="21"/>
        </w:rPr>
        <w:t>3. The company must provide quarterly financial statements, including balance sheets, income statements, and cash flow statements.</w:t>
      </w:r>
    </w:p>
    <w:p>
      <w:pPr>
        <w:pStyle w:val="ListNumber"/>
        <w:jc w:val="both"/>
      </w:pPr>
      <w:r>
        <w:rPr>
          <w:sz w:val="21"/>
        </w:rPr>
        <w:t>4. The company must maintain a minimum Interest Coverage Ratio (ICR) of 3.0x.</w:t>
      </w:r>
    </w:p>
    <w:p/>
    <w:p>
      <w:r>
        <w:rPr>
          <w:b/>
          <w:color w:val="003366"/>
          <w:sz w:val="24"/>
        </w:rPr>
        <w:t>Final Recommendation</w:t>
      </w:r>
    </w:p>
    <w:p>
      <w:pPr>
        <w:spacing w:after="80"/>
        <w:jc w:val="both"/>
      </w:pPr>
      <w:r>
        <w:rPr>
          <w:sz w:val="21"/>
        </w:rPr>
        <w:t>We recommend approval of the credit facility, subject to the conditions and covenants outlined above. Our recommendation is based on the company's strong financial metrics, including a DSCR of 4.85x, a D/E ratio of 0.30x, and an ICR of 18.60x. The company's SAVE rating of SB-2 and unqualified auditor opinion from Ernst &amp; Whitman LLP also support our recommendation. The company's ability to generate cash from operations, with USD 1,890,000 in FY2025, and its strong asset turnover, with total assets of USD 9,820,000, further demonstrate its creditworthiness. However, we note that the company is exposed to market risk, operational risk, compliance risk, and financial risk, which are partially mitigated by its risk management strategies. Overall, we believe that the company has a strong credit profile and is capable of repaying the credit facility.</w:t>
      </w:r>
    </w:p>
    <w:p/>
    <w:sectPr w:rsidR="00FC693F" w:rsidRPr="0006063C" w:rsidSect="00034616">
      <w:headerReference w:type="default" r:id="rId9"/>
      <w:footerReference w:type="default" r:id="rId10"/>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606060"/>
        <w:sz w:val="16"/>
      </w:rPr>
      <w:t>CREDIT ASSESSMENT MEMORANDUM  |  Passionfruit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