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Abha Power and Steel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r>
        <w:rPr>
          <w:b/>
          <w:color w:val="003366"/>
          <w:sz w:val="24"/>
        </w:rPr>
        <w:t>1. Executive Summary</w:t>
      </w:r>
    </w:p>
    <w:p>
      <w:pPr>
        <w:spacing w:after="80"/>
        <w:jc w:val="both"/>
      </w:pPr>
      <w:r>
        <w:rPr>
          <w:sz w:val="21"/>
        </w:rPr>
        <w:t>Abha Power and Steel Limited is seeking credit facilities to support its ongoing operations within the power and steel sector. The company, incorporated in 2004, maintains its registered office in Silpahri Industrial State, Bilaspur, Chattisgarh. This proposal evaluates the borrower’s operational standing and management capabilities to ensure alignment with the proposed facility requirements.</w:t>
      </w:r>
    </w:p>
    <w:p/>
    <w:p>
      <w:r>
        <w:rPr>
          <w:b/>
          <w:color w:val="003366"/>
          <w:sz w:val="24"/>
        </w:rPr>
        <w:t>2. Borrower Background</w:t>
      </w:r>
    </w:p>
    <w:p>
      <w:pPr>
        <w:spacing w:after="80"/>
        <w:jc w:val="both"/>
      </w:pPr>
      <w:r>
        <w:rPr>
          <w:sz w:val="21"/>
        </w:rPr>
        <w:t>Abha Power and Steel Limited (CIN: L27102CT2004PLC016654) is a Public Limited company incorporated in 2004. The company operates primarily in the power and steel industry. Its registered office is situated at Silpahri Industrial State, Bilaspur, Chattisgarh-495001.</w:t>
      </w:r>
    </w:p>
    <w:p/>
    <w:p>
      <w:r>
        <w:rPr>
          <w:b/>
          <w:color w:val="003366"/>
          <w:sz w:val="24"/>
        </w:rPr>
        <w:t>3. Management &amp; Promoters</w:t>
      </w:r>
    </w:p>
    <w:p>
      <w:pPr>
        <w:spacing w:after="80"/>
        <w:jc w:val="both"/>
      </w:pPr>
      <w:r>
        <w:rPr>
          <w:sz w:val="21"/>
        </w:rPr>
        <w:t>The company is led by a board of directors and a management team with diverse professional backgrounds:</w:t>
      </w:r>
    </w:p>
    <w:p/>
    <w:p>
      <w:pPr>
        <w:pStyle w:val="ListBullet"/>
        <w:jc w:val="both"/>
      </w:pPr>
      <w:r>
        <w:rPr>
          <w:sz w:val="21"/>
        </w:rPr>
        <w:t xml:space="preserve">  </w:t>
      </w:r>
      <w:r>
        <w:rPr>
          <w:b/>
          <w:sz w:val="21"/>
        </w:rPr>
        <w:t>Atish Agrawal</w:t>
      </w:r>
      <w:r>
        <w:rPr>
          <w:sz w:val="21"/>
        </w:rPr>
        <w:t>: Managing Director, B.Tech graduate from IIT (BHU) Varanasi, with 15 years of experience.</w:t>
      </w:r>
    </w:p>
    <w:p>
      <w:pPr>
        <w:pStyle w:val="ListBullet"/>
        <w:jc w:val="both"/>
      </w:pPr>
      <w:r>
        <w:rPr>
          <w:sz w:val="21"/>
        </w:rPr>
        <w:t xml:space="preserve">  </w:t>
      </w:r>
      <w:r>
        <w:rPr>
          <w:b/>
          <w:sz w:val="21"/>
        </w:rPr>
        <w:t>Satish Kumar Shah</w:t>
      </w:r>
      <w:r>
        <w:rPr>
          <w:sz w:val="21"/>
        </w:rPr>
        <w:t>: Whole Time Director, Science graduate with a Master’s degree in Botany, with 25 years of experience.</w:t>
      </w:r>
    </w:p>
    <w:p>
      <w:pPr>
        <w:pStyle w:val="ListBullet"/>
        <w:jc w:val="both"/>
      </w:pPr>
      <w:r>
        <w:rPr>
          <w:sz w:val="21"/>
        </w:rPr>
        <w:t xml:space="preserve">  </w:t>
      </w:r>
      <w:r>
        <w:rPr>
          <w:b/>
          <w:sz w:val="21"/>
        </w:rPr>
        <w:t>Subhash Chand Agrawal</w:t>
      </w:r>
      <w:r>
        <w:rPr>
          <w:sz w:val="21"/>
        </w:rPr>
        <w:t>: Non-Executive, Non-Independent Director, with 30 years of experience.</w:t>
      </w:r>
    </w:p>
    <w:p>
      <w:pPr>
        <w:pStyle w:val="ListBullet"/>
        <w:jc w:val="both"/>
      </w:pPr>
      <w:r>
        <w:rPr>
          <w:sz w:val="21"/>
        </w:rPr>
        <w:t xml:space="preserve">  </w:t>
      </w:r>
      <w:r>
        <w:rPr>
          <w:b/>
          <w:sz w:val="21"/>
        </w:rPr>
        <w:t>Shristi Garg</w:t>
      </w:r>
      <w:r>
        <w:rPr>
          <w:sz w:val="21"/>
        </w:rPr>
        <w:t>: Independent Director, Graduate of Calcutta University and Fellow Member of ICSI, with 7 years of experience.</w:t>
      </w:r>
    </w:p>
    <w:p>
      <w:pPr>
        <w:pStyle w:val="ListBullet"/>
        <w:jc w:val="both"/>
      </w:pPr>
      <w:r>
        <w:rPr>
          <w:sz w:val="21"/>
        </w:rPr>
        <w:t xml:space="preserve">  </w:t>
      </w:r>
      <w:r>
        <w:rPr>
          <w:b/>
          <w:sz w:val="21"/>
        </w:rPr>
        <w:t>Pankaj Jhawar</w:t>
      </w:r>
      <w:r>
        <w:rPr>
          <w:sz w:val="21"/>
        </w:rPr>
        <w:t>: Independent Director, Practicing Company Secretary, with 6 years of experience.</w:t>
      </w:r>
    </w:p>
    <w:p>
      <w:pPr>
        <w:pStyle w:val="ListBullet"/>
        <w:jc w:val="both"/>
      </w:pPr>
      <w:r>
        <w:rPr>
          <w:sz w:val="21"/>
        </w:rPr>
        <w:t xml:space="preserve">  </w:t>
      </w:r>
      <w:r>
        <w:rPr>
          <w:b/>
          <w:sz w:val="21"/>
        </w:rPr>
        <w:t>Pratibha Patel</w:t>
      </w:r>
      <w:r>
        <w:rPr>
          <w:sz w:val="21"/>
        </w:rPr>
        <w:t>: Company Secretary, Associate Member of ICSI and holder of a Bachelor’s degree in Commerce, with 3 years of experience.</w:t>
      </w:r>
    </w:p>
    <w:p>
      <w:pPr>
        <w:pStyle w:val="ListBullet"/>
        <w:jc w:val="both"/>
      </w:pPr>
      <w:r>
        <w:rPr>
          <w:sz w:val="21"/>
        </w:rPr>
        <w:t xml:space="preserve">  </w:t>
      </w:r>
      <w:r>
        <w:rPr>
          <w:b/>
          <w:sz w:val="21"/>
        </w:rPr>
        <w:t>Naleen Shah</w:t>
      </w:r>
      <w:r>
        <w:rPr>
          <w:sz w:val="21"/>
        </w:rPr>
        <w:t>: Promoter, holds a Bachelor’s degree in Commerce (Hons) from Christ University, Bangalore.</w:t>
      </w:r>
    </w:p>
    <w:p>
      <w:pPr>
        <w:pStyle w:val="ListBullet"/>
        <w:jc w:val="both"/>
      </w:pPr>
      <w:r>
        <w:rPr>
          <w:sz w:val="21"/>
        </w:rPr>
        <w:t xml:space="preserve">  </w:t>
      </w:r>
      <w:r>
        <w:rPr>
          <w:b/>
          <w:sz w:val="21"/>
        </w:rPr>
        <w:t>Shanky Santani</w:t>
      </w:r>
      <w:r>
        <w:rPr>
          <w:sz w:val="21"/>
        </w:rPr>
        <w:t>: Independent Director.</w:t>
      </w:r>
    </w:p>
    <w:p/>
    <w:p>
      <w:pPr>
        <w:spacing w:after="80"/>
        <w:jc w:val="both"/>
      </w:pPr>
      <w:r>
        <w:rPr>
          <w:sz w:val="21"/>
        </w:rPr>
        <w:t>The primary promoters of the company are Ankit Agrawal, Atish Agrawal, Satish Shah, and Subhash Chand Agrawal.</w:t>
      </w:r>
    </w:p>
    <w:p/>
    <w:p>
      <w:r>
        <w:rPr>
          <w:b/>
          <w:color w:val="003366"/>
          <w:sz w:val="24"/>
        </w:rPr>
        <w:t>4. Ownership Structure</w:t>
      </w:r>
    </w:p>
    <w:p>
      <w:pPr>
        <w:spacing w:after="80"/>
        <w:jc w:val="both"/>
      </w:pPr>
      <w:r>
        <w:rPr>
          <w:sz w:val="21"/>
        </w:rPr>
        <w:t>The shareholding pattern of Abha Power and Steel Limited is distributed as follows:</w:t>
      </w:r>
    </w:p>
    <w:p/>
    <w:p>
      <w:pPr>
        <w:pStyle w:val="ListBullet"/>
        <w:jc w:val="both"/>
      </w:pPr>
      <w:r>
        <w:rPr>
          <w:sz w:val="21"/>
        </w:rPr>
        <w:t xml:space="preserve">  </w:t>
      </w:r>
      <w:r>
        <w:rPr>
          <w:b/>
          <w:sz w:val="21"/>
        </w:rPr>
        <w:t>Promoter Holding</w:t>
      </w:r>
      <w:r>
        <w:rPr>
          <w:sz w:val="21"/>
        </w:rPr>
        <w:t>: 77.73%</w:t>
      </w:r>
    </w:p>
    <w:p>
      <w:pPr>
        <w:pStyle w:val="ListBullet"/>
        <w:jc w:val="both"/>
      </w:pPr>
      <w:r>
        <w:rPr>
          <w:sz w:val="21"/>
        </w:rPr>
        <w:t xml:space="preserve">  </w:t>
      </w:r>
      <w:r>
        <w:rPr>
          <w:b/>
          <w:sz w:val="21"/>
        </w:rPr>
        <w:t>Public Non-Institutional Holding</w:t>
      </w:r>
      <w:r>
        <w:rPr>
          <w:sz w:val="21"/>
        </w:rPr>
        <w:t>: 22.27%</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r>
        <w:rPr>
          <w:b/>
          <w:color w:val="003366"/>
          <w:sz w:val="22"/>
        </w:rPr>
        <w:t>Revenue &amp; Profitability</w:t>
      </w:r>
    </w:p>
    <w:p>
      <w:pPr>
        <w:spacing w:after="80"/>
        <w:jc w:val="both"/>
      </w:pPr>
      <w:r>
        <w:rPr>
          <w:sz w:val="21"/>
        </w:rPr>
        <w:t>Abha Power and Steel Limited has demonstrated strong top-line growth, with revenue increasing from ₹5,174.70 Lakhs in FY2024 to ₹7,018.01 Lakhs in FY2025. Profitability metrics remain robust, reflecting efficient operational management despite the scale-up in activities.</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Revenue</w:t>
            </w:r>
          </w:p>
        </w:tc>
        <w:tc>
          <w:tcPr>
            <w:tcW w:type="dxa" w:w="3041"/>
          </w:tcPr>
          <w:p>
            <w:r>
              <w:rPr>
                <w:color w:val="000000"/>
                <w:sz w:val="19"/>
              </w:rPr>
              <w:t>₹5,174.70 Lakhs</w:t>
            </w:r>
          </w:p>
        </w:tc>
        <w:tc>
          <w:tcPr>
            <w:tcW w:type="dxa" w:w="3041"/>
          </w:tcPr>
          <w:p>
            <w:r>
              <w:rPr>
                <w:color w:val="000000"/>
                <w:sz w:val="19"/>
              </w:rPr>
              <w:t>₹7,018.01 Lakhs</w:t>
            </w:r>
          </w:p>
        </w:tc>
      </w:tr>
      <w:tr>
        <w:tc>
          <w:tcPr>
            <w:tcW w:type="dxa" w:w="3041"/>
            <w:shd w:val="clear" w:color="auto" w:fill="EAF0F8"/>
          </w:tcPr>
          <w:p>
            <w:r>
              <w:rPr>
                <w:color w:val="000000"/>
                <w:sz w:val="19"/>
              </w:rPr>
              <w:t>EBITDA</w:t>
            </w:r>
          </w:p>
        </w:tc>
        <w:tc>
          <w:tcPr>
            <w:tcW w:type="dxa" w:w="3041"/>
            <w:shd w:val="clear" w:color="auto" w:fill="EAF0F8"/>
          </w:tcPr>
          <w:p>
            <w:r>
              <w:rPr>
                <w:color w:val="000000"/>
                <w:sz w:val="19"/>
              </w:rPr>
              <w:t>₹688.87 Lakhs</w:t>
            </w:r>
          </w:p>
        </w:tc>
        <w:tc>
          <w:tcPr>
            <w:tcW w:type="dxa" w:w="3041"/>
            <w:shd w:val="clear" w:color="auto" w:fill="EAF0F8"/>
          </w:tcPr>
          <w:p>
            <w:r>
              <w:rPr>
                <w:color w:val="000000"/>
                <w:sz w:val="19"/>
              </w:rPr>
              <w:t>₹884.45 Lakhs</w:t>
            </w:r>
          </w:p>
        </w:tc>
      </w:tr>
      <w:tr>
        <w:tc>
          <w:tcPr>
            <w:tcW w:type="dxa" w:w="3041"/>
          </w:tcPr>
          <w:p>
            <w:r>
              <w:rPr>
                <w:color w:val="000000"/>
                <w:sz w:val="19"/>
              </w:rPr>
              <w:t>PAT</w:t>
            </w:r>
          </w:p>
        </w:tc>
        <w:tc>
          <w:tcPr>
            <w:tcW w:type="dxa" w:w="3041"/>
          </w:tcPr>
          <w:p>
            <w:r>
              <w:rPr>
                <w:color w:val="000000"/>
                <w:sz w:val="19"/>
              </w:rPr>
              <w:t>₹378.19 Lakhs</w:t>
            </w:r>
          </w:p>
        </w:tc>
        <w:tc>
          <w:tcPr>
            <w:tcW w:type="dxa" w:w="3041"/>
          </w:tcPr>
          <w:p>
            <w:r>
              <w:rPr>
                <w:color w:val="000000"/>
                <w:sz w:val="19"/>
              </w:rPr>
              <w:t>₹622.83 Lakhs</w:t>
            </w:r>
          </w:p>
        </w:tc>
      </w:tr>
      <w:tr>
        <w:tc>
          <w:tcPr>
            <w:tcW w:type="dxa" w:w="3041"/>
            <w:shd w:val="clear" w:color="auto" w:fill="EAF0F8"/>
          </w:tcPr>
          <w:p>
            <w:r>
              <w:rPr>
                <w:color w:val="000000"/>
                <w:sz w:val="19"/>
              </w:rPr>
              <w:t>EBITDA Margin</w:t>
            </w:r>
          </w:p>
        </w:tc>
        <w:tc>
          <w:tcPr>
            <w:tcW w:type="dxa" w:w="3041"/>
            <w:shd w:val="clear" w:color="auto" w:fill="EAF0F8"/>
          </w:tcPr>
          <w:p>
            <w:r>
              <w:rPr>
                <w:color w:val="000000"/>
                <w:sz w:val="19"/>
              </w:rPr>
              <w:t>13.31%</w:t>
            </w:r>
          </w:p>
        </w:tc>
        <w:tc>
          <w:tcPr>
            <w:tcW w:type="dxa" w:w="3041"/>
            <w:shd w:val="clear" w:color="auto" w:fill="EAF0F8"/>
          </w:tcPr>
          <w:p>
            <w:r>
              <w:rPr>
                <w:color w:val="000000"/>
                <w:sz w:val="19"/>
              </w:rPr>
              <w:t>12.60%</w:t>
            </w:r>
          </w:p>
        </w:tc>
      </w:tr>
      <w:tr>
        <w:tc>
          <w:tcPr>
            <w:tcW w:type="dxa" w:w="3041"/>
          </w:tcPr>
          <w:p>
            <w:r>
              <w:rPr>
                <w:color w:val="000000"/>
                <w:sz w:val="19"/>
              </w:rPr>
              <w:t>PAT Margin</w:t>
            </w:r>
          </w:p>
        </w:tc>
        <w:tc>
          <w:tcPr>
            <w:tcW w:type="dxa" w:w="3041"/>
          </w:tcPr>
          <w:p>
            <w:r>
              <w:rPr>
                <w:color w:val="000000"/>
                <w:sz w:val="19"/>
              </w:rPr>
              <w:t>7.31%</w:t>
            </w:r>
          </w:p>
        </w:tc>
        <w:tc>
          <w:tcPr>
            <w:tcW w:type="dxa" w:w="3041"/>
          </w:tcPr>
          <w:p>
            <w:r>
              <w:rPr>
                <w:color w:val="000000"/>
                <w:sz w:val="19"/>
              </w:rPr>
              <w:t>8.87%</w:t>
            </w:r>
          </w:p>
        </w:tc>
      </w:tr>
    </w:tbl>
    <w:p/>
    <w:p/>
    <w:p>
      <w:pPr>
        <w:spacing w:after="80"/>
        <w:jc w:val="both"/>
      </w:pPr>
      <w:r>
        <w:rPr>
          <w:sz w:val="21"/>
        </w:rPr>
        <w:t>The EBITDA margin experienced a slight compression from 13.31% to 12.60%, while the PAT margin improved from 7.31% to 8.87%, indicating effective control over bottom-line expenses and tax management.</w:t>
      </w:r>
    </w:p>
    <w:p/>
    <w:p>
      <w:r>
        <w:rPr>
          <w:b/>
          <w:color w:val="003366"/>
          <w:sz w:val="22"/>
        </w:rPr>
        <w:t>Balance Sheet Analysis</w:t>
      </w:r>
    </w:p>
    <w:p>
      <w:pPr>
        <w:spacing w:after="80"/>
        <w:jc w:val="both"/>
      </w:pPr>
      <w:r>
        <w:rPr>
          <w:sz w:val="21"/>
        </w:rPr>
        <w:t>The company’s balance sheet has expanded significantly, driven by an increase in the asset base and a substantial strengthening of the equity position.</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Total Assets</w:t>
            </w:r>
          </w:p>
        </w:tc>
        <w:tc>
          <w:tcPr>
            <w:tcW w:type="dxa" w:w="3041"/>
          </w:tcPr>
          <w:p>
            <w:r>
              <w:rPr>
                <w:color w:val="000000"/>
                <w:sz w:val="19"/>
              </w:rPr>
              <w:t>₹6,895.82 Lakhs</w:t>
            </w:r>
          </w:p>
        </w:tc>
        <w:tc>
          <w:tcPr>
            <w:tcW w:type="dxa" w:w="3041"/>
          </w:tcPr>
          <w:p>
            <w:r>
              <w:rPr>
                <w:color w:val="000000"/>
                <w:sz w:val="19"/>
              </w:rPr>
              <w:t>₹8,913.89 Lakhs</w:t>
            </w:r>
          </w:p>
        </w:tc>
      </w:tr>
      <w:tr>
        <w:tc>
          <w:tcPr>
            <w:tcW w:type="dxa" w:w="3041"/>
            <w:shd w:val="clear" w:color="auto" w:fill="EAF0F8"/>
          </w:tcPr>
          <w:p>
            <w:r>
              <w:rPr>
                <w:color w:val="000000"/>
                <w:sz w:val="19"/>
              </w:rPr>
              <w:t>Total Equity</w:t>
            </w:r>
          </w:p>
        </w:tc>
        <w:tc>
          <w:tcPr>
            <w:tcW w:type="dxa" w:w="3041"/>
            <w:shd w:val="clear" w:color="auto" w:fill="EAF0F8"/>
          </w:tcPr>
          <w:p>
            <w:r>
              <w:rPr>
                <w:color w:val="000000"/>
                <w:sz w:val="19"/>
              </w:rPr>
              <w:t>₹1,753.66 Lakhs</w:t>
            </w:r>
          </w:p>
        </w:tc>
        <w:tc>
          <w:tcPr>
            <w:tcW w:type="dxa" w:w="3041"/>
            <w:shd w:val="clear" w:color="auto" w:fill="EAF0F8"/>
          </w:tcPr>
          <w:p>
            <w:r>
              <w:rPr>
                <w:color w:val="000000"/>
                <w:sz w:val="19"/>
              </w:rPr>
              <w:t>₹5,083.81 Lakhs</w:t>
            </w:r>
          </w:p>
        </w:tc>
      </w:tr>
      <w:tr>
        <w:tc>
          <w:tcPr>
            <w:tcW w:type="dxa" w:w="3041"/>
          </w:tcPr>
          <w:p>
            <w:r>
              <w:rPr>
                <w:color w:val="000000"/>
                <w:sz w:val="19"/>
              </w:rPr>
              <w:t>Total Borrowings</w:t>
            </w:r>
          </w:p>
        </w:tc>
        <w:tc>
          <w:tcPr>
            <w:tcW w:type="dxa" w:w="3041"/>
          </w:tcPr>
          <w:p>
            <w:r>
              <w:rPr>
                <w:color w:val="000000"/>
                <w:sz w:val="19"/>
              </w:rPr>
              <w:t>₹2,373.23 Lakhs</w:t>
            </w:r>
          </w:p>
        </w:tc>
        <w:tc>
          <w:tcPr>
            <w:tcW w:type="dxa" w:w="3041"/>
          </w:tcPr>
          <w:p>
            <w:r>
              <w:rPr>
                <w:color w:val="000000"/>
                <w:sz w:val="19"/>
              </w:rPr>
              <w:t>₹2,115.28 Lakhs</w:t>
            </w:r>
          </w:p>
        </w:tc>
      </w:tr>
    </w:tbl>
    <w:p/>
    <w:p/>
    <w:p>
      <w:pPr>
        <w:spacing w:after="80"/>
        <w:jc w:val="both"/>
      </w:pPr>
      <w:r>
        <w:rPr>
          <w:sz w:val="21"/>
        </w:rPr>
        <w:t>Total assets grew from ₹6,895.82 Lakhs to ₹8,913.89 Lakhs. Notably, the company successfully reduced its total borrowings from ₹2,373.23 Lakhs in FY2024 to ₹2,115.28 Lakhs in FY2025, while total equity saw a marked increase, significantly improving the company's solvency profile.</w:t>
      </w:r>
    </w:p>
    <w:p/>
    <w:p>
      <w:r>
        <w:rPr>
          <w:b/>
          <w:color w:val="003366"/>
          <w:sz w:val="22"/>
        </w:rPr>
        <w:t>Key Financial Ratios</w:t>
      </w:r>
    </w:p>
    <w:p>
      <w:pPr>
        <w:spacing w:after="80"/>
        <w:jc w:val="both"/>
      </w:pPr>
      <w:r>
        <w:rPr>
          <w:sz w:val="21"/>
        </w:rPr>
        <w:t>The following table summarizes the available key financial ratios for the assessment period.</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bl>
    <w:p/>
    <w:p/>
    <w:p>
      <w:pPr>
        <w:spacing w:after="80"/>
        <w:jc w:val="both"/>
      </w:pPr>
      <w:r>
        <w:rPr>
          <w:sz w:val="21"/>
        </w:rPr>
        <w:t>*Note: Specific ratio metrics such as DSCR, ICR, Current Ratio, and Debt-Equity Ratio were not provided in the source data for the fiscal years under review. Consequently, a qualitative assessment of these specific leverage and liquidity indicators cannot be performed at this time.*</w:t>
      </w:r>
    </w:p>
    <w:p/>
    <w:p>
      <w:r>
        <w:rPr>
          <w:b/>
          <w:color w:val="003366"/>
          <w:sz w:val="22"/>
        </w:rPr>
        <w:t>Cash Flow Analysis</w:t>
      </w:r>
    </w:p>
    <w:p>
      <w:pPr>
        <w:spacing w:after="80"/>
        <w:jc w:val="both"/>
      </w:pPr>
      <w:r>
        <w:rPr>
          <w:sz w:val="21"/>
        </w:rPr>
        <w:t>The cash flow position reflects the company's ongoing investment in its operations and capital structure adjustments.</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Cash from Operations</w:t>
            </w:r>
          </w:p>
        </w:tc>
        <w:tc>
          <w:tcPr>
            <w:tcW w:type="dxa" w:w="3041"/>
          </w:tcPr>
          <w:p>
            <w:r>
              <w:rPr>
                <w:color w:val="000000"/>
                <w:sz w:val="19"/>
              </w:rPr>
              <w:t>₹589.04 Lakhs</w:t>
            </w:r>
          </w:p>
        </w:tc>
        <w:tc>
          <w:tcPr>
            <w:tcW w:type="dxa" w:w="3041"/>
          </w:tcPr>
          <w:p>
            <w:r>
              <w:rPr>
                <w:color w:val="000000"/>
                <w:sz w:val="19"/>
              </w:rPr>
              <w:t>₹448.85 Lakhs</w:t>
            </w:r>
          </w:p>
        </w:tc>
      </w:tr>
      <w:tr>
        <w:tc>
          <w:tcPr>
            <w:tcW w:type="dxa" w:w="3041"/>
            <w:shd w:val="clear" w:color="auto" w:fill="EAF0F8"/>
          </w:tcPr>
          <w:p>
            <w:r>
              <w:rPr>
                <w:color w:val="000000"/>
                <w:sz w:val="19"/>
              </w:rPr>
              <w:t>Cash from Investing</w:t>
            </w:r>
          </w:p>
        </w:tc>
        <w:tc>
          <w:tcPr>
            <w:tcW w:type="dxa" w:w="3041"/>
            <w:shd w:val="clear" w:color="auto" w:fill="EAF0F8"/>
          </w:tcPr>
          <w:p>
            <w:r>
              <w:rPr>
                <w:color w:val="000000"/>
                <w:sz w:val="19"/>
              </w:rPr>
              <w:t>-₹92.08 Lakhs</w:t>
            </w:r>
          </w:p>
        </w:tc>
        <w:tc>
          <w:tcPr>
            <w:tcW w:type="dxa" w:w="3041"/>
            <w:shd w:val="clear" w:color="auto" w:fill="EAF0F8"/>
          </w:tcPr>
          <w:p>
            <w:r>
              <w:rPr>
                <w:color w:val="000000"/>
                <w:sz w:val="19"/>
              </w:rPr>
              <w:t>-₹1,074.37 Lakhs</w:t>
            </w:r>
          </w:p>
        </w:tc>
      </w:tr>
      <w:tr>
        <w:tc>
          <w:tcPr>
            <w:tcW w:type="dxa" w:w="3041"/>
          </w:tcPr>
          <w:p>
            <w:r>
              <w:rPr>
                <w:color w:val="000000"/>
                <w:sz w:val="19"/>
              </w:rPr>
              <w:t>Cash from Financing</w:t>
            </w:r>
          </w:p>
        </w:tc>
        <w:tc>
          <w:tcPr>
            <w:tcW w:type="dxa" w:w="3041"/>
          </w:tcPr>
          <w:p>
            <w:r>
              <w:rPr>
                <w:color w:val="000000"/>
                <w:sz w:val="19"/>
              </w:rPr>
              <w:t>-₹85.67 Lakhs</w:t>
            </w:r>
          </w:p>
        </w:tc>
        <w:tc>
          <w:tcPr>
            <w:tcW w:type="dxa" w:w="3041"/>
          </w:tcPr>
          <w:p>
            <w:r>
              <w:rPr>
                <w:color w:val="000000"/>
                <w:sz w:val="19"/>
              </w:rPr>
              <w:t>₹2,136.47 Lakhs</w:t>
            </w:r>
          </w:p>
        </w:tc>
      </w:tr>
      <w:tr>
        <w:tc>
          <w:tcPr>
            <w:tcW w:type="dxa" w:w="3041"/>
            <w:shd w:val="clear" w:color="auto" w:fill="EAF0F8"/>
          </w:tcPr>
          <w:p>
            <w:r>
              <w:rPr>
                <w:color w:val="000000"/>
                <w:sz w:val="19"/>
              </w:rPr>
              <w:t>Closing Cash Position</w:t>
            </w:r>
          </w:p>
        </w:tc>
        <w:tc>
          <w:tcPr>
            <w:tcW w:type="dxa" w:w="3041"/>
            <w:shd w:val="clear" w:color="auto" w:fill="EAF0F8"/>
          </w:tcPr>
          <w:p>
            <w:r>
              <w:rPr>
                <w:color w:val="000000"/>
                <w:sz w:val="19"/>
              </w:rPr>
              <w:t>₹31.17 Lakhs</w:t>
            </w:r>
          </w:p>
        </w:tc>
        <w:tc>
          <w:tcPr>
            <w:tcW w:type="dxa" w:w="3041"/>
            <w:shd w:val="clear" w:color="auto" w:fill="EAF0F8"/>
          </w:tcPr>
          <w:p>
            <w:r>
              <w:rPr>
                <w:color w:val="000000"/>
                <w:sz w:val="19"/>
              </w:rPr>
              <w:t>₹1,542.12 Lakhs</w:t>
            </w:r>
          </w:p>
        </w:tc>
      </w:tr>
    </w:tbl>
    <w:p/>
    <w:p/>
    <w:p>
      <w:pPr>
        <w:spacing w:after="80"/>
        <w:jc w:val="both"/>
      </w:pPr>
      <w:r>
        <w:rPr>
          <w:sz w:val="21"/>
        </w:rPr>
        <w:t>Cash from operations remained positive in both years, providing internal support for business activities. The significant outflow in investing activities during FY2025 (-₹1,074.37 Lakhs) suggests a period of capital expenditure or asset acquisition. The financing cash flow of ₹2,136.47 Lakhs in FY2025 contributed to a substantial increase in the closing cash position, which rose from ₹31.17 Lakhs in FY2024 to ₹1,542.12 Lakhs in FY2025, indicating a strong liquidity buffer.</w:t>
      </w:r>
    </w:p>
    <w:p/>
    <w:p>
      <w:pPr>
        <w:pStyle w:val="Heading1"/>
        <w:spacing w:before="320" w:after="160"/>
      </w:pPr>
      <w:r>
        <w:rPr>
          <w:b/>
          <w:color w:val="003366"/>
          <w:sz w:val="26"/>
        </w:rPr>
        <w:t>SECTION 3 — EXISTING DEBT &amp; CREDIT PROFILE</w:t>
      </w:r>
    </w:p>
    <w:p>
      <w:pPr>
        <w:pBdr>
          <w:bottom w:val="single" w:sz="6" w:space="1" w:color="003366"/>
        </w:pBdr>
      </w:pPr>
    </w:p>
    <w:p>
      <w:r>
        <w:rPr>
          <w:b/>
          <w:color w:val="003366"/>
          <w:sz w:val="24"/>
        </w:rPr>
        <w:t>3. Existing Debt &amp; Credit Profile</w:t>
      </w:r>
    </w:p>
    <w:p/>
    <w:p>
      <w:r>
        <w:rPr>
          <w:b/>
          <w:color w:val="003366"/>
          <w:sz w:val="22"/>
        </w:rPr>
        <w:t>3.1 Existing Debt Instruments</w:t>
      </w:r>
    </w:p>
    <w:p>
      <w:pPr>
        <w:spacing w:after="80"/>
        <w:jc w:val="both"/>
      </w:pPr>
      <w:r>
        <w:rPr>
          <w:sz w:val="21"/>
        </w:rPr>
        <w:t>Abha Power and Steel Limited maintains a diversified debt portfolio consisting of term loans, cash credit facilities, and overdraft arrangements. The company’s borrowing profile includes institutional financing from ICICI Bank Ltd. and SIDBI, alongside various term loan obligations. The company has also secured project-specific financing, with charges registered against movable and immovable assets.</w:t>
      </w:r>
    </w:p>
    <w:p/>
    <w:p>
      <w:r>
        <w:rPr>
          <w:b/>
          <w:color w:val="003366"/>
          <w:sz w:val="22"/>
        </w:rPr>
        <w:t>3.2 Debt Terms &amp; Structure</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Term Loan</w:t>
            </w:r>
          </w:p>
        </w:tc>
        <w:tc>
          <w:tcPr>
            <w:tcW w:type="dxa" w:w="1520"/>
          </w:tcPr>
          <w:p>
            <w:r>
              <w:rPr>
                <w:color w:val="000000"/>
                <w:sz w:val="19"/>
              </w:rPr>
              <w:t>ICICI Bank Ltd.</w:t>
            </w:r>
          </w:p>
        </w:tc>
        <w:tc>
          <w:tcPr>
            <w:tcW w:type="dxa" w:w="1520"/>
          </w:tcPr>
          <w:p>
            <w:r>
              <w:rPr>
                <w:color w:val="000000"/>
                <w:sz w:val="19"/>
              </w:rPr>
              <w:t>Working capital</w:t>
            </w:r>
          </w:p>
        </w:tc>
        <w:tc>
          <w:tcPr>
            <w:tcW w:type="dxa" w:w="1520"/>
          </w:tcPr>
          <w:p>
            <w:r>
              <w:rPr>
                <w:color w:val="000000"/>
                <w:sz w:val="19"/>
              </w:rPr>
              <w:t>9.25%</w:t>
            </w:r>
          </w:p>
        </w:tc>
        <w:tc>
          <w:tcPr>
            <w:tcW w:type="dxa" w:w="1520"/>
          </w:tcPr>
          <w:p>
            <w:r>
              <w:rPr>
                <w:color w:val="000000"/>
                <w:sz w:val="19"/>
              </w:rPr>
              <w:t>Rs 31.11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8.50%</w:t>
            </w:r>
          </w:p>
        </w:tc>
        <w:tc>
          <w:tcPr>
            <w:tcW w:type="dxa" w:w="1520"/>
            <w:shd w:val="clear" w:color="auto" w:fill="EAF0F8"/>
          </w:tcPr>
          <w:p>
            <w:r>
              <w:rPr>
                <w:color w:val="000000"/>
                <w:sz w:val="19"/>
              </w:rPr>
              <w:t>Rs 129.32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Not Available</w:t>
            </w:r>
          </w:p>
        </w:tc>
        <w:tc>
          <w:tcPr>
            <w:tcW w:type="dxa" w:w="1520"/>
          </w:tcPr>
          <w:p>
            <w:r>
              <w:rPr>
                <w:color w:val="000000"/>
                <w:sz w:val="19"/>
              </w:rPr>
              <w:t>8.35%</w:t>
            </w:r>
          </w:p>
        </w:tc>
        <w:tc>
          <w:tcPr>
            <w:tcW w:type="dxa" w:w="1520"/>
          </w:tcPr>
          <w:p>
            <w:r>
              <w:rPr>
                <w:color w:val="000000"/>
                <w:sz w:val="19"/>
              </w:rPr>
              <w:t>Rs 74.71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Solar plant</w:t>
            </w:r>
          </w:p>
        </w:tc>
        <w:tc>
          <w:tcPr>
            <w:tcW w:type="dxa" w:w="1520"/>
            <w:shd w:val="clear" w:color="auto" w:fill="EAF0F8"/>
          </w:tcPr>
          <w:p>
            <w:r>
              <w:rPr>
                <w:color w:val="000000"/>
                <w:sz w:val="19"/>
              </w:rPr>
              <w:t>5.65%</w:t>
            </w:r>
          </w:p>
        </w:tc>
        <w:tc>
          <w:tcPr>
            <w:tcW w:type="dxa" w:w="1520"/>
            <w:shd w:val="clear" w:color="auto" w:fill="EAF0F8"/>
          </w:tcPr>
          <w:p>
            <w:r>
              <w:rPr>
                <w:color w:val="000000"/>
                <w:sz w:val="19"/>
              </w:rPr>
              <w:t>Rs 529.60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Solar plant</w:t>
            </w:r>
          </w:p>
        </w:tc>
        <w:tc>
          <w:tcPr>
            <w:tcW w:type="dxa" w:w="1520"/>
          </w:tcPr>
          <w:p>
            <w:r>
              <w:rPr>
                <w:color w:val="000000"/>
                <w:sz w:val="19"/>
              </w:rPr>
              <w:t>7.29%</w:t>
            </w:r>
          </w:p>
        </w:tc>
        <w:tc>
          <w:tcPr>
            <w:tcW w:type="dxa" w:w="1520"/>
          </w:tcPr>
          <w:p>
            <w:r>
              <w:rPr>
                <w:color w:val="000000"/>
                <w:sz w:val="19"/>
              </w:rPr>
              <w:t>Rs 340.40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7.00%</w:t>
            </w:r>
          </w:p>
        </w:tc>
        <w:tc>
          <w:tcPr>
            <w:tcW w:type="dxa" w:w="1520"/>
            <w:shd w:val="clear" w:color="auto" w:fill="EAF0F8"/>
          </w:tcPr>
          <w:p>
            <w:r>
              <w:rPr>
                <w:color w:val="000000"/>
                <w:sz w:val="19"/>
              </w:rPr>
              <w:t>Rs 113.82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ECLGS</w:t>
            </w:r>
          </w:p>
        </w:tc>
        <w:tc>
          <w:tcPr>
            <w:tcW w:type="dxa" w:w="1520"/>
          </w:tcPr>
          <w:p>
            <w:r>
              <w:rPr>
                <w:color w:val="000000"/>
                <w:sz w:val="19"/>
              </w:rPr>
              <w:t>6.00%</w:t>
            </w:r>
          </w:p>
        </w:tc>
        <w:tc>
          <w:tcPr>
            <w:tcW w:type="dxa" w:w="1520"/>
          </w:tcPr>
          <w:p>
            <w:r>
              <w:rPr>
                <w:color w:val="000000"/>
                <w:sz w:val="19"/>
              </w:rPr>
              <w:t>Rs 2.33 million</w:t>
            </w:r>
          </w:p>
        </w:tc>
        <w:tc>
          <w:tcPr>
            <w:tcW w:type="dxa" w:w="1520"/>
          </w:tcPr>
          <w:p>
            <w:r>
              <w:rPr>
                <w:color w:val="000000"/>
                <w:sz w:val="19"/>
              </w:rPr>
              <w:t>Not Available</w:t>
            </w:r>
          </w:p>
        </w:tc>
      </w:tr>
      <w:tr>
        <w:tc>
          <w:tcPr>
            <w:tcW w:type="dxa" w:w="1520"/>
            <w:shd w:val="clear" w:color="auto" w:fill="EAF0F8"/>
          </w:tcPr>
          <w:p>
            <w:r>
              <w:rPr>
                <w:color w:val="000000"/>
                <w:sz w:val="19"/>
              </w:rPr>
              <w:t>Cash Credit</w:t>
            </w:r>
          </w:p>
        </w:tc>
        <w:tc>
          <w:tcPr>
            <w:tcW w:type="dxa" w:w="1520"/>
            <w:shd w:val="clear" w:color="auto" w:fill="EAF0F8"/>
          </w:tcPr>
          <w:p>
            <w:r>
              <w:rPr>
                <w:color w:val="000000"/>
                <w:sz w:val="19"/>
              </w:rPr>
              <w:t>ICICI Bank Ltd.</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8.15%</w:t>
            </w:r>
          </w:p>
        </w:tc>
        <w:tc>
          <w:tcPr>
            <w:tcW w:type="dxa" w:w="1520"/>
            <w:shd w:val="clear" w:color="auto" w:fill="EAF0F8"/>
          </w:tcPr>
          <w:p>
            <w:r>
              <w:rPr>
                <w:color w:val="000000"/>
                <w:sz w:val="19"/>
              </w:rPr>
              <w:t>Rs 738.68 million</w:t>
            </w:r>
          </w:p>
        </w:tc>
        <w:tc>
          <w:tcPr>
            <w:tcW w:type="dxa" w:w="1520"/>
            <w:shd w:val="clear" w:color="auto" w:fill="EAF0F8"/>
          </w:tcPr>
          <w:p>
            <w:r>
              <w:rPr>
                <w:color w:val="000000"/>
                <w:sz w:val="19"/>
              </w:rPr>
              <w:t>Not Available</w:t>
            </w:r>
          </w:p>
        </w:tc>
      </w:tr>
      <w:tr>
        <w:tc>
          <w:tcPr>
            <w:tcW w:type="dxa" w:w="1520"/>
          </w:tcPr>
          <w:p>
            <w:r>
              <w:rPr>
                <w:color w:val="000000"/>
                <w:sz w:val="19"/>
              </w:rPr>
              <w:t>Overdraft</w:t>
            </w:r>
          </w:p>
        </w:tc>
        <w:tc>
          <w:tcPr>
            <w:tcW w:type="dxa" w:w="1520"/>
          </w:tcPr>
          <w:p>
            <w:r>
              <w:rPr>
                <w:color w:val="000000"/>
                <w:sz w:val="19"/>
              </w:rPr>
              <w:t>ICICI Bank Ltd.</w:t>
            </w:r>
          </w:p>
        </w:tc>
        <w:tc>
          <w:tcPr>
            <w:tcW w:type="dxa" w:w="1520"/>
          </w:tcPr>
          <w:p>
            <w:r>
              <w:rPr>
                <w:color w:val="000000"/>
                <w:sz w:val="19"/>
              </w:rPr>
              <w:t>Not Available</w:t>
            </w:r>
          </w:p>
        </w:tc>
        <w:tc>
          <w:tcPr>
            <w:tcW w:type="dxa" w:w="1520"/>
          </w:tcPr>
          <w:p>
            <w:r>
              <w:rPr>
                <w:color w:val="000000"/>
                <w:sz w:val="19"/>
              </w:rPr>
              <w:t>7.00%</w:t>
            </w:r>
          </w:p>
        </w:tc>
        <w:tc>
          <w:tcPr>
            <w:tcW w:type="dxa" w:w="1520"/>
          </w:tcPr>
          <w:p>
            <w:r>
              <w:rPr>
                <w:color w:val="000000"/>
                <w:sz w:val="19"/>
              </w:rPr>
              <w:t>Rs 100.00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Akbar Baur Shah</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9.00%</w:t>
            </w:r>
          </w:p>
        </w:tc>
        <w:tc>
          <w:tcPr>
            <w:tcW w:type="dxa" w:w="1520"/>
            <w:shd w:val="clear" w:color="auto" w:fill="EAF0F8"/>
          </w:tcPr>
          <w:p>
            <w:r>
              <w:rPr>
                <w:color w:val="000000"/>
                <w:sz w:val="19"/>
              </w:rPr>
              <w:t>Rs 0.90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D B I A L R D A A L R S</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 D W IL A I I P N S</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8.40%</w:t>
            </w:r>
          </w:p>
        </w:tc>
        <w:tc>
          <w:tcPr>
            <w:tcW w:type="dxa" w:w="1520"/>
            <w:shd w:val="clear" w:color="auto" w:fill="EAF0F8"/>
          </w:tcPr>
          <w:p>
            <w:r>
              <w:rPr>
                <w:color w:val="000000"/>
                <w:sz w:val="19"/>
              </w:rPr>
              <w:t>Rs 0.84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NAR SA O H T U TAM S</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N B I A R R M A A L L</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9.00%</w:t>
            </w:r>
          </w:p>
        </w:tc>
        <w:tc>
          <w:tcPr>
            <w:tcW w:type="dxa" w:w="1520"/>
            <w:shd w:val="clear" w:color="auto" w:fill="EAF0F8"/>
          </w:tcPr>
          <w:p>
            <w:r>
              <w:rPr>
                <w:color w:val="000000"/>
                <w:sz w:val="19"/>
              </w:rPr>
              <w:t>Rs 0.90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RAM SA G H O U PAL</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 Y A A G D A AV R</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8.40%</w:t>
            </w:r>
          </w:p>
        </w:tc>
        <w:tc>
          <w:tcPr>
            <w:tcW w:type="dxa" w:w="1520"/>
            <w:shd w:val="clear" w:color="auto" w:fill="EAF0F8"/>
          </w:tcPr>
          <w:p>
            <w:r>
              <w:rPr>
                <w:color w:val="000000"/>
                <w:sz w:val="19"/>
              </w:rPr>
              <w:t>Rs 0.84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K S Y A U A T M D I A S A V H R</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MOHAM- H M A A U D D B D A IN</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8.20%</w:t>
            </w:r>
          </w:p>
        </w:tc>
        <w:tc>
          <w:tcPr>
            <w:tcW w:type="dxa" w:w="1520"/>
            <w:shd w:val="clear" w:color="auto" w:fill="EAF0F8"/>
          </w:tcPr>
          <w:p>
            <w:r>
              <w:rPr>
                <w:color w:val="000000"/>
                <w:sz w:val="19"/>
              </w:rPr>
              <w:t>Rs 0.82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P S U H R A S R H A I T K R A E</w:t>
            </w:r>
          </w:p>
        </w:tc>
        <w:tc>
          <w:tcPr>
            <w:tcW w:type="dxa" w:w="1520"/>
          </w:tcPr>
          <w:p>
            <w:r>
              <w:rPr>
                <w:color w:val="000000"/>
                <w:sz w:val="19"/>
              </w:rPr>
              <w:t>Not Available</w:t>
            </w:r>
          </w:p>
        </w:tc>
        <w:tc>
          <w:tcPr>
            <w:tcW w:type="dxa" w:w="1520"/>
          </w:tcPr>
          <w:p>
            <w:r>
              <w:rPr>
                <w:color w:val="000000"/>
                <w:sz w:val="19"/>
              </w:rPr>
              <w:t>8.46%</w:t>
            </w:r>
          </w:p>
        </w:tc>
        <w:tc>
          <w:tcPr>
            <w:tcW w:type="dxa" w:w="1520"/>
          </w:tcPr>
          <w:p>
            <w:r>
              <w:rPr>
                <w:color w:val="000000"/>
                <w:sz w:val="19"/>
              </w:rPr>
              <w:t>Rs 0.85 million</w:t>
            </w:r>
          </w:p>
        </w:tc>
        <w:tc>
          <w:tcPr>
            <w:tcW w:type="dxa" w:w="1520"/>
          </w:tcPr>
          <w:p>
            <w:r>
              <w:rPr>
                <w:color w:val="000000"/>
                <w:sz w:val="19"/>
              </w:rPr>
              <w:t>Not Available</w:t>
            </w:r>
          </w:p>
        </w:tc>
      </w:tr>
    </w:tbl>
    <w:p/>
    <w:p/>
    <w:p>
      <w:pPr>
        <w:spacing w:after="80"/>
        <w:jc w:val="both"/>
      </w:pPr>
      <w:r>
        <w:rPr>
          <w:sz w:val="21"/>
        </w:rPr>
        <w:t>*Note: Outstanding amounts for individual term loans from private parties have been converted from absolute values to Rs million for consistency.*</w:t>
      </w:r>
    </w:p>
    <w:p/>
    <w:p>
      <w:r>
        <w:rPr>
          <w:b/>
          <w:color w:val="003366"/>
          <w:sz w:val="22"/>
        </w:rPr>
        <w:t>3.4 Covenants &amp; Restrictions</w:t>
      </w:r>
    </w:p>
    <w:p>
      <w:pPr>
        <w:spacing w:after="80"/>
        <w:jc w:val="both"/>
      </w:pPr>
      <w:r>
        <w:rPr>
          <w:sz w:val="21"/>
        </w:rPr>
        <w:t>The company’s credit facilities are subject to various security arrangements:</w:t>
      </w:r>
    </w:p>
    <w:p>
      <w:pPr>
        <w:pStyle w:val="ListBullet"/>
        <w:jc w:val="both"/>
      </w:pPr>
      <w:r>
        <w:rPr>
          <w:sz w:val="21"/>
        </w:rPr>
        <w:t xml:space="preserve">  </w:t>
      </w:r>
      <w:r>
        <w:rPr>
          <w:b/>
          <w:sz w:val="21"/>
        </w:rPr>
        <w:t>ICICI Bank Ltd. (Term Loan):</w:t>
      </w:r>
      <w:r>
        <w:rPr>
          <w:sz w:val="21"/>
        </w:rPr>
        <w:t xml:space="preserve"> Second charge on assets financed under the scheme, second charge on existing account, and second charge on property with an aggregate value of Rs 97.0 million.</w:t>
      </w:r>
    </w:p>
    <w:p>
      <w:pPr>
        <w:pStyle w:val="ListBullet"/>
        <w:jc w:val="both"/>
      </w:pPr>
      <w:r>
        <w:rPr>
          <w:sz w:val="21"/>
        </w:rPr>
        <w:t xml:space="preserve">  </w:t>
      </w:r>
      <w:r>
        <w:rPr>
          <w:b/>
          <w:sz w:val="21"/>
        </w:rPr>
        <w:t>ICICI Bank Ltd. (Cash Credit):</w:t>
      </w:r>
      <w:r>
        <w:rPr>
          <w:sz w:val="21"/>
        </w:rPr>
        <w:t xml:space="preserve"> Exclusive charge by way of hypothecation of entire stocks of raw materials, semi-finished and finished goods, consumable stores and spares, book-debts, bills, outstanding monies, and receivables; Equitable Mortgage on commercial vacant land and residential properties.</w:t>
      </w:r>
    </w:p>
    <w:p>
      <w:pPr>
        <w:pStyle w:val="ListBullet"/>
        <w:jc w:val="both"/>
      </w:pPr>
      <w:r>
        <w:rPr>
          <w:sz w:val="21"/>
        </w:rPr>
        <w:t xml:space="preserve">  </w:t>
      </w:r>
      <w:r>
        <w:rPr>
          <w:b/>
          <w:sz w:val="21"/>
        </w:rPr>
        <w:t>ICICI Bank Ltd. (Overdraft):</w:t>
      </w:r>
      <w:r>
        <w:rPr>
          <w:sz w:val="21"/>
        </w:rPr>
        <w:t xml:space="preserve"> Secured against Fixed Deposits.</w:t>
      </w:r>
    </w:p>
    <w:p>
      <w:pPr>
        <w:pStyle w:val="ListBullet"/>
        <w:jc w:val="both"/>
      </w:pPr>
      <w:r>
        <w:rPr>
          <w:sz w:val="21"/>
        </w:rPr>
        <w:t xml:space="preserve">  </w:t>
      </w:r>
      <w:r>
        <w:rPr>
          <w:b/>
          <w:sz w:val="21"/>
        </w:rPr>
        <w:t>SIDBI Facilities:</w:t>
      </w:r>
      <w:r>
        <w:rPr>
          <w:sz w:val="21"/>
        </w:rPr>
        <w:t xml:space="preserve"> First charge by way of mortgage/hypothecation of immovable/movable assets; extension of first charge on movables, leasehold rights, and freehold rights of properties owned by Shri Subhash Chand Agrawal and Abha Power &amp; Steel Pvt Ltd.</w:t>
      </w:r>
    </w:p>
    <w:p>
      <w:pPr>
        <w:pStyle w:val="ListBullet"/>
        <w:jc w:val="both"/>
      </w:pPr>
      <w:r>
        <w:rPr>
          <w:sz w:val="21"/>
        </w:rPr>
        <w:t xml:space="preserve">  </w:t>
      </w:r>
      <w:r>
        <w:rPr>
          <w:b/>
          <w:sz w:val="21"/>
        </w:rPr>
        <w:t>General Project Loans:</w:t>
      </w:r>
      <w:r>
        <w:rPr>
          <w:sz w:val="21"/>
        </w:rPr>
        <w:t xml:space="preserve"> First charge by way of hypothecation on all movable assets including plant and machinery, tools, and office equipment.</w:t>
      </w:r>
    </w:p>
    <w:p>
      <w:pPr>
        <w:pStyle w:val="ListBullet"/>
        <w:jc w:val="both"/>
      </w:pPr>
      <w:r>
        <w:rPr>
          <w:sz w:val="21"/>
        </w:rPr>
        <w:t xml:space="preserve">  </w:t>
      </w:r>
      <w:r>
        <w:rPr>
          <w:b/>
          <w:sz w:val="21"/>
        </w:rPr>
        <w:t>Soft Loan:</w:t>
      </w:r>
      <w:r>
        <w:rPr>
          <w:sz w:val="21"/>
        </w:rPr>
        <w:t xml:space="preserve"> Subject to residual charge.</w:t>
      </w:r>
    </w:p>
    <w:p/>
    <w:p>
      <w:r>
        <w:rPr>
          <w:b/>
          <w:color w:val="003366"/>
          <w:sz w:val="22"/>
        </w:rPr>
        <w:t>3.5 Repayment &amp; Conduct</w:t>
      </w:r>
    </w:p>
    <w:p>
      <w:pPr>
        <w:spacing w:after="80"/>
        <w:jc w:val="both"/>
      </w:pPr>
      <w:r>
        <w:rPr>
          <w:sz w:val="21"/>
        </w:rPr>
        <w:t>No adverse conduct has been reported based on available information.</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4. Risk Assessment &amp; Security</w:t>
      </w:r>
    </w:p>
    <w:p/>
    <w:p>
      <w:r>
        <w:rPr>
          <w:b/>
          <w:color w:val="003366"/>
          <w:sz w:val="22"/>
        </w:rPr>
        <w:t>4.1 Risk Assessment</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Risk</w:t>
            </w:r>
          </w:p>
        </w:tc>
        <w:tc>
          <w:tcPr>
            <w:tcW w:type="dxa" w:w="3041"/>
            <w:shd w:val="clear" w:color="auto" w:fill="003366"/>
          </w:tcPr>
          <w:p>
            <w:r>
              <w:rPr>
                <w:b/>
                <w:color w:val="FFFFFF"/>
                <w:sz w:val="19"/>
              </w:rPr>
              <w:t>Severity</w:t>
            </w:r>
          </w:p>
        </w:tc>
        <w:tc>
          <w:tcPr>
            <w:tcW w:type="dxa" w:w="3041"/>
            <w:shd w:val="clear" w:color="auto" w:fill="003366"/>
          </w:tcPr>
          <w:p>
            <w:r>
              <w:rPr>
                <w:b/>
                <w:color w:val="FFFFFF"/>
                <w:sz w:val="19"/>
              </w:rPr>
              <w:t>Mitigant</w:t>
            </w:r>
          </w:p>
        </w:tc>
      </w:tr>
      <w:tr>
        <w:tc>
          <w:tcPr>
            <w:tcW w:type="dxa" w:w="3041"/>
          </w:tcPr>
          <w:p>
            <w:r>
              <w:rPr>
                <w:color w:val="000000"/>
                <w:sz w:val="19"/>
              </w:rPr>
              <w:t>Financial Risk: DSCR of 0.66x indicates that principal repayments exceed current earnings cover.</w:t>
            </w:r>
          </w:p>
        </w:tc>
        <w:tc>
          <w:tcPr>
            <w:tcW w:type="dxa" w:w="3041"/>
          </w:tcPr>
          <w:p>
            <w:r>
              <w:rPr>
                <w:color w:val="000000"/>
                <w:sz w:val="19"/>
              </w:rPr>
              <w:t>High</w:t>
            </w:r>
          </w:p>
        </w:tc>
        <w:tc>
          <w:tcPr>
            <w:tcW w:type="dxa" w:w="3041"/>
          </w:tcPr>
          <w:p>
            <w:r>
              <w:rPr>
                <w:color w:val="000000"/>
                <w:sz w:val="19"/>
              </w:rPr>
              <w:t>Post-IPO cash buffer of INR 1,542 lakh provides liquidity support; Debt/Equity ratio has improved to 0.42.</w:t>
            </w:r>
          </w:p>
        </w:tc>
      </w:tr>
      <w:tr>
        <w:tc>
          <w:tcPr>
            <w:tcW w:type="dxa" w:w="3041"/>
            <w:shd w:val="clear" w:color="auto" w:fill="EAF0F8"/>
          </w:tcPr>
          <w:p>
            <w:r>
              <w:rPr>
                <w:color w:val="000000"/>
                <w:sz w:val="19"/>
              </w:rPr>
              <w:t>Operational Risk: Inventory turnover of 3.39x (~108 days) ties up working capital.</w:t>
            </w:r>
          </w:p>
        </w:tc>
        <w:tc>
          <w:tcPr>
            <w:tcW w:type="dxa" w:w="3041"/>
            <w:shd w:val="clear" w:color="auto" w:fill="EAF0F8"/>
          </w:tcPr>
          <w:p>
            <w:r>
              <w:rPr>
                <w:color w:val="000000"/>
                <w:sz w:val="19"/>
              </w:rPr>
              <w:t>Moderate</w:t>
            </w:r>
          </w:p>
        </w:tc>
        <w:tc>
          <w:tcPr>
            <w:tcW w:type="dxa" w:w="3041"/>
            <w:shd w:val="clear" w:color="auto" w:fill="EAF0F8"/>
          </w:tcPr>
          <w:p>
            <w:r>
              <w:rPr>
                <w:color w:val="000000"/>
                <w:sz w:val="19"/>
              </w:rPr>
              <w:t>Management utilizes demand-based planning and net realisable value provisioning to manage inventory levels.</w:t>
            </w:r>
          </w:p>
        </w:tc>
      </w:tr>
      <w:tr>
        <w:tc>
          <w:tcPr>
            <w:tcW w:type="dxa" w:w="3041"/>
          </w:tcPr>
          <w:p>
            <w:r>
              <w:rPr>
                <w:color w:val="000000"/>
                <w:sz w:val="19"/>
              </w:rPr>
              <w:t>Market Risk: Cyclical nature of steel casting and concentration in the railway sector.</w:t>
            </w:r>
          </w:p>
        </w:tc>
        <w:tc>
          <w:tcPr>
            <w:tcW w:type="dxa" w:w="3041"/>
          </w:tcPr>
          <w:p>
            <w:r>
              <w:rPr>
                <w:color w:val="000000"/>
                <w:sz w:val="19"/>
              </w:rPr>
              <w:t>Moderate</w:t>
            </w:r>
          </w:p>
        </w:tc>
        <w:tc>
          <w:tcPr>
            <w:tcW w:type="dxa" w:w="3041"/>
          </w:tcPr>
          <w:p>
            <w:r>
              <w:rPr>
                <w:color w:val="000000"/>
                <w:sz w:val="19"/>
              </w:rPr>
              <w:t>The company maintains a diversified asset base and has achieved ~45% utilization.</w:t>
            </w:r>
          </w:p>
        </w:tc>
      </w:tr>
      <w:tr>
        <w:tc>
          <w:tcPr>
            <w:tcW w:type="dxa" w:w="3041"/>
            <w:shd w:val="clear" w:color="auto" w:fill="EAF0F8"/>
          </w:tcPr>
          <w:p>
            <w:r>
              <w:rPr>
                <w:color w:val="000000"/>
                <w:sz w:val="19"/>
              </w:rPr>
              <w:t>Management Risk: Audit-trail (edit-log) feature in accounting software was not operated throughout the year.</w:t>
            </w:r>
          </w:p>
        </w:tc>
        <w:tc>
          <w:tcPr>
            <w:tcW w:type="dxa" w:w="3041"/>
            <w:shd w:val="clear" w:color="auto" w:fill="EAF0F8"/>
          </w:tcPr>
          <w:p>
            <w:r>
              <w:rPr>
                <w:color w:val="000000"/>
                <w:sz w:val="19"/>
              </w:rPr>
              <w:t>Moderate</w:t>
            </w:r>
          </w:p>
        </w:tc>
        <w:tc>
          <w:tcPr>
            <w:tcW w:type="dxa" w:w="3041"/>
            <w:shd w:val="clear" w:color="auto" w:fill="EAF0F8"/>
          </w:tcPr>
          <w:p>
            <w:r>
              <w:rPr>
                <w:color w:val="000000"/>
                <w:sz w:val="19"/>
              </w:rPr>
              <w:t>Implementation of maker-checker controls and internal audit conducted by an independent CA firm.</w:t>
            </w:r>
          </w:p>
        </w:tc>
      </w:tr>
      <w:tr>
        <w:tc>
          <w:tcPr>
            <w:tcW w:type="dxa" w:w="3041"/>
          </w:tcPr>
          <w:p>
            <w:r>
              <w:rPr>
                <w:color w:val="000000"/>
                <w:sz w:val="19"/>
              </w:rPr>
              <w:t>Compliance Risk: CARO exception regarding delayed CSR transfer (INR 4.67 lakh).</w:t>
            </w:r>
          </w:p>
        </w:tc>
        <w:tc>
          <w:tcPr>
            <w:tcW w:type="dxa" w:w="3041"/>
          </w:tcPr>
          <w:p>
            <w:r>
              <w:rPr>
                <w:color w:val="000000"/>
                <w:sz w:val="19"/>
              </w:rPr>
              <w:t>Low</w:t>
            </w:r>
          </w:p>
        </w:tc>
        <w:tc>
          <w:tcPr>
            <w:tcW w:type="dxa" w:w="3041"/>
          </w:tcPr>
          <w:p>
            <w:r>
              <w:rPr>
                <w:color w:val="000000"/>
                <w:sz w:val="19"/>
              </w:rPr>
              <w:t>The amount has since been transferred to the PMNRF as of 20-Aug-2025; no unspent CSR remains.</w:t>
            </w:r>
          </w:p>
        </w:tc>
      </w:tr>
      <w:tr>
        <w:tc>
          <w:tcPr>
            <w:tcW w:type="dxa" w:w="3041"/>
            <w:shd w:val="clear" w:color="auto" w:fill="EAF0F8"/>
          </w:tcPr>
          <w:p>
            <w:r>
              <w:rPr>
                <w:color w:val="000000"/>
                <w:sz w:val="19"/>
              </w:rPr>
              <w:t>External Risk: Minor delays in the deposit of statutory dues.</w:t>
            </w:r>
          </w:p>
        </w:tc>
        <w:tc>
          <w:tcPr>
            <w:tcW w:type="dxa" w:w="3041"/>
            <w:shd w:val="clear" w:color="auto" w:fill="EAF0F8"/>
          </w:tcPr>
          <w:p>
            <w:r>
              <w:rPr>
                <w:color w:val="000000"/>
                <w:sz w:val="19"/>
              </w:rPr>
              <w:t>Low</w:t>
            </w:r>
          </w:p>
        </w:tc>
        <w:tc>
          <w:tcPr>
            <w:tcW w:type="dxa" w:w="3041"/>
            <w:shd w:val="clear" w:color="auto" w:fill="EAF0F8"/>
          </w:tcPr>
          <w:p>
            <w:r>
              <w:rPr>
                <w:color w:val="000000"/>
                <w:sz w:val="19"/>
              </w:rPr>
              <w:t>Statutory dues are generally deposited regularly; the auditor provided an unqualified opinion.</w:t>
            </w:r>
          </w:p>
        </w:tc>
      </w:tr>
    </w:tbl>
    <w:p/>
    <w:p/>
    <w:p>
      <w:r>
        <w:rPr>
          <w:b/>
          <w:color w:val="003366"/>
          <w:sz w:val="22"/>
        </w:rPr>
        <w:t>4.2 SAVE Risk Rating</w:t>
      </w:r>
    </w:p>
    <w:p/>
    <w:p>
      <w:pPr>
        <w:pStyle w:val="ListBullet"/>
        <w:jc w:val="both"/>
      </w:pPr>
      <w:r>
        <w:rPr>
          <w:sz w:val="21"/>
        </w:rPr>
        <w:t xml:space="preserve">  </w:t>
      </w:r>
      <w:r>
        <w:rPr>
          <w:b/>
          <w:sz w:val="21"/>
        </w:rPr>
        <w:t>Overall Score:</w:t>
      </w:r>
      <w:r>
        <w:rPr>
          <w:sz w:val="21"/>
        </w:rPr>
        <w:t xml:space="preserve"> 6.20</w:t>
      </w:r>
    </w:p>
    <w:p>
      <w:pPr>
        <w:pStyle w:val="ListBullet"/>
        <w:jc w:val="both"/>
      </w:pPr>
      <w:r>
        <w:rPr>
          <w:sz w:val="21"/>
        </w:rPr>
        <w:t xml:space="preserve">  </w:t>
      </w:r>
      <w:r>
        <w:rPr>
          <w:b/>
          <w:sz w:val="21"/>
        </w:rPr>
        <w:t>Rating:</w:t>
      </w:r>
      <w:r>
        <w:rPr>
          <w:sz w:val="21"/>
        </w:rPr>
        <w:t xml:space="preserve"> MODERATE RISK</w:t>
      </w:r>
    </w:p>
    <w:p>
      <w:pPr>
        <w:pStyle w:val="ListBullet"/>
        <w:jc w:val="both"/>
      </w:pPr>
      <w:r>
        <w:rPr>
          <w:sz w:val="21"/>
        </w:rPr>
        <w:t xml:space="preserve">  </w:t>
      </w:r>
      <w:r>
        <w:rPr>
          <w:b/>
          <w:sz w:val="21"/>
        </w:rPr>
        <w:t>Movement:</w:t>
      </w:r>
      <w:r>
        <w:rPr>
          <w:sz w:val="21"/>
        </w:rPr>
        <w:t xml:space="preserve"> Not applicable (Previous rating not available)</w:t>
      </w:r>
    </w:p>
    <w:p>
      <w:pPr>
        <w:pStyle w:val="ListBullet"/>
        <w:jc w:val="both"/>
      </w:pPr>
      <w:r>
        <w:rPr>
          <w:sz w:val="21"/>
        </w:rPr>
        <w:t xml:space="preserve">  </w:t>
      </w:r>
      <w:r>
        <w:rPr>
          <w:b/>
          <w:sz w:val="21"/>
        </w:rPr>
        <w:t>Sub-scores:</w:t>
      </w:r>
      <w:r>
        <w:rPr>
          <w:sz w:val="21"/>
        </w:rPr>
        <w:t xml:space="preserve"> Financial Strength (1.75), Profitability &amp; Growth (1.40), Cash Flow Adequacy (0.60), Asset Quality (0.70), Industry / Market Risk (0.50), Management Quality (0.60), Compliance &amp; Legal (0.30), ESG / Sustainability (0.35).</w:t>
      </w:r>
    </w:p>
    <w:p/>
    <w:p>
      <w:pPr>
        <w:spacing w:after="80"/>
        <w:jc w:val="both"/>
      </w:pPr>
      <w:r>
        <w:rPr>
          <w:b/>
          <w:sz w:val="21"/>
        </w:rPr>
        <w:t>Creditworthiness Commentary:</w:t>
      </w:r>
      <w:r>
        <w:rPr>
          <w:sz w:val="21"/>
        </w:rPr>
        <w:t xml:space="preserve"> The "Moderate Risk" rating reflects a company with strong financial fundamentals, including a healthy Debt/Equity ratio of 0.42 and positive growth in revenue (+35.6%) and PAT (+64.7%). While the DSCR of 0.66x indicates near-term pressure on debt servicing, the company’s liquidity position (INR 1,542 lakh) and recent IPO capital infusion support its ability to meet liabilities as they fall due.</w:t>
      </w:r>
    </w:p>
    <w:p/>
    <w:p>
      <w:r>
        <w:rPr>
          <w:b/>
          <w:color w:val="003366"/>
          <w:sz w:val="22"/>
        </w:rPr>
        <w:t>4.3 Security &amp; Collateral</w:t>
      </w:r>
    </w:p>
    <w:p/>
    <w:p>
      <w:pPr>
        <w:spacing w:after="80"/>
        <w:jc w:val="both"/>
      </w:pPr>
      <w:r>
        <w:rPr>
          <w:b/>
          <w:sz w:val="21"/>
        </w:rPr>
        <w:t>Primary Security:</w:t>
      </w:r>
    </w:p>
    <w:p>
      <w:pPr>
        <w:pStyle w:val="ListBullet"/>
        <w:jc w:val="both"/>
      </w:pPr>
      <w:r>
        <w:rPr>
          <w:sz w:val="21"/>
        </w:rPr>
        <w:t xml:space="preserve">  </w:t>
      </w:r>
      <w:r>
        <w:rPr>
          <w:b/>
          <w:sz w:val="21"/>
        </w:rPr>
        <w:t>Hypothecation:</w:t>
      </w:r>
      <w:r>
        <w:rPr>
          <w:sz w:val="21"/>
        </w:rPr>
        <w:t xml:space="preserve"> Exclusive charge in favor of the Bank over the entire stock of raw materials, semi-finished and finished goods, consumable stores, spares, and all movables including book-debts, bills, and outstanding receivables.</w:t>
      </w:r>
    </w:p>
    <w:p/>
    <w:p>
      <w:pPr>
        <w:spacing w:after="80"/>
        <w:jc w:val="both"/>
      </w:pPr>
      <w:r>
        <w:rPr>
          <w:b/>
          <w:sz w:val="21"/>
        </w:rPr>
        <w:t>Collateral Security:</w:t>
      </w:r>
    </w:p>
    <w:p>
      <w:pPr>
        <w:pStyle w:val="ListBullet"/>
        <w:jc w:val="both"/>
      </w:pPr>
      <w:r>
        <w:rPr>
          <w:sz w:val="21"/>
        </w:rPr>
        <w:t xml:space="preserve">  </w:t>
      </w:r>
      <w:r>
        <w:rPr>
          <w:b/>
          <w:sz w:val="21"/>
        </w:rPr>
        <w:t>Lien:</w:t>
      </w:r>
      <w:r>
        <w:rPr>
          <w:sz w:val="21"/>
        </w:rPr>
        <w:t xml:space="preserve"> Shares of the Company.</w:t>
      </w:r>
    </w:p>
    <w:p>
      <w:pPr>
        <w:pStyle w:val="ListBullet"/>
        <w:jc w:val="both"/>
      </w:pPr>
      <w:r>
        <w:rPr>
          <w:sz w:val="21"/>
        </w:rPr>
        <w:t xml:space="preserve">  </w:t>
      </w:r>
      <w:r>
        <w:rPr>
          <w:b/>
          <w:sz w:val="21"/>
        </w:rPr>
        <w:t>Mortgage (Leasehold):</w:t>
      </w:r>
      <w:r>
        <w:rPr>
          <w:sz w:val="21"/>
        </w:rPr>
        <w:t xml:space="preserve"> Immovable property at Hardikala Village, Bilha Tahsil, Bilaspur District (part of Khasra No. 657/2, area 3,19,200 sq.ft.).</w:t>
      </w:r>
    </w:p>
    <w:p>
      <w:pPr>
        <w:pStyle w:val="ListBullet"/>
        <w:jc w:val="both"/>
      </w:pPr>
      <w:r>
        <w:rPr>
          <w:sz w:val="21"/>
        </w:rPr>
        <w:t xml:space="preserve">  </w:t>
      </w:r>
      <w:r>
        <w:rPr>
          <w:b/>
          <w:sz w:val="21"/>
        </w:rPr>
        <w:t>Mortgage (Freehold):</w:t>
      </w:r>
      <w:r>
        <w:rPr>
          <w:sz w:val="21"/>
        </w:rPr>
        <w:t xml:space="preserve"> Immovable property owned by Shri Subhash Chand Agrawal at Plot No. B/75, Vypar Vihar Zone-One, Bilaspur (area 2,640 sq.ft.).</w:t>
      </w:r>
    </w:p>
    <w:p>
      <w:pPr>
        <w:pStyle w:val="ListBullet"/>
        <w:jc w:val="both"/>
      </w:pPr>
      <w:r>
        <w:rPr>
          <w:sz w:val="21"/>
        </w:rPr>
        <w:t xml:space="preserve">  </w:t>
      </w:r>
      <w:r>
        <w:rPr>
          <w:b/>
          <w:sz w:val="21"/>
        </w:rPr>
        <w:t>Mortgage (Freehold):</w:t>
      </w:r>
      <w:r>
        <w:rPr>
          <w:sz w:val="21"/>
        </w:rPr>
        <w:t xml:space="preserve"> Immovable properties at Kh. No. 446/1 and Kh. No. 447/1, Mouza Bakarkuda, Tehsil Masturi, Bilaspur.</w:t>
      </w:r>
    </w:p>
    <w:p>
      <w:pPr>
        <w:pStyle w:val="ListBullet"/>
        <w:jc w:val="both"/>
      </w:pPr>
      <w:r>
        <w:rPr>
          <w:sz w:val="21"/>
        </w:rPr>
        <w:t xml:space="preserve">  </w:t>
      </w:r>
      <w:r>
        <w:rPr>
          <w:b/>
          <w:sz w:val="21"/>
        </w:rPr>
        <w:t>Mortgage (Freehold):</w:t>
      </w:r>
      <w:r>
        <w:rPr>
          <w:sz w:val="21"/>
        </w:rPr>
        <w:t xml:space="preserve"> Immovable properties at Khasra No. 446/2, 447/2, 448/2, 449/6, 433/3, Mouza Bakarkuda, Tehsil Masturi, Bilaspur.</w:t>
      </w:r>
    </w:p>
    <w:p>
      <w:pPr>
        <w:pStyle w:val="ListBullet"/>
        <w:jc w:val="both"/>
      </w:pPr>
      <w:r>
        <w:rPr>
          <w:sz w:val="21"/>
        </w:rPr>
        <w:t xml:space="preserve">  </w:t>
      </w:r>
      <w:r>
        <w:rPr>
          <w:b/>
          <w:sz w:val="21"/>
        </w:rPr>
        <w:t>Mortgage (Freehold):</w:t>
      </w:r>
      <w:r>
        <w:rPr>
          <w:sz w:val="21"/>
        </w:rPr>
        <w:t xml:space="preserve"> Immovable properties at Khasra No. 432 and Khasra No. 448/1, Mouza Bakarkuda, Tehsil Masturi, Bilaspur.</w:t>
      </w:r>
    </w:p>
    <w:p>
      <w:pPr>
        <w:pStyle w:val="ListBullet"/>
        <w:jc w:val="both"/>
      </w:pPr>
      <w:r>
        <w:rPr>
          <w:sz w:val="21"/>
        </w:rPr>
        <w:t xml:space="preserve">  </w:t>
      </w:r>
      <w:r>
        <w:rPr>
          <w:b/>
          <w:sz w:val="21"/>
        </w:rPr>
        <w:t>Mortgage (Freehold):</w:t>
      </w:r>
      <w:r>
        <w:rPr>
          <w:sz w:val="21"/>
        </w:rPr>
        <w:t xml:space="preserve"> Commercial Vacant Land owned by Mr. Harish Kumar Shah, Mr. Satish Kumar Shah, and Mr. Girish Kumar Shah at Khasra no. 71, Mouja Boudri, Bilha Tehsil (Value: INR 500.00 lakh).</w:t>
      </w:r>
    </w:p>
    <w:p>
      <w:pPr>
        <w:pStyle w:val="ListBullet"/>
        <w:jc w:val="both"/>
      </w:pPr>
      <w:r>
        <w:rPr>
          <w:sz w:val="21"/>
        </w:rPr>
        <w:t xml:space="preserve">  </w:t>
      </w:r>
      <w:r>
        <w:rPr>
          <w:b/>
          <w:sz w:val="21"/>
        </w:rPr>
        <w:t>Mortgage (Freehold):</w:t>
      </w:r>
      <w:r>
        <w:rPr>
          <w:sz w:val="21"/>
        </w:rPr>
        <w:t xml:space="preserve"> Commercial Vacant Land owned by M/s Abha Power &amp; Steel Pvt Ltd at Khasra no. 440/4, 449/4, 449/5, 449/7, 449/8, 450/1, 451, Mouja Bakarkuda, Tehsil Masturi, Bilaspur (Value: INR 250.00 lakh).</w:t>
      </w:r>
    </w:p>
    <w:p>
      <w:pPr>
        <w:pStyle w:val="ListBullet"/>
        <w:jc w:val="both"/>
      </w:pPr>
      <w:r>
        <w:rPr>
          <w:sz w:val="21"/>
        </w:rPr>
        <w:t xml:space="preserve">  </w:t>
      </w:r>
      <w:r>
        <w:rPr>
          <w:b/>
          <w:sz w:val="21"/>
        </w:rPr>
        <w:t>Mortgage (Residential):</w:t>
      </w:r>
      <w:r>
        <w:rPr>
          <w:sz w:val="21"/>
        </w:rPr>
        <w:t xml:space="preserve"> Property owned by Mr. Harish Kumar Shah at Plot no. 294, Khasra no. 836/3, Block no. 5, Ghanshyam Homes, Bilaspur (Value: INR 60.00 lakh).</w:t>
      </w:r>
    </w:p>
    <w:p>
      <w:pPr>
        <w:pStyle w:val="ListBullet"/>
        <w:jc w:val="both"/>
      </w:pPr>
      <w:r>
        <w:rPr>
          <w:sz w:val="21"/>
        </w:rPr>
        <w:t xml:space="preserve">  </w:t>
      </w:r>
      <w:r>
        <w:rPr>
          <w:b/>
          <w:sz w:val="21"/>
        </w:rPr>
        <w:t>Mortgage (Residential):</w:t>
      </w:r>
      <w:r>
        <w:rPr>
          <w:sz w:val="21"/>
        </w:rPr>
        <w:t xml:space="preserve"> Property owned by Mr. Satish Kumar Shah at Plot no. 294, Khasra no. 836/3, Block no. 5, Ghanshyam Homes, Bilaspur (Value: INR 60.00 lakh).</w:t>
      </w:r>
    </w:p>
    <w:p>
      <w:pPr>
        <w:pStyle w:val="ListBullet"/>
        <w:jc w:val="both"/>
      </w:pPr>
      <w:r>
        <w:rPr>
          <w:sz w:val="21"/>
        </w:rPr>
        <w:t xml:space="preserve">  </w:t>
      </w:r>
      <w:r>
        <w:rPr>
          <w:b/>
          <w:sz w:val="21"/>
        </w:rPr>
        <w:t>Mortgage (Residential):</w:t>
      </w:r>
      <w:r>
        <w:rPr>
          <w:sz w:val="21"/>
        </w:rPr>
        <w:t xml:space="preserve"> Property owned by Mr. Sanatan A Shah at Sheet No 23/5, Block No 5, Vinoba Nagar, Bilaspur (Value: INR 100.00 lakh).</w:t>
      </w:r>
    </w:p>
    <w:p/>
    <w:p>
      <w:r>
        <w:rPr>
          <w:b/>
          <w:color w:val="003366"/>
          <w:sz w:val="22"/>
        </w:rPr>
        <w:t>4.4 Contingent Liabilities</w:t>
      </w:r>
    </w:p>
    <w:p/>
    <w:p>
      <w:pPr>
        <w:spacing w:after="80"/>
        <w:jc w:val="both"/>
      </w:pPr>
      <w:r>
        <w:rPr>
          <w:sz w:val="21"/>
        </w:rPr>
        <w:t>No material contingent liabilities have been identified.</w:t>
      </w:r>
    </w:p>
    <w:p/>
    <w:p>
      <w:pPr>
        <w:pStyle w:val="Heading1"/>
        <w:spacing w:before="320" w:after="160"/>
      </w:pPr>
      <w:r>
        <w:rPr>
          <w:b/>
          <w:color w:val="003366"/>
          <w:sz w:val="26"/>
        </w:rPr>
        <w:t>SECTION 5 — DATA CONSISTENCY REVIEW</w:t>
      </w:r>
    </w:p>
    <w:p>
      <w:pPr>
        <w:pBdr>
          <w:bottom w:val="single" w:sz="6" w:space="1" w:color="003366"/>
        </w:pBdr>
      </w:pPr>
    </w:p>
    <w:p>
      <w:pPr>
        <w:pStyle w:val="ListBullet"/>
        <w:jc w:val="both"/>
      </w:pPr>
      <w:r>
        <w:rPr>
          <w:b/>
          <w:sz w:val="21"/>
        </w:rPr>
        <w:t>Company Name (Historical)</w:t>
      </w:r>
      <w:r>
        <w:rPr>
          <w:sz w:val="21"/>
        </w:rPr>
        <w:t>: Borrower Profile reports "Abha Power and Steel Limited" while Audit Findings reports "Abha Power &amp; Steel Private Limited" (severity: minor)</w:t>
      </w:r>
    </w:p>
    <w:p/>
    <w:p>
      <w:pPr>
        <w:pStyle w:val="ListBullet"/>
        <w:jc w:val="both"/>
      </w:pPr>
      <w:r>
        <w:rPr>
          <w:b/>
          <w:sz w:val="21"/>
        </w:rPr>
        <w:t>CSR Compliance</w:t>
      </w:r>
      <w:r>
        <w:rPr>
          <w:sz w:val="21"/>
        </w:rPr>
        <w:t>: SAVE Risk Assessment reports "Unspent CSR of INR 4.67 L transferred to PMNRF only on 20-Aug-2025" while Audit Findings reports "The audit report for FY2025 (dated 2026-06-23) does not report an unspent CSR balance or transfer exception for the period ending March 31, 2025" (severity: critical)</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2"/>
        </w:rPr>
        <w:t>5.1 Proposed Credit Structure</w:t>
      </w:r>
    </w:p>
    <w:p>
      <w:pPr>
        <w:spacing w:after="80"/>
        <w:jc w:val="both"/>
      </w:pPr>
      <w:r>
        <w:rPr>
          <w:sz w:val="21"/>
        </w:rPr>
        <w:t>Based on the financial performance and the current capital structure of Abha Power and Steel Limited, the following credit facility is proposed to support ongoing operations:</w:t>
      </w:r>
    </w:p>
    <w:p/>
    <w:p>
      <w:pPr>
        <w:pStyle w:val="ListBullet"/>
        <w:jc w:val="both"/>
      </w:pPr>
      <w:r>
        <w:rPr>
          <w:sz w:val="21"/>
        </w:rPr>
        <w:t xml:space="preserve">  </w:t>
      </w:r>
      <w:r>
        <w:rPr>
          <w:b/>
          <w:sz w:val="21"/>
        </w:rPr>
        <w:t>Facility Type:</w:t>
      </w:r>
      <w:r>
        <w:rPr>
          <w:sz w:val="21"/>
        </w:rPr>
        <w:t xml:space="preserve"> Working Capital Demand Loan (WCDL) / Cash Credit</w:t>
      </w:r>
    </w:p>
    <w:p>
      <w:pPr>
        <w:pStyle w:val="ListBullet"/>
        <w:jc w:val="both"/>
      </w:pPr>
      <w:r>
        <w:rPr>
          <w:sz w:val="21"/>
        </w:rPr>
        <w:t xml:space="preserve">  </w:t>
      </w:r>
      <w:r>
        <w:rPr>
          <w:b/>
          <w:sz w:val="21"/>
        </w:rPr>
        <w:t>Amount:</w:t>
      </w:r>
      <w:r>
        <w:rPr>
          <w:sz w:val="21"/>
        </w:rPr>
        <w:t xml:space="preserve"> ₹700.00 Lakhs (Aligned with the scale of operations and current working capital requirements)</w:t>
      </w:r>
    </w:p>
    <w:p>
      <w:pPr>
        <w:pStyle w:val="ListBullet"/>
        <w:jc w:val="both"/>
      </w:pPr>
      <w:r>
        <w:rPr>
          <w:sz w:val="21"/>
        </w:rPr>
        <w:t xml:space="preserve">  </w:t>
      </w:r>
      <w:r>
        <w:rPr>
          <w:b/>
          <w:sz w:val="21"/>
        </w:rPr>
        <w:t>Tenor:</w:t>
      </w:r>
      <w:r>
        <w:rPr>
          <w:sz w:val="21"/>
        </w:rPr>
        <w:t xml:space="preserve"> 12 months (Renewable annually)</w:t>
      </w:r>
    </w:p>
    <w:p>
      <w:pPr>
        <w:pStyle w:val="ListBullet"/>
        <w:jc w:val="both"/>
      </w:pPr>
      <w:r>
        <w:rPr>
          <w:sz w:val="21"/>
        </w:rPr>
        <w:t xml:space="preserve">  </w:t>
      </w:r>
      <w:r>
        <w:rPr>
          <w:b/>
          <w:sz w:val="21"/>
        </w:rPr>
        <w:t>Interest Rate:</w:t>
      </w:r>
      <w:r>
        <w:rPr>
          <w:sz w:val="21"/>
        </w:rPr>
        <w:t xml:space="preserve"> Linked to the Bank’s MCLR + applicable spread (currently benchmarked against existing ICICI Bank facilities at 8.15% - 9.25%)</w:t>
      </w:r>
    </w:p>
    <w:p>
      <w:pPr>
        <w:pStyle w:val="ListBullet"/>
        <w:jc w:val="both"/>
      </w:pPr>
      <w:r>
        <w:rPr>
          <w:sz w:val="21"/>
        </w:rPr>
        <w:t xml:space="preserve">  </w:t>
      </w:r>
      <w:r>
        <w:rPr>
          <w:b/>
          <w:sz w:val="21"/>
        </w:rPr>
        <w:t>Repayment Schedule:</w:t>
      </w:r>
      <w:r>
        <w:rPr>
          <w:sz w:val="21"/>
        </w:rPr>
        <w:t xml:space="preserve"> Interest to be serviced monthly; principal repayable on demand or at the end of the tenor.</w:t>
      </w:r>
    </w:p>
    <w:p>
      <w:pPr>
        <w:pStyle w:val="ListBullet"/>
        <w:jc w:val="both"/>
      </w:pPr>
      <w:r>
        <w:rPr>
          <w:sz w:val="21"/>
        </w:rPr>
        <w:t xml:space="preserve">  </w:t>
      </w:r>
      <w:r>
        <w:rPr>
          <w:b/>
          <w:sz w:val="21"/>
        </w:rPr>
        <w:t>Security:</w:t>
      </w:r>
    </w:p>
    <w:p>
      <w:pPr>
        <w:pStyle w:val="ListBullet"/>
        <w:jc w:val="both"/>
      </w:pPr>
      <w:r>
        <w:rPr>
          <w:sz w:val="21"/>
        </w:rPr>
        <w:t xml:space="preserve">  Primary: Exclusive charge by way of hypothecation on the entire stock of raw materials, semi-finished and finished goods, consumable stores, and book debts.</w:t>
      </w:r>
    </w:p>
    <w:p>
      <w:pPr>
        <w:pStyle w:val="ListBullet"/>
        <w:jc w:val="both"/>
      </w:pPr>
      <w:r>
        <w:rPr>
          <w:sz w:val="21"/>
        </w:rPr>
        <w:t xml:space="preserve">  Collateral: Extension of equitable mortgage on existing commercial and residential properties currently charged to ICICI Bank.</w:t>
      </w:r>
    </w:p>
    <w:p/>
    <w:p>
      <w:r>
        <w:rPr>
          <w:b/>
          <w:color w:val="003366"/>
          <w:sz w:val="22"/>
        </w:rPr>
        <w:t>5.2 Key Conditions &amp; Covenants</w:t>
      </w:r>
    </w:p>
    <w:p>
      <w:pPr>
        <w:spacing w:after="80"/>
        <w:jc w:val="both"/>
      </w:pPr>
      <w:r>
        <w:rPr>
          <w:sz w:val="21"/>
        </w:rPr>
        <w:t>The approval is subject to the following conditions and covenants to mitigate identified risks:</w:t>
      </w:r>
    </w:p>
    <w:p/>
    <w:p>
      <w:pPr>
        <w:pStyle w:val="ListBullet"/>
        <w:jc w:val="both"/>
      </w:pPr>
      <w:r>
        <w:rPr>
          <w:sz w:val="21"/>
        </w:rPr>
        <w:t xml:space="preserve">  </w:t>
      </w:r>
      <w:r>
        <w:rPr>
          <w:b/>
          <w:sz w:val="21"/>
        </w:rPr>
        <w:t>Conditions Precedent:</w:t>
      </w:r>
    </w:p>
    <w:p>
      <w:pPr>
        <w:pStyle w:val="ListBullet"/>
        <w:jc w:val="both"/>
      </w:pPr>
      <w:r>
        <w:rPr>
          <w:sz w:val="21"/>
        </w:rPr>
        <w:t xml:space="preserve">  Submission of a board-certified resolution for the new facility.</w:t>
      </w:r>
    </w:p>
    <w:p>
      <w:pPr>
        <w:pStyle w:val="ListBullet"/>
        <w:jc w:val="both"/>
      </w:pPr>
      <w:r>
        <w:rPr>
          <w:sz w:val="21"/>
        </w:rPr>
        <w:t xml:space="preserve">  Evidence of rectification regarding the audit-trail (edit-log) software functionality as noted by the statutory auditors.</w:t>
      </w:r>
    </w:p>
    <w:p>
      <w:pPr>
        <w:pStyle w:val="ListBullet"/>
        <w:jc w:val="both"/>
      </w:pPr>
      <w:r>
        <w:rPr>
          <w:sz w:val="21"/>
        </w:rPr>
        <w:t xml:space="preserve">  Confirmation of the closure of all minor tax demands.</w:t>
      </w:r>
    </w:p>
    <w:p>
      <w:pPr>
        <w:pStyle w:val="ListBullet"/>
        <w:jc w:val="both"/>
      </w:pPr>
      <w:r>
        <w:rPr>
          <w:sz w:val="21"/>
        </w:rPr>
        <w:t xml:space="preserve">  </w:t>
      </w:r>
      <w:r>
        <w:rPr>
          <w:b/>
          <w:sz w:val="21"/>
        </w:rPr>
        <w:t>Financial Covenants:</w:t>
      </w:r>
    </w:p>
    <w:p>
      <w:pPr>
        <w:pStyle w:val="ListBullet"/>
        <w:jc w:val="both"/>
      </w:pPr>
      <w:r>
        <w:rPr>
          <w:sz w:val="21"/>
        </w:rPr>
        <w:t xml:space="preserve">  </w:t>
      </w:r>
      <w:r>
        <w:rPr>
          <w:b/>
          <w:sz w:val="21"/>
        </w:rPr>
        <w:t>DSCR:</w:t>
      </w:r>
      <w:r>
        <w:rPr>
          <w:sz w:val="21"/>
        </w:rPr>
        <w:t xml:space="preserve"> Maintain a minimum Debt Service Coverage Ratio of 1.25x.</w:t>
      </w:r>
    </w:p>
    <w:p>
      <w:pPr>
        <w:pStyle w:val="ListBullet"/>
        <w:jc w:val="both"/>
      </w:pPr>
      <w:r>
        <w:rPr>
          <w:sz w:val="21"/>
        </w:rPr>
        <w:t xml:space="preserve">  </w:t>
      </w:r>
      <w:r>
        <w:rPr>
          <w:b/>
          <w:sz w:val="21"/>
        </w:rPr>
        <w:t>D/E Ratio:</w:t>
      </w:r>
      <w:r>
        <w:rPr>
          <w:sz w:val="21"/>
        </w:rPr>
        <w:t xml:space="preserve"> Maintain a Debt-to-Equity ratio below 1.50x.</w:t>
      </w:r>
    </w:p>
    <w:p>
      <w:pPr>
        <w:pStyle w:val="ListBullet"/>
        <w:jc w:val="both"/>
      </w:pPr>
      <w:r>
        <w:rPr>
          <w:sz w:val="21"/>
        </w:rPr>
        <w:t xml:space="preserve">  </w:t>
      </w:r>
      <w:r>
        <w:rPr>
          <w:b/>
          <w:sz w:val="21"/>
        </w:rPr>
        <w:t>Inventory Turnover:</w:t>
      </w:r>
      <w:r>
        <w:rPr>
          <w:sz w:val="21"/>
        </w:rPr>
        <w:t xml:space="preserve"> Maintain inventory turnover ratio above 4.0x to ensure efficient working capital management.</w:t>
      </w:r>
    </w:p>
    <w:p>
      <w:pPr>
        <w:pStyle w:val="ListBullet"/>
        <w:jc w:val="both"/>
      </w:pPr>
      <w:r>
        <w:rPr>
          <w:sz w:val="21"/>
        </w:rPr>
        <w:t xml:space="preserve">  </w:t>
      </w:r>
      <w:r>
        <w:rPr>
          <w:b/>
          <w:sz w:val="21"/>
        </w:rPr>
        <w:t>Reporting Requirements:</w:t>
      </w:r>
    </w:p>
    <w:p>
      <w:pPr>
        <w:pStyle w:val="ListBullet"/>
        <w:jc w:val="both"/>
      </w:pPr>
      <w:r>
        <w:rPr>
          <w:sz w:val="21"/>
        </w:rPr>
        <w:t xml:space="preserve">  Quarterly submission of stock and book-debt statements.</w:t>
      </w:r>
    </w:p>
    <w:p>
      <w:pPr>
        <w:pStyle w:val="ListBullet"/>
        <w:jc w:val="both"/>
      </w:pPr>
      <w:r>
        <w:rPr>
          <w:sz w:val="21"/>
        </w:rPr>
        <w:t xml:space="preserve">  Annual audited financial statements within 6 months of the fiscal year-end.</w:t>
      </w:r>
    </w:p>
    <w:p>
      <w:pPr>
        <w:pStyle w:val="ListBullet"/>
        <w:jc w:val="both"/>
      </w:pPr>
      <w:r>
        <w:rPr>
          <w:sz w:val="21"/>
        </w:rPr>
        <w:t xml:space="preserve">  Half-yearly certificate from an independent Chartered Accountant confirming the operational status of the accounting software audit-trail feature.</w:t>
      </w:r>
    </w:p>
    <w:p/>
    <w:p>
      <w:r>
        <w:rPr>
          <w:b/>
          <w:color w:val="003366"/>
          <w:sz w:val="22"/>
        </w:rPr>
        <w:t>5.3 Final Recommendation</w:t>
      </w:r>
    </w:p>
    <w:p>
      <w:pPr>
        <w:spacing w:after="80"/>
        <w:jc w:val="both"/>
      </w:pPr>
      <w:r>
        <w:rPr>
          <w:b/>
          <w:sz w:val="21"/>
        </w:rPr>
        <w:t>Recommendation: Approve with Conditions</w:t>
      </w:r>
    </w:p>
    <w:p/>
    <w:p>
      <w:pPr>
        <w:spacing w:after="80"/>
        <w:jc w:val="both"/>
      </w:pPr>
      <w:r>
        <w:rPr>
          <w:b/>
          <w:sz w:val="21"/>
        </w:rPr>
        <w:t>Justification:</w:t>
      </w:r>
    </w:p>
    <w:p>
      <w:pPr>
        <w:spacing w:after="80"/>
        <w:jc w:val="both"/>
      </w:pPr>
      <w:r>
        <w:rPr>
          <w:sz w:val="21"/>
        </w:rPr>
        <w:t>The recommendation for approval is based on the company’s robust growth trajectory, evidenced by a 35.6% increase in revenue to ₹7,018.01 Lakhs in FY2025 and a significant improvement in PAT to ₹622.83 Lakhs. The company maintains a healthy Debt-to-Equity ratio of 0.42 and has successfully bolstered its liquidity position with a closing cash balance of ₹1,542.12 Lakhs following its IPO.</w:t>
      </w:r>
    </w:p>
    <w:p/>
    <w:p>
      <w:pPr>
        <w:spacing w:after="80"/>
        <w:jc w:val="both"/>
      </w:pPr>
      <w:r>
        <w:rPr>
          <w:sz w:val="21"/>
        </w:rPr>
        <w:t>While the SAVE rating is "MODERATE RISK" (6.20), the concerns regarding the DSCR of 0.66x and the audit-trail control gap are addressed through the proposed covenants and conditions precedent. The auditor’s opinion remains "Unqualified," and the company is deemed a going concern. The facility is justified by the company's strong asset quality and the successful application of IPO proceeds for intended purposes. The conditions imposed are specifically designed to ensure the company improves its cash flow adequacy and strengthens its internal control environment.</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Abha Power and Steel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