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3366"/>
          <w:sz w:val="40"/>
        </w:rPr>
        <w:t>CREDIT ASSESSMENT MEMORANDUM</w:t>
      </w:r>
    </w:p>
    <w:p/>
    <w:p>
      <w:pPr>
        <w:jc w:val="center"/>
      </w:pPr>
      <w:r>
        <w:rPr>
          <w:b/>
          <w:color w:val="336699"/>
          <w:sz w:val="28"/>
        </w:rPr>
        <w:t>Abha Power and Steel Limited</w:t>
      </w:r>
    </w:p>
    <w:p/>
    <w:p>
      <w:pPr>
        <w:jc w:val="center"/>
      </w:pPr>
      <w:r>
        <w:rPr>
          <w:b/>
          <w:color w:val="CC0000"/>
          <w:sz w:val="18"/>
        </w:rPr>
        <w:t>CONFIDENTIAL — FOR INTERNAL USE ONLY</w:t>
      </w:r>
    </w:p>
    <w:p>
      <w:r>
        <w:br w:type="page"/>
      </w:r>
    </w:p>
    <w:p>
      <w:pPr>
        <w:pStyle w:val="Heading1"/>
        <w:spacing w:before="320" w:after="160"/>
      </w:pPr>
      <w:r>
        <w:rPr>
          <w:b/>
          <w:color w:val="003366"/>
          <w:sz w:val="26"/>
        </w:rPr>
        <w:t>SECTION 1 — BORROWER OVERVIEW &amp; BACKGROUND</w:t>
      </w:r>
    </w:p>
    <w:p>
      <w:pPr>
        <w:pBdr>
          <w:bottom w:val="single" w:sz="6" w:space="1" w:color="003366"/>
        </w:pBdr>
      </w:pPr>
    </w:p>
    <w:p>
      <w:pPr>
        <w:spacing w:after="80"/>
        <w:jc w:val="both"/>
      </w:pPr>
      <w:r>
        <w:rPr>
          <w:sz w:val="21"/>
        </w:rPr>
        <w:t># Section 1 — Borrower Overview &amp; Background</w:t>
      </w:r>
    </w:p>
    <w:p/>
    <w:p>
      <w:r>
        <w:rPr>
          <w:b/>
          <w:color w:val="003366"/>
          <w:sz w:val="24"/>
        </w:rPr>
        <w:t>1. Executive Summary</w:t>
      </w:r>
    </w:p>
    <w:p>
      <w:pPr>
        <w:spacing w:after="80"/>
        <w:jc w:val="both"/>
      </w:pPr>
      <w:r>
        <w:rPr>
          <w:sz w:val="21"/>
        </w:rPr>
        <w:t>Abha Power and Steel Limited is a Public Limited Company incorporated in 2004, primarily engaged in the manufacturing of Steel products. The company's registered office is located at Silpahri Industrial State, Bilaspur, Chattisgarh-495001. As of the latest available data, the promoter group holds 29.2 percent of the company's shares. Details regarding the specific credit proposal, facility purpose, and key financial highlights are not available in the provided dataset.</w:t>
      </w:r>
    </w:p>
    <w:p/>
    <w:p>
      <w:r>
        <w:rPr>
          <w:b/>
          <w:color w:val="003366"/>
          <w:sz w:val="24"/>
        </w:rPr>
        <w:t>2. Borrower Background</w:t>
      </w:r>
    </w:p>
    <w:p>
      <w:pPr>
        <w:spacing w:after="80"/>
        <w:jc w:val="both"/>
      </w:pPr>
      <w:r>
        <w:rPr>
          <w:sz w:val="21"/>
        </w:rPr>
        <w:t>Abha Power and Steel Limited, identified by Corporate Identification Number (CIN) L27102CT2004PLC016654, was incorporated in 2004 as a Public Limited Company. The company's registered office is situated at Silpahri Industrial State, Bilaspur, Chattisgarh-495001. The core business nature of Abha Power and Steel Limited is the manufacturing of Steel products, operating within the steel industry.</w:t>
      </w:r>
    </w:p>
    <w:p/>
    <w:p>
      <w:r>
        <w:rPr>
          <w:b/>
          <w:color w:val="003366"/>
          <w:sz w:val="24"/>
        </w:rPr>
        <w:t>3. Management &amp; Promoters</w:t>
      </w:r>
    </w:p>
    <w:p>
      <w:pPr>
        <w:spacing w:after="80"/>
        <w:jc w:val="both"/>
      </w:pPr>
      <w:r>
        <w:rPr>
          <w:sz w:val="21"/>
        </w:rPr>
        <w:t>The promoter group of Abha Power and Steel Limited includes:</w:t>
      </w:r>
    </w:p>
    <w:p>
      <w:pPr>
        <w:pStyle w:val="ListBullet"/>
        <w:jc w:val="both"/>
      </w:pPr>
      <w:r>
        <w:rPr>
          <w:sz w:val="21"/>
        </w:rPr>
        <w:t xml:space="preserve">  Atish Agrawal, Managing Director</w:t>
      </w:r>
    </w:p>
    <w:p>
      <w:pPr>
        <w:pStyle w:val="ListBullet"/>
        <w:jc w:val="both"/>
      </w:pPr>
      <w:r>
        <w:rPr>
          <w:sz w:val="21"/>
        </w:rPr>
        <w:t xml:space="preserve">  Satish Kumar Shah, Whole-time Director</w:t>
      </w:r>
    </w:p>
    <w:p>
      <w:pPr>
        <w:pStyle w:val="ListBullet"/>
        <w:jc w:val="both"/>
      </w:pPr>
      <w:r>
        <w:rPr>
          <w:sz w:val="21"/>
        </w:rPr>
        <w:t xml:space="preserve">  Subhash Chand Agrawal, Non-Executive, Non-Independent Director</w:t>
      </w:r>
    </w:p>
    <w:p>
      <w:pPr>
        <w:pStyle w:val="ListBullet"/>
        <w:jc w:val="both"/>
      </w:pPr>
      <w:r>
        <w:rPr>
          <w:sz w:val="21"/>
        </w:rPr>
        <w:t xml:space="preserve">  Naleen Shah, Non-Executive, Non-Independent Director</w:t>
      </w:r>
    </w:p>
    <w:p/>
    <w:p>
      <w:pPr>
        <w:spacing w:after="80"/>
        <w:jc w:val="both"/>
      </w:pPr>
      <w:r>
        <w:rPr>
          <w:sz w:val="21"/>
        </w:rPr>
        <w:t>The key management team comprises the following individuals:</w:t>
      </w:r>
    </w:p>
    <w:p>
      <w:pPr>
        <w:pStyle w:val="ListBullet"/>
        <w:jc w:val="both"/>
      </w:pPr>
      <w:r>
        <w:rPr>
          <w:sz w:val="21"/>
        </w:rPr>
        <w:t xml:space="preserve">  Satish Kumar Shah, Whole-time Director</w:t>
      </w:r>
    </w:p>
    <w:p>
      <w:pPr>
        <w:pStyle w:val="ListBullet"/>
        <w:jc w:val="both"/>
      </w:pPr>
      <w:r>
        <w:rPr>
          <w:sz w:val="21"/>
        </w:rPr>
        <w:t xml:space="preserve">  Atish Agrawal, Managing Director</w:t>
      </w:r>
    </w:p>
    <w:p>
      <w:pPr>
        <w:pStyle w:val="ListBullet"/>
        <w:jc w:val="both"/>
      </w:pPr>
      <w:r>
        <w:rPr>
          <w:sz w:val="21"/>
        </w:rPr>
        <w:t xml:space="preserve">  AK BARSAH, Supervisor, with 29 years of experience</w:t>
      </w:r>
    </w:p>
    <w:p>
      <w:pPr>
        <w:pStyle w:val="ListBullet"/>
        <w:jc w:val="both"/>
      </w:pPr>
      <w:r>
        <w:rPr>
          <w:sz w:val="21"/>
        </w:rPr>
        <w:t xml:space="preserve">  D BALRAM, Supervisor, with 16 years of experience</w:t>
      </w:r>
    </w:p>
    <w:p>
      <w:pPr>
        <w:pStyle w:val="ListBullet"/>
        <w:jc w:val="both"/>
      </w:pPr>
      <w:r>
        <w:rPr>
          <w:sz w:val="21"/>
        </w:rPr>
        <w:t xml:space="preserve">  S DILAIP, Supervisor, with 18 years of experience</w:t>
      </w:r>
    </w:p>
    <w:p>
      <w:pPr>
        <w:pStyle w:val="ListBullet"/>
        <w:jc w:val="both"/>
      </w:pPr>
      <w:r>
        <w:rPr>
          <w:sz w:val="21"/>
        </w:rPr>
        <w:t xml:space="preserve">  NAR SOTHU, Supervisor, with 17 years of experience</w:t>
      </w:r>
    </w:p>
    <w:p>
      <w:pPr>
        <w:pStyle w:val="ListBullet"/>
        <w:jc w:val="both"/>
      </w:pPr>
      <w:r>
        <w:rPr>
          <w:sz w:val="21"/>
        </w:rPr>
        <w:t xml:space="preserve">  N BIRMAL, Supervisor, with 12 years of experience</w:t>
      </w:r>
    </w:p>
    <w:p>
      <w:pPr>
        <w:pStyle w:val="ListBullet"/>
        <w:jc w:val="both"/>
      </w:pPr>
      <w:r>
        <w:rPr>
          <w:sz w:val="21"/>
        </w:rPr>
        <w:t xml:space="preserve">  RAM SAGHOUPAL, Supervisor, with 28 years of experience</w:t>
      </w:r>
    </w:p>
    <w:p>
      <w:pPr>
        <w:pStyle w:val="ListBullet"/>
        <w:jc w:val="both"/>
      </w:pPr>
      <w:r>
        <w:rPr>
          <w:sz w:val="21"/>
        </w:rPr>
        <w:t xml:space="preserve">  S YAGADAV, Supervisor, with 02 years of experience</w:t>
      </w:r>
    </w:p>
    <w:p>
      <w:pPr>
        <w:pStyle w:val="ListBullet"/>
        <w:jc w:val="both"/>
      </w:pPr>
      <w:r>
        <w:rPr>
          <w:sz w:val="21"/>
        </w:rPr>
        <w:t xml:space="preserve">  K SYAUTAM DISAVH, Supervisor, with 06 years of experience</w:t>
      </w:r>
    </w:p>
    <w:p>
      <w:pPr>
        <w:pStyle w:val="ListBullet"/>
        <w:jc w:val="both"/>
      </w:pPr>
      <w:r>
        <w:rPr>
          <w:sz w:val="21"/>
        </w:rPr>
        <w:t xml:space="preserve">  MOHAMMAD B DIN, Supervisor, with 31 years of experience</w:t>
      </w:r>
    </w:p>
    <w:p>
      <w:pPr>
        <w:pStyle w:val="ListBullet"/>
        <w:jc w:val="both"/>
      </w:pPr>
      <w:r>
        <w:rPr>
          <w:sz w:val="21"/>
        </w:rPr>
        <w:t xml:space="preserve">  NANDU, Supervisor</w:t>
      </w:r>
    </w:p>
    <w:p>
      <w:pPr>
        <w:pStyle w:val="ListBullet"/>
        <w:jc w:val="both"/>
      </w:pPr>
      <w:r>
        <w:rPr>
          <w:sz w:val="21"/>
        </w:rPr>
        <w:t xml:space="preserve">  P SHURASHITRA, Supervisor, with 11 years of experience</w:t>
      </w:r>
    </w:p>
    <w:p/>
    <w:p>
      <w:pPr>
        <w:spacing w:after="80"/>
        <w:jc w:val="both"/>
      </w:pPr>
      <w:r>
        <w:rPr>
          <w:sz w:val="21"/>
        </w:rPr>
        <w:t>Qualifications for the management team members are not available in the provided data.</w:t>
      </w:r>
    </w:p>
    <w:p/>
    <w:p>
      <w:r>
        <w:rPr>
          <w:b/>
          <w:color w:val="003366"/>
          <w:sz w:val="24"/>
        </w:rPr>
        <w:t>4. Ownership Structure</w:t>
      </w:r>
    </w:p>
    <w:p>
      <w:pPr>
        <w:spacing w:after="80"/>
        <w:jc w:val="both"/>
      </w:pPr>
      <w:r>
        <w:rPr>
          <w:sz w:val="21"/>
        </w:rPr>
        <w:t>As per the available shareholding data, the promoter group holds 29.2 percent of the total shares in Abha Power and Steel Limited. Information regarding public institutional and public non-institutional shareholding percentages is not available.</w:t>
      </w:r>
    </w:p>
    <w:p/>
    <w:p>
      <w:pPr>
        <w:pStyle w:val="Heading1"/>
        <w:spacing w:before="320" w:after="160"/>
      </w:pPr>
      <w:r>
        <w:rPr>
          <w:b/>
          <w:color w:val="003366"/>
          <w:sz w:val="26"/>
        </w:rPr>
        <w:t>SECTION 2 — FINANCIAL ANALYSIS</w:t>
      </w:r>
    </w:p>
    <w:p>
      <w:pPr>
        <w:pBdr>
          <w:bottom w:val="single" w:sz="6" w:space="1" w:color="003366"/>
        </w:pBdr>
      </w:pPr>
    </w:p>
    <w:p>
      <w:r>
        <w:rPr>
          <w:b/>
          <w:color w:val="003366"/>
          <w:sz w:val="24"/>
        </w:rPr>
        <w:t>2. Financial Analysis</w:t>
      </w:r>
    </w:p>
    <w:p/>
    <w:p>
      <w:pPr>
        <w:spacing w:after="80"/>
        <w:jc w:val="both"/>
      </w:pPr>
      <w:r>
        <w:rPr>
          <w:sz w:val="21"/>
        </w:rPr>
        <w:t>This section provides a detailed analysis of Abha Power and Steel Limited's financial performance and position across the available fiscal years, highlighting key trends and metrics.</w:t>
      </w:r>
    </w:p>
    <w:p/>
    <w:p>
      <w:r>
        <w:rPr>
          <w:b/>
          <w:color w:val="003366"/>
          <w:sz w:val="22"/>
        </w:rPr>
        <w:t>1. Revenue &amp; Profitability</w:t>
      </w:r>
    </w:p>
    <w:p/>
    <w:p>
      <w:pPr>
        <w:spacing w:after="80"/>
        <w:jc w:val="both"/>
      </w:pPr>
      <w:r>
        <w:rPr>
          <w:sz w:val="21"/>
        </w:rPr>
        <w:t>Abha Power and Steel Limited has demonstrated a fluctuating but ultimately strong growth trajectory in its revenue and profitability metrics over the review period.</w:t>
      </w:r>
    </w:p>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520"/>
            <w:shd w:val="clear" w:color="auto" w:fill="003366"/>
          </w:tcPr>
          <w:p>
            <w:r>
              <w:rPr>
                <w:b/>
                <w:color w:val="FFFFFF"/>
                <w:sz w:val="19"/>
              </w:rPr>
              <w:t>Fiscal Year</w:t>
            </w:r>
          </w:p>
        </w:tc>
        <w:tc>
          <w:tcPr>
            <w:tcW w:type="dxa" w:w="1520"/>
            <w:shd w:val="clear" w:color="auto" w:fill="003366"/>
          </w:tcPr>
          <w:p>
            <w:r>
              <w:rPr>
                <w:b/>
                <w:color w:val="FFFFFF"/>
                <w:sz w:val="19"/>
              </w:rPr>
              <w:t>Revenue (INR Lakhs)</w:t>
            </w:r>
          </w:p>
        </w:tc>
        <w:tc>
          <w:tcPr>
            <w:tcW w:type="dxa" w:w="1520"/>
            <w:shd w:val="clear" w:color="auto" w:fill="003366"/>
          </w:tcPr>
          <w:p>
            <w:r>
              <w:rPr>
                <w:b/>
                <w:color w:val="FFFFFF"/>
                <w:sz w:val="19"/>
              </w:rPr>
              <w:t>EBITDA (INR Lakhs)</w:t>
            </w:r>
          </w:p>
        </w:tc>
        <w:tc>
          <w:tcPr>
            <w:tcW w:type="dxa" w:w="1520"/>
            <w:shd w:val="clear" w:color="auto" w:fill="003366"/>
          </w:tcPr>
          <w:p>
            <w:r>
              <w:rPr>
                <w:b/>
                <w:color w:val="FFFFFF"/>
                <w:sz w:val="19"/>
              </w:rPr>
              <w:t>EBITDA Margin (%)</w:t>
            </w:r>
          </w:p>
        </w:tc>
        <w:tc>
          <w:tcPr>
            <w:tcW w:type="dxa" w:w="1520"/>
            <w:shd w:val="clear" w:color="auto" w:fill="003366"/>
          </w:tcPr>
          <w:p>
            <w:r>
              <w:rPr>
                <w:b/>
                <w:color w:val="FFFFFF"/>
                <w:sz w:val="19"/>
              </w:rPr>
              <w:t>PAT (INR Lakhs)</w:t>
            </w:r>
          </w:p>
        </w:tc>
        <w:tc>
          <w:tcPr>
            <w:tcW w:type="dxa" w:w="1520"/>
            <w:shd w:val="clear" w:color="auto" w:fill="003366"/>
          </w:tcPr>
          <w:p>
            <w:r>
              <w:rPr>
                <w:b/>
                <w:color w:val="FFFFFF"/>
                <w:sz w:val="19"/>
              </w:rPr>
              <w:t>PAT Margin (%)</w:t>
            </w:r>
          </w:p>
        </w:tc>
      </w:tr>
      <w:tr>
        <w:tc>
          <w:tcPr>
            <w:tcW w:type="dxa" w:w="1520"/>
          </w:tcPr>
          <w:p>
            <w:r>
              <w:rPr>
                <w:color w:val="000000"/>
                <w:sz w:val="19"/>
              </w:rPr>
              <w:t>FY2021</w:t>
            </w:r>
          </w:p>
        </w:tc>
        <w:tc>
          <w:tcPr>
            <w:tcW w:type="dxa" w:w="1520"/>
          </w:tcPr>
          <w:p>
            <w:r>
              <w:rPr>
                <w:color w:val="000000"/>
                <w:sz w:val="19"/>
              </w:rPr>
              <w:t>₹4,050.00</w:t>
            </w:r>
          </w:p>
        </w:tc>
        <w:tc>
          <w:tcPr>
            <w:tcW w:type="dxa" w:w="1520"/>
          </w:tcPr>
          <w:p>
            <w:r>
              <w:rPr>
                <w:color w:val="000000"/>
                <w:sz w:val="19"/>
              </w:rPr>
              <w:t>₹106.92</w:t>
            </w:r>
          </w:p>
        </w:tc>
        <w:tc>
          <w:tcPr>
            <w:tcW w:type="dxa" w:w="1520"/>
          </w:tcPr>
          <w:p>
            <w:r>
              <w:rPr>
                <w:color w:val="000000"/>
                <w:sz w:val="19"/>
              </w:rPr>
              <w:t>2.64</w:t>
            </w:r>
          </w:p>
        </w:tc>
        <w:tc>
          <w:tcPr>
            <w:tcW w:type="dxa" w:w="1520"/>
          </w:tcPr>
          <w:p>
            <w:r>
              <w:rPr>
                <w:color w:val="000000"/>
                <w:sz w:val="19"/>
              </w:rPr>
              <w:t>₹17.01</w:t>
            </w:r>
          </w:p>
        </w:tc>
        <w:tc>
          <w:tcPr>
            <w:tcW w:type="dxa" w:w="1520"/>
          </w:tcPr>
          <w:p>
            <w:r>
              <w:rPr>
                <w:color w:val="000000"/>
                <w:sz w:val="19"/>
              </w:rPr>
              <w:t>0.42</w:t>
            </w:r>
          </w:p>
        </w:tc>
      </w:tr>
      <w:tr>
        <w:tc>
          <w:tcPr>
            <w:tcW w:type="dxa" w:w="1520"/>
            <w:shd w:val="clear" w:color="auto" w:fill="EAF0F8"/>
          </w:tcPr>
          <w:p>
            <w:r>
              <w:rPr>
                <w:color w:val="000000"/>
                <w:sz w:val="19"/>
              </w:rPr>
              <w:t>FY2022</w:t>
            </w:r>
          </w:p>
        </w:tc>
        <w:tc>
          <w:tcPr>
            <w:tcW w:type="dxa" w:w="1520"/>
            <w:shd w:val="clear" w:color="auto" w:fill="EAF0F8"/>
          </w:tcPr>
          <w:p>
            <w:r>
              <w:rPr>
                <w:color w:val="000000"/>
                <w:sz w:val="19"/>
              </w:rPr>
              <w:t>₹5,452.00</w:t>
            </w:r>
          </w:p>
        </w:tc>
        <w:tc>
          <w:tcPr>
            <w:tcW w:type="dxa" w:w="1520"/>
            <w:shd w:val="clear" w:color="auto" w:fill="EAF0F8"/>
          </w:tcPr>
          <w:p>
            <w:r>
              <w:rPr>
                <w:color w:val="000000"/>
                <w:sz w:val="19"/>
              </w:rPr>
              <w:t>₹167.91</w:t>
            </w:r>
          </w:p>
        </w:tc>
        <w:tc>
          <w:tcPr>
            <w:tcW w:type="dxa" w:w="1520"/>
            <w:shd w:val="clear" w:color="auto" w:fill="EAF0F8"/>
          </w:tcPr>
          <w:p>
            <w:r>
              <w:rPr>
                <w:color w:val="000000"/>
                <w:sz w:val="19"/>
              </w:rPr>
              <w:t>3.08</w:t>
            </w:r>
          </w:p>
        </w:tc>
        <w:tc>
          <w:tcPr>
            <w:tcW w:type="dxa" w:w="1520"/>
            <w:shd w:val="clear" w:color="auto" w:fill="EAF0F8"/>
          </w:tcPr>
          <w:p>
            <w:r>
              <w:rPr>
                <w:color w:val="000000"/>
                <w:sz w:val="19"/>
              </w:rPr>
              <w:t>₹25.08</w:t>
            </w:r>
          </w:p>
        </w:tc>
        <w:tc>
          <w:tcPr>
            <w:tcW w:type="dxa" w:w="1520"/>
            <w:shd w:val="clear" w:color="auto" w:fill="EAF0F8"/>
          </w:tcPr>
          <w:p>
            <w:r>
              <w:rPr>
                <w:color w:val="000000"/>
                <w:sz w:val="19"/>
              </w:rPr>
              <w:t>0.46</w:t>
            </w:r>
          </w:p>
        </w:tc>
      </w:tr>
      <w:tr>
        <w:tc>
          <w:tcPr>
            <w:tcW w:type="dxa" w:w="1520"/>
          </w:tcPr>
          <w:p>
            <w:r>
              <w:rPr>
                <w:color w:val="000000"/>
                <w:sz w:val="19"/>
              </w:rPr>
              <w:t>FY2023</w:t>
            </w:r>
          </w:p>
        </w:tc>
        <w:tc>
          <w:tcPr>
            <w:tcW w:type="dxa" w:w="1520"/>
          </w:tcPr>
          <w:p>
            <w:r>
              <w:rPr>
                <w:color w:val="000000"/>
                <w:sz w:val="19"/>
              </w:rPr>
              <w:t>₹5,470.00</w:t>
            </w:r>
          </w:p>
        </w:tc>
        <w:tc>
          <w:tcPr>
            <w:tcW w:type="dxa" w:w="1520"/>
          </w:tcPr>
          <w:p>
            <w:r>
              <w:rPr>
                <w:color w:val="000000"/>
                <w:sz w:val="19"/>
              </w:rPr>
              <w:t>₹337.40</w:t>
            </w:r>
          </w:p>
        </w:tc>
        <w:tc>
          <w:tcPr>
            <w:tcW w:type="dxa" w:w="1520"/>
          </w:tcPr>
          <w:p>
            <w:r>
              <w:rPr>
                <w:color w:val="000000"/>
                <w:sz w:val="19"/>
              </w:rPr>
              <w:t>6.17</w:t>
            </w:r>
          </w:p>
        </w:tc>
        <w:tc>
          <w:tcPr>
            <w:tcW w:type="dxa" w:w="1520"/>
          </w:tcPr>
          <w:p>
            <w:r>
              <w:rPr>
                <w:color w:val="000000"/>
                <w:sz w:val="19"/>
              </w:rPr>
              <w:t>₹142.22</w:t>
            </w:r>
          </w:p>
        </w:tc>
        <w:tc>
          <w:tcPr>
            <w:tcW w:type="dxa" w:w="1520"/>
          </w:tcPr>
          <w:p>
            <w:r>
              <w:rPr>
                <w:color w:val="000000"/>
                <w:sz w:val="19"/>
              </w:rPr>
              <w:t>2.60</w:t>
            </w:r>
          </w:p>
        </w:tc>
      </w:tr>
      <w:tr>
        <w:tc>
          <w:tcPr>
            <w:tcW w:type="dxa" w:w="1520"/>
            <w:shd w:val="clear" w:color="auto" w:fill="EAF0F8"/>
          </w:tcPr>
          <w:p>
            <w:r>
              <w:rPr>
                <w:color w:val="000000"/>
                <w:sz w:val="19"/>
              </w:rPr>
              <w:t>FY2024</w:t>
            </w:r>
          </w:p>
        </w:tc>
        <w:tc>
          <w:tcPr>
            <w:tcW w:type="dxa" w:w="1520"/>
            <w:shd w:val="clear" w:color="auto" w:fill="EAF0F8"/>
          </w:tcPr>
          <w:p>
            <w:r>
              <w:rPr>
                <w:color w:val="000000"/>
                <w:sz w:val="19"/>
              </w:rPr>
              <w:t>₹5,174.70</w:t>
            </w:r>
          </w:p>
        </w:tc>
        <w:tc>
          <w:tcPr>
            <w:tcW w:type="dxa" w:w="1520"/>
            <w:shd w:val="clear" w:color="auto" w:fill="EAF0F8"/>
          </w:tcPr>
          <w:p>
            <w:r>
              <w:rPr>
                <w:color w:val="000000"/>
                <w:sz w:val="19"/>
              </w:rPr>
              <w:t>₹822.17</w:t>
            </w:r>
          </w:p>
        </w:tc>
        <w:tc>
          <w:tcPr>
            <w:tcW w:type="dxa" w:w="1520"/>
            <w:shd w:val="clear" w:color="auto" w:fill="EAF0F8"/>
          </w:tcPr>
          <w:p>
            <w:r>
              <w:rPr>
                <w:color w:val="000000"/>
                <w:sz w:val="19"/>
              </w:rPr>
              <w:t>15.89</w:t>
            </w:r>
          </w:p>
        </w:tc>
        <w:tc>
          <w:tcPr>
            <w:tcW w:type="dxa" w:w="1520"/>
            <w:shd w:val="clear" w:color="auto" w:fill="EAF0F8"/>
          </w:tcPr>
          <w:p>
            <w:r>
              <w:rPr>
                <w:color w:val="000000"/>
                <w:sz w:val="19"/>
              </w:rPr>
              <w:t>₹378.18</w:t>
            </w:r>
          </w:p>
        </w:tc>
        <w:tc>
          <w:tcPr>
            <w:tcW w:type="dxa" w:w="1520"/>
            <w:shd w:val="clear" w:color="auto" w:fill="EAF0F8"/>
          </w:tcPr>
          <w:p>
            <w:r>
              <w:rPr>
                <w:color w:val="000000"/>
                <w:sz w:val="19"/>
              </w:rPr>
              <w:t>7.31</w:t>
            </w:r>
          </w:p>
        </w:tc>
      </w:tr>
      <w:tr>
        <w:tc>
          <w:tcPr>
            <w:tcW w:type="dxa" w:w="1520"/>
          </w:tcPr>
          <w:p>
            <w:r>
              <w:rPr>
                <w:color w:val="000000"/>
                <w:sz w:val="19"/>
              </w:rPr>
              <w:t>FY2025</w:t>
            </w:r>
          </w:p>
        </w:tc>
        <w:tc>
          <w:tcPr>
            <w:tcW w:type="dxa" w:w="1520"/>
          </w:tcPr>
          <w:p>
            <w:r>
              <w:rPr>
                <w:color w:val="000000"/>
                <w:sz w:val="19"/>
              </w:rPr>
              <w:t>₹7,018.01</w:t>
            </w:r>
          </w:p>
        </w:tc>
        <w:tc>
          <w:tcPr>
            <w:tcW w:type="dxa" w:w="1520"/>
          </w:tcPr>
          <w:p>
            <w:r>
              <w:rPr>
                <w:color w:val="000000"/>
                <w:sz w:val="19"/>
              </w:rPr>
              <w:t>₹1,139.65</w:t>
            </w:r>
          </w:p>
        </w:tc>
        <w:tc>
          <w:tcPr>
            <w:tcW w:type="dxa" w:w="1520"/>
          </w:tcPr>
          <w:p>
            <w:r>
              <w:rPr>
                <w:color w:val="000000"/>
                <w:sz w:val="19"/>
              </w:rPr>
              <w:t>16.24</w:t>
            </w:r>
          </w:p>
        </w:tc>
        <w:tc>
          <w:tcPr>
            <w:tcW w:type="dxa" w:w="1520"/>
          </w:tcPr>
          <w:p>
            <w:r>
              <w:rPr>
                <w:color w:val="000000"/>
                <w:sz w:val="19"/>
              </w:rPr>
              <w:t>₹620.91</w:t>
            </w:r>
          </w:p>
        </w:tc>
        <w:tc>
          <w:tcPr>
            <w:tcW w:type="dxa" w:w="1520"/>
          </w:tcPr>
          <w:p>
            <w:r>
              <w:rPr>
                <w:color w:val="000000"/>
                <w:sz w:val="19"/>
              </w:rPr>
              <w:t>8.85</w:t>
            </w:r>
          </w:p>
        </w:tc>
      </w:tr>
    </w:tbl>
    <w:p/>
    <w:p/>
    <w:p>
      <w:pPr>
        <w:spacing w:after="80"/>
        <w:jc w:val="both"/>
      </w:pPr>
      <w:r>
        <w:rPr>
          <w:b/>
          <w:sz w:val="21"/>
        </w:rPr>
        <w:t>Revenue:</w:t>
      </w:r>
      <w:r>
        <w:rPr>
          <w:sz w:val="21"/>
        </w:rPr>
        <w:t xml:space="preserve"> The company experienced robust revenue growth from ₹4,050.00 Lakhs in FY2021 to ₹5,452.00 Lakhs in FY2022, followed by a marginal increase to ₹5,470.00 Lakhs in FY2023. A slight dip was observed in FY2024, with revenue decreasing to ₹5,174.70 Lakhs. However, FY2025 witnessed a significant recovery and strong growth, with revenue reaching its highest at ₹7,018.01 Lakhs, indicating strong market demand or increased operational capacity.</w:t>
      </w:r>
    </w:p>
    <w:p/>
    <w:p>
      <w:pPr>
        <w:spacing w:after="80"/>
        <w:jc w:val="both"/>
      </w:pPr>
      <w:r>
        <w:rPr>
          <w:b/>
          <w:sz w:val="21"/>
        </w:rPr>
        <w:t>EBITDA:</w:t>
      </w:r>
      <w:r>
        <w:rPr>
          <w:sz w:val="21"/>
        </w:rPr>
        <w:t xml:space="preserve"> EBITDA has shown consistent and substantial growth throughout the period, escalating from ₹106.92 Lakhs in FY2021 to ₹1,139.65 Lakhs in FY2025. This indicates improved operational efficiency and cost management.</w:t>
      </w:r>
    </w:p>
    <w:p/>
    <w:p>
      <w:pPr>
        <w:spacing w:after="80"/>
        <w:jc w:val="both"/>
      </w:pPr>
      <w:r>
        <w:rPr>
          <w:b/>
          <w:sz w:val="21"/>
        </w:rPr>
        <w:t>EBITDA Margin:</w:t>
      </w:r>
      <w:r>
        <w:rPr>
          <w:sz w:val="21"/>
        </w:rPr>
        <w:t xml:space="preserve"> The EBITDA margin has demonstrated remarkable improvement, rising from 2.64% in FY2021 to 16.24% in FY2025. The most significant increases occurred between FY2023 (6.17%) and FY2024 (15.89%), suggesting a positive shift in the company's operational leverage and pricing power. This trend is highly favorable.</w:t>
      </w:r>
    </w:p>
    <w:p/>
    <w:p>
      <w:pPr>
        <w:spacing w:after="80"/>
        <w:jc w:val="both"/>
      </w:pPr>
      <w:r>
        <w:rPr>
          <w:b/>
          <w:sz w:val="21"/>
        </w:rPr>
        <w:t>Profit After Tax (PAT):</w:t>
      </w:r>
      <w:r>
        <w:rPr>
          <w:sz w:val="21"/>
        </w:rPr>
        <w:t xml:space="preserve"> PAT has mirrored the positive trend in EBITDA, growing significantly from ₹17.01 Lakhs in FY2021 to ₹620.91 Lakhs in FY2025. This substantial increase reflects the company's enhanced profitability.</w:t>
      </w:r>
    </w:p>
    <w:p/>
    <w:p>
      <w:pPr>
        <w:spacing w:after="80"/>
        <w:jc w:val="both"/>
      </w:pPr>
      <w:r>
        <w:rPr>
          <w:b/>
          <w:sz w:val="21"/>
        </w:rPr>
        <w:t>PAT Margin:</w:t>
      </w:r>
      <w:r>
        <w:rPr>
          <w:sz w:val="21"/>
        </w:rPr>
        <w:t xml:space="preserve"> The PAT margin has also shown a strong upward trajectory, improving from 0.42% in FY2021 to 8.85% in FY2025. This indicates that the company is retaining a larger portion of its revenue as net profit, which is a healthy sign of financial performance.</w:t>
      </w:r>
    </w:p>
    <w:p/>
    <w:p>
      <w:r>
        <w:rPr>
          <w:b/>
          <w:color w:val="003366"/>
          <w:sz w:val="22"/>
        </w:rPr>
        <w:t>2. Balance Sheet Analysis</w:t>
      </w:r>
    </w:p>
    <w:p/>
    <w:p>
      <w:pPr>
        <w:spacing w:after="80"/>
        <w:jc w:val="both"/>
      </w:pPr>
      <w:r>
        <w:rPr>
          <w:sz w:val="21"/>
        </w:rPr>
        <w:t>Balance sheet data is available for FY2024 and FY2025, showing significant expansion and shifts in the capital structure.</w:t>
      </w:r>
    </w:p>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003366"/>
          </w:tcPr>
          <w:p>
            <w:r>
              <w:rPr>
                <w:b/>
                <w:color w:val="FFFFFF"/>
                <w:sz w:val="19"/>
              </w:rPr>
              <w:t>Fiscal Year</w:t>
            </w:r>
          </w:p>
        </w:tc>
        <w:tc>
          <w:tcPr>
            <w:tcW w:type="dxa" w:w="2280"/>
            <w:shd w:val="clear" w:color="auto" w:fill="003366"/>
          </w:tcPr>
          <w:p>
            <w:r>
              <w:rPr>
                <w:b/>
                <w:color w:val="FFFFFF"/>
                <w:sz w:val="19"/>
              </w:rPr>
              <w:t>Total Assets (INR Lakhs)</w:t>
            </w:r>
          </w:p>
        </w:tc>
        <w:tc>
          <w:tcPr>
            <w:tcW w:type="dxa" w:w="2280"/>
            <w:shd w:val="clear" w:color="auto" w:fill="003366"/>
          </w:tcPr>
          <w:p>
            <w:r>
              <w:rPr>
                <w:b/>
                <w:color w:val="FFFFFF"/>
                <w:sz w:val="19"/>
              </w:rPr>
              <w:t>Total Equity (INR Lakhs)</w:t>
            </w:r>
          </w:p>
        </w:tc>
        <w:tc>
          <w:tcPr>
            <w:tcW w:type="dxa" w:w="2280"/>
            <w:shd w:val="clear" w:color="auto" w:fill="003366"/>
          </w:tcPr>
          <w:p>
            <w:r>
              <w:rPr>
                <w:b/>
                <w:color w:val="FFFFFF"/>
                <w:sz w:val="19"/>
              </w:rPr>
              <w:t>Total Borrowings (INR Lakhs)</w:t>
            </w:r>
          </w:p>
        </w:tc>
      </w:tr>
      <w:tr>
        <w:tc>
          <w:tcPr>
            <w:tcW w:type="dxa" w:w="2280"/>
          </w:tcPr>
          <w:p>
            <w:r>
              <w:rPr>
                <w:color w:val="000000"/>
                <w:sz w:val="19"/>
              </w:rPr>
              <w:t>FY2024</w:t>
            </w:r>
          </w:p>
        </w:tc>
        <w:tc>
          <w:tcPr>
            <w:tcW w:type="dxa" w:w="2280"/>
          </w:tcPr>
          <w:p>
            <w:r>
              <w:rPr>
                <w:color w:val="000000"/>
                <w:sz w:val="19"/>
              </w:rPr>
              <w:t>₹3,696.45</w:t>
            </w:r>
          </w:p>
        </w:tc>
        <w:tc>
          <w:tcPr>
            <w:tcW w:type="dxa" w:w="2280"/>
          </w:tcPr>
          <w:p>
            <w:r>
              <w:rPr>
                <w:color w:val="000000"/>
                <w:sz w:val="19"/>
              </w:rPr>
              <w:t>₹1,753.66</w:t>
            </w:r>
          </w:p>
        </w:tc>
        <w:tc>
          <w:tcPr>
            <w:tcW w:type="dxa" w:w="2280"/>
          </w:tcPr>
          <w:p>
            <w:r>
              <w:rPr>
                <w:color w:val="000000"/>
                <w:sz w:val="19"/>
              </w:rPr>
              <w:t>₹2,373.23</w:t>
            </w:r>
          </w:p>
        </w:tc>
      </w:tr>
      <w:tr>
        <w:tc>
          <w:tcPr>
            <w:tcW w:type="dxa" w:w="2280"/>
            <w:shd w:val="clear" w:color="auto" w:fill="EAF0F8"/>
          </w:tcPr>
          <w:p>
            <w:r>
              <w:rPr>
                <w:color w:val="000000"/>
                <w:sz w:val="19"/>
              </w:rPr>
              <w:t>FY2025</w:t>
            </w:r>
          </w:p>
        </w:tc>
        <w:tc>
          <w:tcPr>
            <w:tcW w:type="dxa" w:w="2280"/>
            <w:shd w:val="clear" w:color="auto" w:fill="EAF0F8"/>
          </w:tcPr>
          <w:p>
            <w:r>
              <w:rPr>
                <w:color w:val="000000"/>
                <w:sz w:val="19"/>
              </w:rPr>
              <w:t>₹7,917.71</w:t>
            </w:r>
          </w:p>
        </w:tc>
        <w:tc>
          <w:tcPr>
            <w:tcW w:type="dxa" w:w="2280"/>
            <w:shd w:val="clear" w:color="auto" w:fill="EAF0F8"/>
          </w:tcPr>
          <w:p>
            <w:r>
              <w:rPr>
                <w:color w:val="000000"/>
                <w:sz w:val="19"/>
              </w:rPr>
              <w:t>₹5,083.81</w:t>
            </w:r>
          </w:p>
        </w:tc>
        <w:tc>
          <w:tcPr>
            <w:tcW w:type="dxa" w:w="2280"/>
            <w:shd w:val="clear" w:color="auto" w:fill="EAF0F8"/>
          </w:tcPr>
          <w:p>
            <w:r>
              <w:rPr>
                <w:color w:val="000000"/>
                <w:sz w:val="19"/>
              </w:rPr>
              <w:t>₹2,115.28</w:t>
            </w:r>
          </w:p>
        </w:tc>
      </w:tr>
    </w:tbl>
    <w:p/>
    <w:p/>
    <w:p>
      <w:pPr>
        <w:spacing w:after="80"/>
        <w:jc w:val="both"/>
      </w:pPr>
      <w:r>
        <w:rPr>
          <w:b/>
          <w:sz w:val="21"/>
        </w:rPr>
        <w:t>Total Assets:</w:t>
      </w:r>
      <w:r>
        <w:rPr>
          <w:sz w:val="21"/>
        </w:rPr>
        <w:t xml:space="preserve"> Total assets nearly doubled from ₹3,696.45 Lakhs in FY2024 to ₹7,917.71 Lakhs in FY2025. This substantial increase suggests significant investments in operational capacity or strategic expansion during FY2025.</w:t>
      </w:r>
    </w:p>
    <w:p/>
    <w:p>
      <w:pPr>
        <w:spacing w:after="80"/>
        <w:jc w:val="both"/>
      </w:pPr>
      <w:r>
        <w:rPr>
          <w:b/>
          <w:sz w:val="21"/>
        </w:rPr>
        <w:t>Total Equity:</w:t>
      </w:r>
      <w:r>
        <w:rPr>
          <w:sz w:val="21"/>
        </w:rPr>
        <w:t xml:space="preserve"> Total equity also saw a robust increase, growing from ₹1,753.66 Lakhs in FY2024 to ₹5,083.81 Lakhs in FY2025. This indicates strong internal generation of funds through retained earnings and potentially fresh equity infusion, strengthening the company's capital base.</w:t>
      </w:r>
    </w:p>
    <w:p/>
    <w:p>
      <w:pPr>
        <w:spacing w:after="80"/>
        <w:jc w:val="both"/>
      </w:pPr>
      <w:r>
        <w:rPr>
          <w:b/>
          <w:sz w:val="21"/>
        </w:rPr>
        <w:t>Total Borrowings:</w:t>
      </w:r>
      <w:r>
        <w:rPr>
          <w:sz w:val="21"/>
        </w:rPr>
        <w:t xml:space="preserve"> Total borrowings decreased from ₹2,373.23 Lakhs in FY2024 to ₹2,115.28 Lakhs in FY2025. This reduction, coupled with the significant increase in equity, suggests a deleveraging trend and an improved reliance on equity financing, which is a positive development for credit risk assessment.</w:t>
      </w:r>
    </w:p>
    <w:p/>
    <w:p>
      <w:r>
        <w:rPr>
          <w:b/>
          <w:color w:val="003366"/>
          <w:sz w:val="22"/>
        </w:rPr>
        <w:t>3. Key Financial Ratios</w:t>
      </w:r>
    </w:p>
    <w:p/>
    <w:p>
      <w:pPr>
        <w:spacing w:after="80"/>
        <w:jc w:val="both"/>
      </w:pPr>
      <w:r>
        <w:rPr>
          <w:sz w:val="21"/>
        </w:rPr>
        <w:t>No data for Debt Service Coverage Ratio (DSCR), Interest Coverage Ratio (ICR), Current Ratio, or Debt-Equity Ratio is available in the provided financials for any fiscal year. Therefore, a commentary on these specific ratios cannot be provided at this time.</w:t>
      </w:r>
    </w:p>
    <w:p/>
    <w:p>
      <w:r>
        <w:rPr>
          <w:b/>
          <w:color w:val="003366"/>
          <w:sz w:val="22"/>
        </w:rPr>
        <w:t>4. Cash Flow Analysis</w:t>
      </w:r>
    </w:p>
    <w:p/>
    <w:p>
      <w:pPr>
        <w:spacing w:after="80"/>
        <w:jc w:val="both"/>
      </w:pPr>
      <w:r>
        <w:rPr>
          <w:sz w:val="21"/>
        </w:rPr>
        <w:t>Cash flow data is available for FY2024 and FY2025, providing insights into the company's liquidity and funding activities.</w:t>
      </w:r>
    </w:p>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003366"/>
          </w:tcPr>
          <w:p>
            <w:r>
              <w:rPr>
                <w:b/>
                <w:color w:val="FFFFFF"/>
                <w:sz w:val="19"/>
              </w:rPr>
              <w:t>Fiscal Year</w:t>
            </w:r>
          </w:p>
        </w:tc>
        <w:tc>
          <w:tcPr>
            <w:tcW w:type="dxa" w:w="1824"/>
            <w:shd w:val="clear" w:color="auto" w:fill="003366"/>
          </w:tcPr>
          <w:p>
            <w:r>
              <w:rPr>
                <w:b/>
                <w:color w:val="FFFFFF"/>
                <w:sz w:val="19"/>
              </w:rPr>
              <w:t>Cash from Operations (INR Lakhs)</w:t>
            </w:r>
          </w:p>
        </w:tc>
        <w:tc>
          <w:tcPr>
            <w:tcW w:type="dxa" w:w="1824"/>
            <w:shd w:val="clear" w:color="auto" w:fill="003366"/>
          </w:tcPr>
          <w:p>
            <w:r>
              <w:rPr>
                <w:b/>
                <w:color w:val="FFFFFF"/>
                <w:sz w:val="19"/>
              </w:rPr>
              <w:t>Cash from Investing (INR Lakhs)</w:t>
            </w:r>
          </w:p>
        </w:tc>
        <w:tc>
          <w:tcPr>
            <w:tcW w:type="dxa" w:w="1824"/>
            <w:shd w:val="clear" w:color="auto" w:fill="003366"/>
          </w:tcPr>
          <w:p>
            <w:r>
              <w:rPr>
                <w:b/>
                <w:color w:val="FFFFFF"/>
                <w:sz w:val="19"/>
              </w:rPr>
              <w:t>Cash from Financing (INR Lakhs)</w:t>
            </w:r>
          </w:p>
        </w:tc>
        <w:tc>
          <w:tcPr>
            <w:tcW w:type="dxa" w:w="1824"/>
            <w:shd w:val="clear" w:color="auto" w:fill="003366"/>
          </w:tcPr>
          <w:p>
            <w:r>
              <w:rPr>
                <w:b/>
                <w:color w:val="FFFFFF"/>
                <w:sz w:val="19"/>
              </w:rPr>
              <w:t>Closing Cash (INR Lakhs)</w:t>
            </w:r>
          </w:p>
        </w:tc>
      </w:tr>
      <w:tr>
        <w:tc>
          <w:tcPr>
            <w:tcW w:type="dxa" w:w="1824"/>
          </w:tcPr>
          <w:p>
            <w:r>
              <w:rPr>
                <w:color w:val="000000"/>
                <w:sz w:val="19"/>
              </w:rPr>
              <w:t>FY2024</w:t>
            </w:r>
          </w:p>
        </w:tc>
        <w:tc>
          <w:tcPr>
            <w:tcW w:type="dxa" w:w="1824"/>
          </w:tcPr>
          <w:p>
            <w:r>
              <w:rPr>
                <w:color w:val="000000"/>
                <w:sz w:val="19"/>
              </w:rPr>
              <w:t>₹317.47</w:t>
            </w:r>
          </w:p>
        </w:tc>
        <w:tc>
          <w:tcPr>
            <w:tcW w:type="dxa" w:w="1824"/>
          </w:tcPr>
          <w:p>
            <w:r>
              <w:rPr>
                <w:color w:val="000000"/>
                <w:sz w:val="19"/>
              </w:rPr>
              <w:t>₹-84.11</w:t>
            </w:r>
          </w:p>
        </w:tc>
        <w:tc>
          <w:tcPr>
            <w:tcW w:type="dxa" w:w="1824"/>
          </w:tcPr>
          <w:p>
            <w:r>
              <w:rPr>
                <w:color w:val="000000"/>
                <w:sz w:val="19"/>
              </w:rPr>
              <w:t>₹-114.37</w:t>
            </w:r>
          </w:p>
        </w:tc>
        <w:tc>
          <w:tcPr>
            <w:tcW w:type="dxa" w:w="1824"/>
          </w:tcPr>
          <w:p>
            <w:r>
              <w:rPr>
                <w:color w:val="000000"/>
                <w:sz w:val="19"/>
              </w:rPr>
              <w:t>₹31.17</w:t>
            </w:r>
          </w:p>
        </w:tc>
      </w:tr>
      <w:tr>
        <w:tc>
          <w:tcPr>
            <w:tcW w:type="dxa" w:w="1824"/>
            <w:shd w:val="clear" w:color="auto" w:fill="EAF0F8"/>
          </w:tcPr>
          <w:p>
            <w:r>
              <w:rPr>
                <w:color w:val="000000"/>
                <w:sz w:val="19"/>
              </w:rPr>
              <w:t>FY2025</w:t>
            </w:r>
          </w:p>
        </w:tc>
        <w:tc>
          <w:tcPr>
            <w:tcW w:type="dxa" w:w="1824"/>
            <w:shd w:val="clear" w:color="auto" w:fill="EAF0F8"/>
          </w:tcPr>
          <w:p>
            <w:r>
              <w:rPr>
                <w:color w:val="000000"/>
                <w:sz w:val="19"/>
              </w:rPr>
              <w:t>₹887.39</w:t>
            </w:r>
          </w:p>
        </w:tc>
        <w:tc>
          <w:tcPr>
            <w:tcW w:type="dxa" w:w="1824"/>
            <w:shd w:val="clear" w:color="auto" w:fill="EAF0F8"/>
          </w:tcPr>
          <w:p>
            <w:r>
              <w:rPr>
                <w:color w:val="000000"/>
                <w:sz w:val="19"/>
              </w:rPr>
              <w:t>₹-1,029.35</w:t>
            </w:r>
          </w:p>
        </w:tc>
        <w:tc>
          <w:tcPr>
            <w:tcW w:type="dxa" w:w="1824"/>
            <w:shd w:val="clear" w:color="auto" w:fill="EAF0F8"/>
          </w:tcPr>
          <w:p>
            <w:r>
              <w:rPr>
                <w:color w:val="000000"/>
                <w:sz w:val="19"/>
              </w:rPr>
              <w:t>₹1,250.40</w:t>
            </w:r>
          </w:p>
        </w:tc>
        <w:tc>
          <w:tcPr>
            <w:tcW w:type="dxa" w:w="1824"/>
            <w:shd w:val="clear" w:color="auto" w:fill="EAF0F8"/>
          </w:tcPr>
          <w:p>
            <w:r>
              <w:rPr>
                <w:color w:val="000000"/>
                <w:sz w:val="19"/>
              </w:rPr>
              <w:t>₹1,542.12</w:t>
            </w:r>
          </w:p>
        </w:tc>
      </w:tr>
    </w:tbl>
    <w:p/>
    <w:p/>
    <w:p>
      <w:pPr>
        <w:spacing w:after="80"/>
        <w:jc w:val="both"/>
      </w:pPr>
      <w:r>
        <w:rPr>
          <w:b/>
          <w:sz w:val="21"/>
        </w:rPr>
        <w:t>Cash from Operations:</w:t>
      </w:r>
      <w:r>
        <w:rPr>
          <w:sz w:val="21"/>
        </w:rPr>
        <w:t xml:space="preserve"> Cash generated from operations significantly improved from ₹317.47 Lakhs in FY2024 to ₹887.39 Lakhs in FY2025. This strong increase in operating cash flow is highly positive, indicating the company's ability to generate substantial cash from its core business activities.</w:t>
      </w:r>
    </w:p>
    <w:p/>
    <w:p>
      <w:pPr>
        <w:spacing w:after="80"/>
        <w:jc w:val="both"/>
      </w:pPr>
      <w:r>
        <w:rPr>
          <w:b/>
          <w:sz w:val="21"/>
        </w:rPr>
        <w:t>Cash from Investing:</w:t>
      </w:r>
      <w:r>
        <w:rPr>
          <w:sz w:val="21"/>
        </w:rPr>
        <w:t xml:space="preserve"> The company recorded cash outflows from investing activities in both years, increasing from ₹-84.11 Lakhs in FY2024 to a substantial ₹-1,029.35 Lakhs in FY2025. This significant outflow in FY2025 aligns with the substantial increase in total assets, suggesting considerable capital expenditure for growth and expansion.</w:t>
      </w:r>
    </w:p>
    <w:p/>
    <w:p>
      <w:pPr>
        <w:spacing w:after="80"/>
        <w:jc w:val="both"/>
      </w:pPr>
      <w:r>
        <w:rPr>
          <w:b/>
          <w:sz w:val="21"/>
        </w:rPr>
        <w:t>Cash from Financing:</w:t>
      </w:r>
      <w:r>
        <w:rPr>
          <w:sz w:val="21"/>
        </w:rPr>
        <w:t xml:space="preserve"> Cash from financing activities shifted from an outflow of ₹-114.37 Lakhs in FY2024 to a significant inflow of ₹1,250.40 Lakhs in FY2025. This inflow likely supported the substantial investing activities and could represent new equity issuance or fresh borrowings, though the balance sheet shows a decrease in total borrowings, suggesting equity infusion as a primary driver.</w:t>
      </w:r>
    </w:p>
    <w:p/>
    <w:p>
      <w:pPr>
        <w:spacing w:after="80"/>
        <w:jc w:val="both"/>
      </w:pPr>
      <w:r>
        <w:rPr>
          <w:b/>
          <w:sz w:val="21"/>
        </w:rPr>
        <w:t>Closing Cash Position:</w:t>
      </w:r>
      <w:r>
        <w:rPr>
          <w:sz w:val="21"/>
        </w:rPr>
        <w:t xml:space="preserve"> The closing cash balance saw a remarkable increase from ₹31.17 Lakhs in FY2024 to ₹1,542.12 Lakhs in FY2025. This substantial improvement in liquidity provides the company with a strong cash buffer and enhanced financial flexibility.</w:t>
      </w:r>
    </w:p>
    <w:p/>
    <w:p>
      <w:pPr>
        <w:pStyle w:val="Heading1"/>
        <w:spacing w:before="320" w:after="160"/>
      </w:pPr>
      <w:r>
        <w:rPr>
          <w:b/>
          <w:color w:val="003366"/>
          <w:sz w:val="26"/>
        </w:rPr>
        <w:t>SECTION 3 — EXISTING DEBT &amp; CREDIT PROFILE</w:t>
      </w:r>
    </w:p>
    <w:p>
      <w:pPr>
        <w:pBdr>
          <w:bottom w:val="single" w:sz="6" w:space="1" w:color="003366"/>
        </w:pBdr>
      </w:pPr>
    </w:p>
    <w:p>
      <w:pPr>
        <w:spacing w:after="80"/>
        <w:jc w:val="both"/>
      </w:pPr>
      <w:r>
        <w:rPr>
          <w:sz w:val="21"/>
        </w:rPr>
        <w:t>Section 3 — Existing Debt &amp; Credit Profile</w:t>
      </w:r>
    </w:p>
    <w:p/>
    <w:p>
      <w:r>
        <w:rPr>
          <w:b/>
          <w:color w:val="003366"/>
          <w:sz w:val="24"/>
        </w:rPr>
        <w:t>3.1 Existing Debt Instruments</w:t>
      </w:r>
    </w:p>
    <w:p/>
    <w:p>
      <w:pPr>
        <w:spacing w:after="80"/>
        <w:jc w:val="both"/>
      </w:pPr>
      <w:r>
        <w:rPr>
          <w:sz w:val="21"/>
        </w:rPr>
        <w:t>Abha Power and Steel Limited currently maintains a diversified debt portfolio, primarily consisting of term loans and working capital facilities from institutional lenders, supplemented by unsecured loans from related parties. The company's key banking relationships are with ICICI Bank Ltd. and SIDBI.</w:t>
      </w:r>
    </w:p>
    <w:p/>
    <w:p>
      <w:r>
        <w:rPr>
          <w:b/>
          <w:color w:val="003366"/>
          <w:sz w:val="24"/>
        </w:rPr>
        <w:t>3.2 Debt Terms &amp; Structure</w:t>
      </w:r>
    </w:p>
    <w:p/>
    <w:p>
      <w:pPr>
        <w:spacing w:after="80"/>
        <w:jc w:val="both"/>
      </w:pPr>
      <w:r>
        <w:rPr>
          <w:sz w:val="21"/>
        </w:rPr>
        <w:t>The following table details the existing debt instruments, their counterparties, stated purpose, interest rates, outstanding amounts, and maturity dates as of the latest available information:</w:t>
      </w:r>
    </w:p>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520"/>
            <w:shd w:val="clear" w:color="auto" w:fill="003366"/>
          </w:tcPr>
          <w:p>
            <w:r>
              <w:rPr>
                <w:b/>
                <w:color w:val="FFFFFF"/>
                <w:sz w:val="19"/>
              </w:rPr>
              <w:t>Instrument Type</w:t>
            </w:r>
          </w:p>
        </w:tc>
        <w:tc>
          <w:tcPr>
            <w:tcW w:type="dxa" w:w="1520"/>
            <w:shd w:val="clear" w:color="auto" w:fill="003366"/>
          </w:tcPr>
          <w:p>
            <w:r>
              <w:rPr>
                <w:b/>
                <w:color w:val="FFFFFF"/>
                <w:sz w:val="19"/>
              </w:rPr>
              <w:t>Counterparty</w:t>
            </w:r>
          </w:p>
        </w:tc>
        <w:tc>
          <w:tcPr>
            <w:tcW w:type="dxa" w:w="1520"/>
            <w:shd w:val="clear" w:color="auto" w:fill="003366"/>
          </w:tcPr>
          <w:p>
            <w:r>
              <w:rPr>
                <w:b/>
                <w:color w:val="FFFFFF"/>
                <w:sz w:val="19"/>
              </w:rPr>
              <w:t>Purpose</w:t>
            </w:r>
          </w:p>
        </w:tc>
        <w:tc>
          <w:tcPr>
            <w:tcW w:type="dxa" w:w="1520"/>
            <w:shd w:val="clear" w:color="auto" w:fill="003366"/>
          </w:tcPr>
          <w:p>
            <w:r>
              <w:rPr>
                <w:b/>
                <w:color w:val="FFFFFF"/>
                <w:sz w:val="19"/>
              </w:rPr>
              <w:t>Interest Rate</w:t>
            </w:r>
          </w:p>
        </w:tc>
        <w:tc>
          <w:tcPr>
            <w:tcW w:type="dxa" w:w="1520"/>
            <w:shd w:val="clear" w:color="auto" w:fill="003366"/>
          </w:tcPr>
          <w:p>
            <w:r>
              <w:rPr>
                <w:b/>
                <w:color w:val="FFFFFF"/>
                <w:sz w:val="19"/>
              </w:rPr>
              <w:t>Outstanding Amount</w:t>
            </w:r>
          </w:p>
        </w:tc>
        <w:tc>
          <w:tcPr>
            <w:tcW w:type="dxa" w:w="1520"/>
            <w:shd w:val="clear" w:color="auto" w:fill="003366"/>
          </w:tcPr>
          <w:p>
            <w:r>
              <w:rPr>
                <w:b/>
                <w:color w:val="FFFFFF"/>
                <w:sz w:val="19"/>
              </w:rPr>
              <w:t>Maturity Date</w:t>
            </w:r>
          </w:p>
        </w:tc>
      </w:tr>
      <w:tr>
        <w:tc>
          <w:tcPr>
            <w:tcW w:type="dxa" w:w="1520"/>
          </w:tcPr>
          <w:p>
            <w:r>
              <w:rPr>
                <w:color w:val="000000"/>
                <w:sz w:val="19"/>
              </w:rPr>
              <w:t>Working capital Term Loan under ECLGS scheme</w:t>
            </w:r>
          </w:p>
        </w:tc>
        <w:tc>
          <w:tcPr>
            <w:tcW w:type="dxa" w:w="1520"/>
          </w:tcPr>
          <w:p>
            <w:r>
              <w:rPr>
                <w:color w:val="000000"/>
                <w:sz w:val="19"/>
              </w:rPr>
              <w:t>ICICI Bank Ltd.</w:t>
            </w:r>
          </w:p>
        </w:tc>
        <w:tc>
          <w:tcPr>
            <w:tcW w:type="dxa" w:w="1520"/>
          </w:tcPr>
          <w:p>
            <w:r>
              <w:rPr>
                <w:color w:val="000000"/>
                <w:sz w:val="19"/>
              </w:rPr>
              <w:t>Working capital</w:t>
            </w:r>
          </w:p>
        </w:tc>
        <w:tc>
          <w:tcPr>
            <w:tcW w:type="dxa" w:w="1520"/>
          </w:tcPr>
          <w:p>
            <w:r>
              <w:rPr>
                <w:color w:val="000000"/>
                <w:sz w:val="19"/>
              </w:rPr>
              <w:t>9.25%</w:t>
            </w:r>
          </w:p>
        </w:tc>
        <w:tc>
          <w:tcPr>
            <w:tcW w:type="dxa" w:w="1520"/>
          </w:tcPr>
          <w:p>
            <w:r>
              <w:rPr>
                <w:color w:val="000000"/>
                <w:sz w:val="19"/>
              </w:rPr>
              <w:t>INR 31.11 Lakhs</w:t>
            </w:r>
          </w:p>
        </w:tc>
        <w:tc>
          <w:tcPr>
            <w:tcW w:type="dxa" w:w="1520"/>
          </w:tcPr>
          <w:p>
            <w:r>
              <w:rPr>
                <w:color w:val="000000"/>
                <w:sz w:val="19"/>
              </w:rPr>
              <w:t>72 monthly installments after the expiry of moratorium period of 24 months</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SIDBI</w:t>
            </w:r>
          </w:p>
        </w:tc>
        <w:tc>
          <w:tcPr>
            <w:tcW w:type="dxa" w:w="1520"/>
            <w:shd w:val="clear" w:color="auto" w:fill="EAF0F8"/>
          </w:tcPr>
          <w:p>
            <w:r>
              <w:rPr>
                <w:color w:val="000000"/>
                <w:sz w:val="19"/>
              </w:rPr>
              <w:t>Unspecified</w:t>
            </w:r>
          </w:p>
        </w:tc>
        <w:tc>
          <w:tcPr>
            <w:tcW w:type="dxa" w:w="1520"/>
            <w:shd w:val="clear" w:color="auto" w:fill="EAF0F8"/>
          </w:tcPr>
          <w:p>
            <w:r>
              <w:rPr>
                <w:color w:val="000000"/>
                <w:sz w:val="19"/>
              </w:rPr>
              <w:t>8.50%</w:t>
            </w:r>
          </w:p>
        </w:tc>
        <w:tc>
          <w:tcPr>
            <w:tcW w:type="dxa" w:w="1520"/>
            <w:shd w:val="clear" w:color="auto" w:fill="EAF0F8"/>
          </w:tcPr>
          <w:p>
            <w:r>
              <w:rPr>
                <w:color w:val="000000"/>
                <w:sz w:val="19"/>
              </w:rPr>
              <w:t>INR 129.32 Lakhs</w:t>
            </w:r>
          </w:p>
        </w:tc>
        <w:tc>
          <w:tcPr>
            <w:tcW w:type="dxa" w:w="1520"/>
            <w:shd w:val="clear" w:color="auto" w:fill="EAF0F8"/>
          </w:tcPr>
          <w:p>
            <w:r>
              <w:rPr>
                <w:color w:val="000000"/>
                <w:sz w:val="19"/>
              </w:rPr>
              <w:t>54 monthly installments after a moratorium of 6 months</w:t>
            </w:r>
          </w:p>
        </w:tc>
      </w:tr>
      <w:tr>
        <w:tc>
          <w:tcPr>
            <w:tcW w:type="dxa" w:w="1520"/>
          </w:tcPr>
          <w:p>
            <w:r>
              <w:rPr>
                <w:color w:val="000000"/>
                <w:sz w:val="19"/>
              </w:rPr>
              <w:t>Term Loan</w:t>
            </w:r>
          </w:p>
        </w:tc>
        <w:tc>
          <w:tcPr>
            <w:tcW w:type="dxa" w:w="1520"/>
          </w:tcPr>
          <w:p>
            <w:r>
              <w:rPr>
                <w:color w:val="000000"/>
                <w:sz w:val="19"/>
              </w:rPr>
              <w:t>SIDBI</w:t>
            </w:r>
          </w:p>
        </w:tc>
        <w:tc>
          <w:tcPr>
            <w:tcW w:type="dxa" w:w="1520"/>
          </w:tcPr>
          <w:p>
            <w:r>
              <w:rPr>
                <w:color w:val="000000"/>
                <w:sz w:val="19"/>
              </w:rPr>
              <w:t>Unspecified</w:t>
            </w:r>
          </w:p>
        </w:tc>
        <w:tc>
          <w:tcPr>
            <w:tcW w:type="dxa" w:w="1520"/>
          </w:tcPr>
          <w:p>
            <w:r>
              <w:rPr>
                <w:color w:val="000000"/>
                <w:sz w:val="19"/>
              </w:rPr>
              <w:t>8.35%</w:t>
            </w:r>
          </w:p>
        </w:tc>
        <w:tc>
          <w:tcPr>
            <w:tcW w:type="dxa" w:w="1520"/>
          </w:tcPr>
          <w:p>
            <w:r>
              <w:rPr>
                <w:color w:val="000000"/>
                <w:sz w:val="19"/>
              </w:rPr>
              <w:t>INR 74.71 Lakhs</w:t>
            </w:r>
          </w:p>
        </w:tc>
        <w:tc>
          <w:tcPr>
            <w:tcW w:type="dxa" w:w="1520"/>
          </w:tcPr>
          <w:p>
            <w:r>
              <w:rPr>
                <w:color w:val="000000"/>
                <w:sz w:val="19"/>
              </w:rPr>
              <w:t>72 monthly installments after moratorium of 12 months from the date of disbursement.</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SIDBI</w:t>
            </w:r>
          </w:p>
        </w:tc>
        <w:tc>
          <w:tcPr>
            <w:tcW w:type="dxa" w:w="1520"/>
            <w:shd w:val="clear" w:color="auto" w:fill="EAF0F8"/>
          </w:tcPr>
          <w:p>
            <w:r>
              <w:rPr>
                <w:color w:val="000000"/>
                <w:sz w:val="19"/>
              </w:rPr>
              <w:t>Solar plant</w:t>
            </w:r>
          </w:p>
        </w:tc>
        <w:tc>
          <w:tcPr>
            <w:tcW w:type="dxa" w:w="1520"/>
            <w:shd w:val="clear" w:color="auto" w:fill="EAF0F8"/>
          </w:tcPr>
          <w:p>
            <w:r>
              <w:rPr>
                <w:color w:val="000000"/>
                <w:sz w:val="19"/>
              </w:rPr>
              <w:t>5.65%</w:t>
            </w:r>
          </w:p>
        </w:tc>
        <w:tc>
          <w:tcPr>
            <w:tcW w:type="dxa" w:w="1520"/>
            <w:shd w:val="clear" w:color="auto" w:fill="EAF0F8"/>
          </w:tcPr>
          <w:p>
            <w:r>
              <w:rPr>
                <w:color w:val="000000"/>
                <w:sz w:val="19"/>
              </w:rPr>
              <w:t>INR 529.60 Lakhs</w:t>
            </w:r>
          </w:p>
        </w:tc>
        <w:tc>
          <w:tcPr>
            <w:tcW w:type="dxa" w:w="1520"/>
            <w:shd w:val="clear" w:color="auto" w:fill="EAF0F8"/>
          </w:tcPr>
          <w:p>
            <w:r>
              <w:rPr>
                <w:color w:val="000000"/>
                <w:sz w:val="19"/>
              </w:rPr>
              <w:t>72 months excluding moratorium of 12 months.</w:t>
            </w:r>
          </w:p>
        </w:tc>
      </w:tr>
      <w:tr>
        <w:tc>
          <w:tcPr>
            <w:tcW w:type="dxa" w:w="1520"/>
          </w:tcPr>
          <w:p>
            <w:r>
              <w:rPr>
                <w:color w:val="000000"/>
                <w:sz w:val="19"/>
              </w:rPr>
              <w:t>Term Loan</w:t>
            </w:r>
          </w:p>
        </w:tc>
        <w:tc>
          <w:tcPr>
            <w:tcW w:type="dxa" w:w="1520"/>
          </w:tcPr>
          <w:p>
            <w:r>
              <w:rPr>
                <w:color w:val="000000"/>
                <w:sz w:val="19"/>
              </w:rPr>
              <w:t>SIDBI</w:t>
            </w:r>
          </w:p>
        </w:tc>
        <w:tc>
          <w:tcPr>
            <w:tcW w:type="dxa" w:w="1520"/>
          </w:tcPr>
          <w:p>
            <w:r>
              <w:rPr>
                <w:color w:val="000000"/>
                <w:sz w:val="19"/>
              </w:rPr>
              <w:t>Solar plant</w:t>
            </w:r>
          </w:p>
        </w:tc>
        <w:tc>
          <w:tcPr>
            <w:tcW w:type="dxa" w:w="1520"/>
          </w:tcPr>
          <w:p>
            <w:r>
              <w:rPr>
                <w:color w:val="000000"/>
                <w:sz w:val="19"/>
              </w:rPr>
              <w:t>7.29%</w:t>
            </w:r>
          </w:p>
        </w:tc>
        <w:tc>
          <w:tcPr>
            <w:tcW w:type="dxa" w:w="1520"/>
          </w:tcPr>
          <w:p>
            <w:r>
              <w:rPr>
                <w:color w:val="000000"/>
                <w:sz w:val="19"/>
              </w:rPr>
              <w:t>INR 340.40 Lakhs</w:t>
            </w:r>
          </w:p>
        </w:tc>
        <w:tc>
          <w:tcPr>
            <w:tcW w:type="dxa" w:w="1520"/>
          </w:tcPr>
          <w:p>
            <w:r>
              <w:rPr>
                <w:color w:val="000000"/>
                <w:sz w:val="19"/>
              </w:rPr>
              <w:t>72 months excluding moratorium of 12 months.</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SIDBI</w:t>
            </w:r>
          </w:p>
        </w:tc>
        <w:tc>
          <w:tcPr>
            <w:tcW w:type="dxa" w:w="1520"/>
            <w:shd w:val="clear" w:color="auto" w:fill="EAF0F8"/>
          </w:tcPr>
          <w:p>
            <w:r>
              <w:rPr>
                <w:color w:val="000000"/>
                <w:sz w:val="19"/>
              </w:rPr>
              <w:t>Unspecified</w:t>
            </w:r>
          </w:p>
        </w:tc>
        <w:tc>
          <w:tcPr>
            <w:tcW w:type="dxa" w:w="1520"/>
            <w:shd w:val="clear" w:color="auto" w:fill="EAF0F8"/>
          </w:tcPr>
          <w:p>
            <w:r>
              <w:rPr>
                <w:color w:val="000000"/>
                <w:sz w:val="19"/>
              </w:rPr>
              <w:t>7.00%</w:t>
            </w:r>
          </w:p>
        </w:tc>
        <w:tc>
          <w:tcPr>
            <w:tcW w:type="dxa" w:w="1520"/>
            <w:shd w:val="clear" w:color="auto" w:fill="EAF0F8"/>
          </w:tcPr>
          <w:p>
            <w:r>
              <w:rPr>
                <w:color w:val="000000"/>
                <w:sz w:val="19"/>
              </w:rPr>
              <w:t>INR 113.82 Lakhs</w:t>
            </w:r>
          </w:p>
        </w:tc>
        <w:tc>
          <w:tcPr>
            <w:tcW w:type="dxa" w:w="1520"/>
            <w:shd w:val="clear" w:color="auto" w:fill="EAF0F8"/>
          </w:tcPr>
          <w:p>
            <w:r>
              <w:rPr>
                <w:color w:val="000000"/>
                <w:sz w:val="19"/>
              </w:rPr>
              <w:t>72 months excluding moratorium of 12 months.</w:t>
            </w:r>
          </w:p>
        </w:tc>
      </w:tr>
      <w:tr>
        <w:tc>
          <w:tcPr>
            <w:tcW w:type="dxa" w:w="1520"/>
          </w:tcPr>
          <w:p>
            <w:r>
              <w:rPr>
                <w:color w:val="000000"/>
                <w:sz w:val="19"/>
              </w:rPr>
              <w:t>TWARIT under ECLGS Sceme</w:t>
            </w:r>
          </w:p>
        </w:tc>
        <w:tc>
          <w:tcPr>
            <w:tcW w:type="dxa" w:w="1520"/>
          </w:tcPr>
          <w:p>
            <w:r>
              <w:rPr>
                <w:color w:val="000000"/>
                <w:sz w:val="19"/>
              </w:rPr>
              <w:t>SIDBI</w:t>
            </w:r>
          </w:p>
        </w:tc>
        <w:tc>
          <w:tcPr>
            <w:tcW w:type="dxa" w:w="1520"/>
          </w:tcPr>
          <w:p>
            <w:r>
              <w:rPr>
                <w:color w:val="000000"/>
                <w:sz w:val="19"/>
              </w:rPr>
              <w:t>Unspecified</w:t>
            </w:r>
          </w:p>
        </w:tc>
        <w:tc>
          <w:tcPr>
            <w:tcW w:type="dxa" w:w="1520"/>
          </w:tcPr>
          <w:p>
            <w:r>
              <w:rPr>
                <w:color w:val="000000"/>
                <w:sz w:val="19"/>
              </w:rPr>
              <w:t>6.00%</w:t>
            </w:r>
          </w:p>
        </w:tc>
        <w:tc>
          <w:tcPr>
            <w:tcW w:type="dxa" w:w="1520"/>
          </w:tcPr>
          <w:p>
            <w:r>
              <w:rPr>
                <w:color w:val="000000"/>
                <w:sz w:val="19"/>
              </w:rPr>
              <w:t>INR 2.33 Lakhs</w:t>
            </w:r>
          </w:p>
        </w:tc>
        <w:tc>
          <w:tcPr>
            <w:tcW w:type="dxa" w:w="1520"/>
          </w:tcPr>
          <w:p>
            <w:r>
              <w:rPr>
                <w:color w:val="000000"/>
                <w:sz w:val="19"/>
              </w:rPr>
              <w:t>36 months excluding moratorium of 12 months.</w:t>
            </w:r>
          </w:p>
        </w:tc>
      </w:tr>
      <w:tr>
        <w:tc>
          <w:tcPr>
            <w:tcW w:type="dxa" w:w="1520"/>
            <w:shd w:val="clear" w:color="auto" w:fill="EAF0F8"/>
          </w:tcPr>
          <w:p>
            <w:r>
              <w:rPr>
                <w:color w:val="000000"/>
                <w:sz w:val="19"/>
              </w:rPr>
              <w:t>Cash Credit</w:t>
            </w:r>
          </w:p>
        </w:tc>
        <w:tc>
          <w:tcPr>
            <w:tcW w:type="dxa" w:w="1520"/>
            <w:shd w:val="clear" w:color="auto" w:fill="EAF0F8"/>
          </w:tcPr>
          <w:p>
            <w:r>
              <w:rPr>
                <w:color w:val="000000"/>
                <w:sz w:val="19"/>
              </w:rPr>
              <w:t>ICICI Bank Ltd.</w:t>
            </w:r>
          </w:p>
        </w:tc>
        <w:tc>
          <w:tcPr>
            <w:tcW w:type="dxa" w:w="1520"/>
            <w:shd w:val="clear" w:color="auto" w:fill="EAF0F8"/>
          </w:tcPr>
          <w:p>
            <w:r>
              <w:rPr>
                <w:color w:val="000000"/>
                <w:sz w:val="19"/>
              </w:rPr>
              <w:t>Unspecified</w:t>
            </w:r>
          </w:p>
        </w:tc>
        <w:tc>
          <w:tcPr>
            <w:tcW w:type="dxa" w:w="1520"/>
            <w:shd w:val="clear" w:color="auto" w:fill="EAF0F8"/>
          </w:tcPr>
          <w:p>
            <w:r>
              <w:rPr>
                <w:color w:val="000000"/>
                <w:sz w:val="19"/>
              </w:rPr>
              <w:t>8.15%</w:t>
            </w:r>
          </w:p>
        </w:tc>
        <w:tc>
          <w:tcPr>
            <w:tcW w:type="dxa" w:w="1520"/>
            <w:shd w:val="clear" w:color="auto" w:fill="EAF0F8"/>
          </w:tcPr>
          <w:p>
            <w:r>
              <w:rPr>
                <w:color w:val="000000"/>
                <w:sz w:val="19"/>
              </w:rPr>
              <w:t>INR 738.68 Lakhs</w:t>
            </w:r>
          </w:p>
        </w:tc>
        <w:tc>
          <w:tcPr>
            <w:tcW w:type="dxa" w:w="1520"/>
            <w:shd w:val="clear" w:color="auto" w:fill="EAF0F8"/>
          </w:tcPr>
          <w:p>
            <w:r>
              <w:rPr>
                <w:color w:val="000000"/>
                <w:sz w:val="19"/>
              </w:rPr>
              <w:t>On Demand</w:t>
            </w:r>
          </w:p>
        </w:tc>
      </w:tr>
      <w:tr>
        <w:tc>
          <w:tcPr>
            <w:tcW w:type="dxa" w:w="1520"/>
          </w:tcPr>
          <w:p>
            <w:r>
              <w:rPr>
                <w:color w:val="000000"/>
                <w:sz w:val="19"/>
              </w:rPr>
              <w:t>Overdraft</w:t>
            </w:r>
          </w:p>
        </w:tc>
        <w:tc>
          <w:tcPr>
            <w:tcW w:type="dxa" w:w="1520"/>
          </w:tcPr>
          <w:p>
            <w:r>
              <w:rPr>
                <w:color w:val="000000"/>
                <w:sz w:val="19"/>
              </w:rPr>
              <w:t>ICICI Bank Ltd.</w:t>
            </w:r>
          </w:p>
        </w:tc>
        <w:tc>
          <w:tcPr>
            <w:tcW w:type="dxa" w:w="1520"/>
          </w:tcPr>
          <w:p>
            <w:r>
              <w:rPr>
                <w:color w:val="000000"/>
                <w:sz w:val="19"/>
              </w:rPr>
              <w:t>Unspecified</w:t>
            </w:r>
          </w:p>
        </w:tc>
        <w:tc>
          <w:tcPr>
            <w:tcW w:type="dxa" w:w="1520"/>
          </w:tcPr>
          <w:p>
            <w:r>
              <w:rPr>
                <w:color w:val="000000"/>
                <w:sz w:val="19"/>
              </w:rPr>
              <w:t>7.00%</w:t>
            </w:r>
          </w:p>
        </w:tc>
        <w:tc>
          <w:tcPr>
            <w:tcW w:type="dxa" w:w="1520"/>
          </w:tcPr>
          <w:p>
            <w:r>
              <w:rPr>
                <w:color w:val="000000"/>
                <w:sz w:val="19"/>
              </w:rPr>
              <w:t>INR 100.00 Lakhs</w:t>
            </w:r>
          </w:p>
        </w:tc>
        <w:tc>
          <w:tcPr>
            <w:tcW w:type="dxa" w:w="1520"/>
          </w:tcPr>
          <w:p>
            <w:r>
              <w:rPr>
                <w:color w:val="000000"/>
                <w:sz w:val="19"/>
              </w:rPr>
              <w:t>On Demand</w:t>
            </w:r>
          </w:p>
        </w:tc>
      </w:tr>
      <w:tr>
        <w:tc>
          <w:tcPr>
            <w:tcW w:type="dxa" w:w="1520"/>
            <w:shd w:val="clear" w:color="auto" w:fill="EAF0F8"/>
          </w:tcPr>
          <w:p>
            <w:r>
              <w:rPr>
                <w:color w:val="000000"/>
                <w:sz w:val="19"/>
              </w:rPr>
              <w:t>Loan</w:t>
            </w:r>
          </w:p>
        </w:tc>
        <w:tc>
          <w:tcPr>
            <w:tcW w:type="dxa" w:w="1520"/>
            <w:shd w:val="clear" w:color="auto" w:fill="EAF0F8"/>
          </w:tcPr>
          <w:p>
            <w:r>
              <w:rPr>
                <w:color w:val="000000"/>
                <w:sz w:val="19"/>
              </w:rPr>
              <w:t>Anajana Shah</w:t>
            </w:r>
          </w:p>
        </w:tc>
        <w:tc>
          <w:tcPr>
            <w:tcW w:type="dxa" w:w="1520"/>
            <w:shd w:val="clear" w:color="auto" w:fill="EAF0F8"/>
          </w:tcPr>
          <w:p>
            <w:r>
              <w:rPr>
                <w:color w:val="000000"/>
                <w:sz w:val="19"/>
              </w:rPr>
              <w:t>Unspecified</w:t>
            </w:r>
          </w:p>
        </w:tc>
        <w:tc>
          <w:tcPr>
            <w:tcW w:type="dxa" w:w="1520"/>
            <w:shd w:val="clear" w:color="auto" w:fill="EAF0F8"/>
          </w:tcPr>
          <w:p>
            <w:r>
              <w:rPr>
                <w:color w:val="000000"/>
                <w:sz w:val="19"/>
              </w:rPr>
              <w:t>0.00%</w:t>
            </w:r>
          </w:p>
        </w:tc>
        <w:tc>
          <w:tcPr>
            <w:tcW w:type="dxa" w:w="1520"/>
            <w:shd w:val="clear" w:color="auto" w:fill="EAF0F8"/>
          </w:tcPr>
          <w:p>
            <w:r>
              <w:rPr>
                <w:color w:val="000000"/>
                <w:sz w:val="19"/>
              </w:rPr>
              <w:t>INR 1.00 Lakhs</w:t>
            </w:r>
          </w:p>
        </w:tc>
        <w:tc>
          <w:tcPr>
            <w:tcW w:type="dxa" w:w="1520"/>
            <w:shd w:val="clear" w:color="auto" w:fill="EAF0F8"/>
          </w:tcPr>
          <w:p>
            <w:r>
              <w:rPr>
                <w:color w:val="000000"/>
                <w:sz w:val="19"/>
              </w:rPr>
              <w:t>Repayable on demand</w:t>
            </w:r>
          </w:p>
        </w:tc>
      </w:tr>
      <w:tr>
        <w:tc>
          <w:tcPr>
            <w:tcW w:type="dxa" w:w="1520"/>
          </w:tcPr>
          <w:p>
            <w:r>
              <w:rPr>
                <w:color w:val="000000"/>
                <w:sz w:val="19"/>
              </w:rPr>
              <w:t>Loan</w:t>
            </w:r>
          </w:p>
        </w:tc>
        <w:tc>
          <w:tcPr>
            <w:tcW w:type="dxa" w:w="1520"/>
          </w:tcPr>
          <w:p>
            <w:r>
              <w:rPr>
                <w:color w:val="000000"/>
                <w:sz w:val="19"/>
              </w:rPr>
              <w:t>Girish Kumar Shah</w:t>
            </w:r>
          </w:p>
        </w:tc>
        <w:tc>
          <w:tcPr>
            <w:tcW w:type="dxa" w:w="1520"/>
          </w:tcPr>
          <w:p>
            <w:r>
              <w:rPr>
                <w:color w:val="000000"/>
                <w:sz w:val="19"/>
              </w:rPr>
              <w:t>Unspecified</w:t>
            </w:r>
          </w:p>
        </w:tc>
        <w:tc>
          <w:tcPr>
            <w:tcW w:type="dxa" w:w="1520"/>
          </w:tcPr>
          <w:p>
            <w:r>
              <w:rPr>
                <w:color w:val="000000"/>
                <w:sz w:val="19"/>
              </w:rPr>
              <w:t>0.00%</w:t>
            </w:r>
          </w:p>
        </w:tc>
        <w:tc>
          <w:tcPr>
            <w:tcW w:type="dxa" w:w="1520"/>
          </w:tcPr>
          <w:p>
            <w:r>
              <w:rPr>
                <w:color w:val="000000"/>
                <w:sz w:val="19"/>
              </w:rPr>
              <w:t>INR 11.32 Lakhs</w:t>
            </w:r>
          </w:p>
        </w:tc>
        <w:tc>
          <w:tcPr>
            <w:tcW w:type="dxa" w:w="1520"/>
          </w:tcPr>
          <w:p>
            <w:r>
              <w:rPr>
                <w:color w:val="000000"/>
                <w:sz w:val="19"/>
              </w:rPr>
              <w:t>Repayable on demand</w:t>
            </w:r>
          </w:p>
        </w:tc>
      </w:tr>
      <w:tr>
        <w:tc>
          <w:tcPr>
            <w:tcW w:type="dxa" w:w="1520"/>
            <w:shd w:val="clear" w:color="auto" w:fill="EAF0F8"/>
          </w:tcPr>
          <w:p>
            <w:r>
              <w:rPr>
                <w:color w:val="000000"/>
                <w:sz w:val="19"/>
              </w:rPr>
              <w:t>Loan</w:t>
            </w:r>
          </w:p>
        </w:tc>
        <w:tc>
          <w:tcPr>
            <w:tcW w:type="dxa" w:w="1520"/>
            <w:shd w:val="clear" w:color="auto" w:fill="EAF0F8"/>
          </w:tcPr>
          <w:p>
            <w:r>
              <w:rPr>
                <w:color w:val="000000"/>
                <w:sz w:val="19"/>
              </w:rPr>
              <w:t>Harish Kumar Shah</w:t>
            </w:r>
          </w:p>
        </w:tc>
        <w:tc>
          <w:tcPr>
            <w:tcW w:type="dxa" w:w="1520"/>
            <w:shd w:val="clear" w:color="auto" w:fill="EAF0F8"/>
          </w:tcPr>
          <w:p>
            <w:r>
              <w:rPr>
                <w:color w:val="000000"/>
                <w:sz w:val="19"/>
              </w:rPr>
              <w:t>Unspecified</w:t>
            </w:r>
          </w:p>
        </w:tc>
        <w:tc>
          <w:tcPr>
            <w:tcW w:type="dxa" w:w="1520"/>
            <w:shd w:val="clear" w:color="auto" w:fill="EAF0F8"/>
          </w:tcPr>
          <w:p>
            <w:r>
              <w:rPr>
                <w:color w:val="000000"/>
                <w:sz w:val="19"/>
              </w:rPr>
              <w:t>0.00%</w:t>
            </w:r>
          </w:p>
        </w:tc>
        <w:tc>
          <w:tcPr>
            <w:tcW w:type="dxa" w:w="1520"/>
            <w:shd w:val="clear" w:color="auto" w:fill="EAF0F8"/>
          </w:tcPr>
          <w:p>
            <w:r>
              <w:rPr>
                <w:color w:val="000000"/>
                <w:sz w:val="19"/>
              </w:rPr>
              <w:t>INR 21.40 Lakhs</w:t>
            </w:r>
          </w:p>
        </w:tc>
        <w:tc>
          <w:tcPr>
            <w:tcW w:type="dxa" w:w="1520"/>
            <w:shd w:val="clear" w:color="auto" w:fill="EAF0F8"/>
          </w:tcPr>
          <w:p>
            <w:r>
              <w:rPr>
                <w:color w:val="000000"/>
                <w:sz w:val="19"/>
              </w:rPr>
              <w:t>Repayable on demand</w:t>
            </w:r>
          </w:p>
        </w:tc>
      </w:tr>
      <w:tr>
        <w:tc>
          <w:tcPr>
            <w:tcW w:type="dxa" w:w="1520"/>
          </w:tcPr>
          <w:p>
            <w:r>
              <w:rPr>
                <w:color w:val="000000"/>
                <w:sz w:val="19"/>
              </w:rPr>
              <w:t>Loan</w:t>
            </w:r>
          </w:p>
        </w:tc>
        <w:tc>
          <w:tcPr>
            <w:tcW w:type="dxa" w:w="1520"/>
          </w:tcPr>
          <w:p>
            <w:r>
              <w:rPr>
                <w:color w:val="000000"/>
                <w:sz w:val="19"/>
              </w:rPr>
              <w:t>Majula Shah</w:t>
            </w:r>
          </w:p>
        </w:tc>
        <w:tc>
          <w:tcPr>
            <w:tcW w:type="dxa" w:w="1520"/>
          </w:tcPr>
          <w:p>
            <w:r>
              <w:rPr>
                <w:color w:val="000000"/>
                <w:sz w:val="19"/>
              </w:rPr>
              <w:t>Unspecified</w:t>
            </w:r>
          </w:p>
        </w:tc>
        <w:tc>
          <w:tcPr>
            <w:tcW w:type="dxa" w:w="1520"/>
          </w:tcPr>
          <w:p>
            <w:r>
              <w:rPr>
                <w:color w:val="000000"/>
                <w:sz w:val="19"/>
              </w:rPr>
              <w:t>0.00%</w:t>
            </w:r>
          </w:p>
        </w:tc>
        <w:tc>
          <w:tcPr>
            <w:tcW w:type="dxa" w:w="1520"/>
          </w:tcPr>
          <w:p>
            <w:r>
              <w:rPr>
                <w:color w:val="000000"/>
                <w:sz w:val="19"/>
              </w:rPr>
              <w:t>INR 1.00 Lakhs</w:t>
            </w:r>
          </w:p>
        </w:tc>
        <w:tc>
          <w:tcPr>
            <w:tcW w:type="dxa" w:w="1520"/>
          </w:tcPr>
          <w:p>
            <w:r>
              <w:rPr>
                <w:color w:val="000000"/>
                <w:sz w:val="19"/>
              </w:rPr>
              <w:t>Repayable on demand</w:t>
            </w:r>
          </w:p>
        </w:tc>
      </w:tr>
      <w:tr>
        <w:tc>
          <w:tcPr>
            <w:tcW w:type="dxa" w:w="1520"/>
            <w:shd w:val="clear" w:color="auto" w:fill="EAF0F8"/>
          </w:tcPr>
          <w:p>
            <w:r>
              <w:rPr>
                <w:color w:val="000000"/>
                <w:sz w:val="19"/>
              </w:rPr>
              <w:t>Loan</w:t>
            </w:r>
          </w:p>
        </w:tc>
        <w:tc>
          <w:tcPr>
            <w:tcW w:type="dxa" w:w="1520"/>
            <w:shd w:val="clear" w:color="auto" w:fill="EAF0F8"/>
          </w:tcPr>
          <w:p>
            <w:r>
              <w:rPr>
                <w:color w:val="000000"/>
                <w:sz w:val="19"/>
              </w:rPr>
              <w:t>Satish Kumar Shah</w:t>
            </w:r>
          </w:p>
        </w:tc>
        <w:tc>
          <w:tcPr>
            <w:tcW w:type="dxa" w:w="1520"/>
            <w:shd w:val="clear" w:color="auto" w:fill="EAF0F8"/>
          </w:tcPr>
          <w:p>
            <w:r>
              <w:rPr>
                <w:color w:val="000000"/>
                <w:sz w:val="19"/>
              </w:rPr>
              <w:t>Unspecified</w:t>
            </w:r>
          </w:p>
        </w:tc>
        <w:tc>
          <w:tcPr>
            <w:tcW w:type="dxa" w:w="1520"/>
            <w:shd w:val="clear" w:color="auto" w:fill="EAF0F8"/>
          </w:tcPr>
          <w:p>
            <w:r>
              <w:rPr>
                <w:color w:val="000000"/>
                <w:sz w:val="19"/>
              </w:rPr>
              <w:t>0.00%</w:t>
            </w:r>
          </w:p>
        </w:tc>
        <w:tc>
          <w:tcPr>
            <w:tcW w:type="dxa" w:w="1520"/>
            <w:shd w:val="clear" w:color="auto" w:fill="EAF0F8"/>
          </w:tcPr>
          <w:p>
            <w:r>
              <w:rPr>
                <w:color w:val="000000"/>
                <w:sz w:val="19"/>
              </w:rPr>
              <w:t>INR 17.00 Lakhs</w:t>
            </w:r>
          </w:p>
        </w:tc>
        <w:tc>
          <w:tcPr>
            <w:tcW w:type="dxa" w:w="1520"/>
            <w:shd w:val="clear" w:color="auto" w:fill="EAF0F8"/>
          </w:tcPr>
          <w:p>
            <w:r>
              <w:rPr>
                <w:color w:val="000000"/>
                <w:sz w:val="19"/>
              </w:rPr>
              <w:t>Repayable on demand</w:t>
            </w:r>
          </w:p>
        </w:tc>
      </w:tr>
      <w:tr>
        <w:tc>
          <w:tcPr>
            <w:tcW w:type="dxa" w:w="1520"/>
          </w:tcPr>
          <w:p>
            <w:r>
              <w:rPr>
                <w:color w:val="000000"/>
                <w:sz w:val="19"/>
              </w:rPr>
              <w:t>Loan</w:t>
            </w:r>
          </w:p>
        </w:tc>
        <w:tc>
          <w:tcPr>
            <w:tcW w:type="dxa" w:w="1520"/>
          </w:tcPr>
          <w:p>
            <w:r>
              <w:rPr>
                <w:color w:val="000000"/>
                <w:sz w:val="19"/>
              </w:rPr>
              <w:t>Savitri Devi Shah</w:t>
            </w:r>
          </w:p>
        </w:tc>
        <w:tc>
          <w:tcPr>
            <w:tcW w:type="dxa" w:w="1520"/>
          </w:tcPr>
          <w:p>
            <w:r>
              <w:rPr>
                <w:color w:val="000000"/>
                <w:sz w:val="19"/>
              </w:rPr>
              <w:t>Unspecified</w:t>
            </w:r>
          </w:p>
        </w:tc>
        <w:tc>
          <w:tcPr>
            <w:tcW w:type="dxa" w:w="1520"/>
          </w:tcPr>
          <w:p>
            <w:r>
              <w:rPr>
                <w:color w:val="000000"/>
                <w:sz w:val="19"/>
              </w:rPr>
              <w:t>0.00%</w:t>
            </w:r>
          </w:p>
        </w:tc>
        <w:tc>
          <w:tcPr>
            <w:tcW w:type="dxa" w:w="1520"/>
          </w:tcPr>
          <w:p>
            <w:r>
              <w:rPr>
                <w:color w:val="000000"/>
                <w:sz w:val="19"/>
              </w:rPr>
              <w:t>INR 1.61 Lakhs</w:t>
            </w:r>
          </w:p>
        </w:tc>
        <w:tc>
          <w:tcPr>
            <w:tcW w:type="dxa" w:w="1520"/>
          </w:tcPr>
          <w:p>
            <w:r>
              <w:rPr>
                <w:color w:val="000000"/>
                <w:sz w:val="19"/>
              </w:rPr>
              <w:t>Repayable on demand</w:t>
            </w:r>
          </w:p>
        </w:tc>
      </w:tr>
      <w:tr>
        <w:tc>
          <w:tcPr>
            <w:tcW w:type="dxa" w:w="1520"/>
            <w:shd w:val="clear" w:color="auto" w:fill="EAF0F8"/>
          </w:tcPr>
          <w:p>
            <w:r>
              <w:rPr>
                <w:color w:val="000000"/>
                <w:sz w:val="19"/>
              </w:rPr>
              <w:t>Loan</w:t>
            </w:r>
          </w:p>
        </w:tc>
        <w:tc>
          <w:tcPr>
            <w:tcW w:type="dxa" w:w="1520"/>
            <w:shd w:val="clear" w:color="auto" w:fill="EAF0F8"/>
          </w:tcPr>
          <w:p>
            <w:r>
              <w:rPr>
                <w:color w:val="000000"/>
                <w:sz w:val="19"/>
              </w:rPr>
              <w:t>Usha Shah</w:t>
            </w:r>
          </w:p>
        </w:tc>
        <w:tc>
          <w:tcPr>
            <w:tcW w:type="dxa" w:w="1520"/>
            <w:shd w:val="clear" w:color="auto" w:fill="EAF0F8"/>
          </w:tcPr>
          <w:p>
            <w:r>
              <w:rPr>
                <w:color w:val="000000"/>
                <w:sz w:val="19"/>
              </w:rPr>
              <w:t>Unspecified</w:t>
            </w:r>
          </w:p>
        </w:tc>
        <w:tc>
          <w:tcPr>
            <w:tcW w:type="dxa" w:w="1520"/>
            <w:shd w:val="clear" w:color="auto" w:fill="EAF0F8"/>
          </w:tcPr>
          <w:p>
            <w:r>
              <w:rPr>
                <w:color w:val="000000"/>
                <w:sz w:val="19"/>
              </w:rPr>
              <w:t>0.00%</w:t>
            </w:r>
          </w:p>
        </w:tc>
        <w:tc>
          <w:tcPr>
            <w:tcW w:type="dxa" w:w="1520"/>
            <w:shd w:val="clear" w:color="auto" w:fill="EAF0F8"/>
          </w:tcPr>
          <w:p>
            <w:r>
              <w:rPr>
                <w:color w:val="000000"/>
                <w:sz w:val="19"/>
              </w:rPr>
              <w:t>INR 2.00 Lakhs</w:t>
            </w:r>
          </w:p>
        </w:tc>
        <w:tc>
          <w:tcPr>
            <w:tcW w:type="dxa" w:w="1520"/>
            <w:shd w:val="clear" w:color="auto" w:fill="EAF0F8"/>
          </w:tcPr>
          <w:p>
            <w:r>
              <w:rPr>
                <w:color w:val="000000"/>
                <w:sz w:val="19"/>
              </w:rPr>
              <w:t>Repayable on demand</w:t>
            </w:r>
          </w:p>
        </w:tc>
      </w:tr>
    </w:tbl>
    <w:p/>
    <w:p/>
    <w:p>
      <w:r>
        <w:rPr>
          <w:b/>
          <w:color w:val="003366"/>
          <w:sz w:val="24"/>
        </w:rPr>
        <w:t>3.3 Covenants &amp; Restrictions</w:t>
      </w:r>
    </w:p>
    <w:p/>
    <w:p>
      <w:pPr>
        <w:spacing w:after="80"/>
        <w:jc w:val="both"/>
      </w:pPr>
      <w:r>
        <w:rPr>
          <w:sz w:val="21"/>
        </w:rPr>
        <w:t>The company's debt instruments are subject to various covenants and security arrangements as detailed below:</w:t>
      </w:r>
    </w:p>
    <w:p/>
    <w:p>
      <w:pPr>
        <w:spacing w:after="80"/>
        <w:jc w:val="both"/>
      </w:pPr>
      <w:r>
        <w:rPr>
          <w:b/>
          <w:sz w:val="21"/>
        </w:rPr>
        <w:t>ICICI Bank Ltd. Facilities:</w:t>
      </w:r>
    </w:p>
    <w:p>
      <w:pPr>
        <w:pStyle w:val="ListBullet"/>
        <w:jc w:val="both"/>
      </w:pPr>
      <w:r>
        <w:rPr>
          <w:sz w:val="21"/>
        </w:rPr>
        <w:t xml:space="preserve">  </w:t>
      </w:r>
      <w:r>
        <w:rPr>
          <w:b/>
          <w:sz w:val="21"/>
        </w:rPr>
        <w:t>Working Capital Term Loan under ECLGS scheme:</w:t>
      </w:r>
      <w:r>
        <w:rPr>
          <w:sz w:val="21"/>
        </w:rPr>
        <w:t xml:space="preserve"> This facility is secured by a second charge on the assets financed under the scheme, a second charge on existing accounts, and a second charge on property with an aggregate value of INR 97.0 million. The facility is guaranteed by National Credit Guarantee Trustee Company ('NCGTC').</w:t>
      </w:r>
    </w:p>
    <w:p>
      <w:pPr>
        <w:pStyle w:val="ListBullet"/>
        <w:jc w:val="both"/>
      </w:pPr>
      <w:r>
        <w:rPr>
          <w:sz w:val="21"/>
        </w:rPr>
        <w:t xml:space="preserve">  </w:t>
      </w:r>
      <w:r>
        <w:rPr>
          <w:b/>
          <w:sz w:val="21"/>
        </w:rPr>
        <w:t>Cash Credit:</w:t>
      </w:r>
      <w:r>
        <w:rPr>
          <w:sz w:val="21"/>
        </w:rPr>
        <w:t xml:space="preserve"> This facility is secured by an exclusive charge by way of hypothecation on the company’s entire stocks of raw materials, semi-finished and finished goods, consumable stores and spares, and such other movables including book-debts, bills, outstanding monies, and receivables, both present and future. Additionally, an exclusive charge by way of equitable mortgage is placed on commercial vacant land owned by Mr Harish Kumar Shah, Mr Satish Kumar Shah and Mr Girish Kumar Shah (aggregate value of INR 50.00 million), commercial vacant land owned by M/s Abha Power &amp; Steel Pvt Ltd (aggregate value of INR 25.00 million), residential property owned by Mr. Harish Kumar Shah (aggregate value of INR 6.0 million), residential property owned by Mr. Satish Kumar Shah (aggregate value of INR 6.0 million), and residential property owned by Mr SanatanA Shah (aggregate value of INR 10.0 million). Personal guarantees are provided by Mr. Atish Agrawal, Mr. Ankit Agrawal, Mr. Satish Kumar Shah, Mr. Harish Kumar Shah, and Mr. Girish Kumar Shah. A corporate guarantee is provided by M/s Sunflower Commotrade Pvt Ltd.</w:t>
      </w:r>
    </w:p>
    <w:p>
      <w:pPr>
        <w:pStyle w:val="ListBullet"/>
        <w:jc w:val="both"/>
      </w:pPr>
      <w:r>
        <w:rPr>
          <w:sz w:val="21"/>
        </w:rPr>
        <w:t xml:space="preserve">  </w:t>
      </w:r>
      <w:r>
        <w:rPr>
          <w:b/>
          <w:sz w:val="21"/>
        </w:rPr>
        <w:t>Overdraft:</w:t>
      </w:r>
      <w:r>
        <w:rPr>
          <w:sz w:val="21"/>
        </w:rPr>
        <w:t xml:space="preserve"> This facility is stated as "Secured".</w:t>
      </w:r>
    </w:p>
    <w:p/>
    <w:p>
      <w:pPr>
        <w:spacing w:after="80"/>
        <w:jc w:val="both"/>
      </w:pPr>
      <w:r>
        <w:rPr>
          <w:b/>
          <w:sz w:val="21"/>
        </w:rPr>
        <w:t>SIDBI Facilities (Term Loans and TWARIT under ECLGS Scheme):</w:t>
      </w:r>
    </w:p>
    <w:p>
      <w:pPr>
        <w:pStyle w:val="ListBullet"/>
        <w:jc w:val="both"/>
      </w:pPr>
      <w:r>
        <w:rPr>
          <w:sz w:val="21"/>
        </w:rPr>
        <w:t xml:space="preserve">  </w:t>
      </w:r>
      <w:r>
        <w:rPr>
          <w:b/>
          <w:sz w:val="21"/>
        </w:rPr>
        <w:t>Primary Security:</w:t>
      </w:r>
      <w:r>
        <w:rPr>
          <w:sz w:val="21"/>
        </w:rPr>
        <w:t xml:space="preserve"> A first charge by way of mortgage/hypothecation in favour of SIDBI on the immovable/movable assets (viz., land, building, plant, machinery, equipment, tools, spares, accessories) and all other assets which have been acquired or proposed to be acquired under the respective project/scheme.</w:t>
      </w:r>
    </w:p>
    <w:p>
      <w:pPr>
        <w:pStyle w:val="ListBullet"/>
        <w:jc w:val="both"/>
      </w:pPr>
      <w:r>
        <w:rPr>
          <w:sz w:val="21"/>
        </w:rPr>
        <w:t xml:space="preserve">  </w:t>
      </w:r>
      <w:r>
        <w:rPr>
          <w:b/>
          <w:sz w:val="21"/>
        </w:rPr>
        <w:t>Collateral Security:</w:t>
      </w:r>
      <w:r>
        <w:rPr>
          <w:sz w:val="21"/>
        </w:rPr>
        <w:t xml:space="preserve"> An extension of the first charge by way of hypothecation in favour of SIDBI on all the Borrower's movables (save and except stock &amp; book debts), including plant, machinery, machinery spares, tools &amp; accessories, office equipment, furniture, and fixtures, both present and future, created out of earlier assistance/loans. An extension of the first charge by way of mortgage of Leasehold Rights in favour of SIDBI on all immovable properties, both present and future, situated at Hardikala Village, Bilha Tahsil, Bilaspur District, bearing part of Khasra No. 657/2, area admeasuring 3,19,200 sq.ft. An extension of the first charge by way of mortgage of freehold rights in favour of SIDBI on various immovable properties owned by Shri Subhash Chand Agrawal and Abha Power &amp; Steel Pvt Ltd located in Bilaspur District.</w:t>
      </w:r>
    </w:p>
    <w:p>
      <w:pPr>
        <w:pStyle w:val="ListBullet"/>
        <w:jc w:val="both"/>
      </w:pPr>
      <w:r>
        <w:rPr>
          <w:sz w:val="21"/>
        </w:rPr>
        <w:t xml:space="preserve">  </w:t>
      </w:r>
      <w:r>
        <w:rPr>
          <w:b/>
          <w:sz w:val="21"/>
        </w:rPr>
        <w:t>Guarantees:</w:t>
      </w:r>
      <w:r>
        <w:rPr>
          <w:sz w:val="21"/>
        </w:rPr>
        <w:t xml:space="preserve"> Personal guarantees are provided by Mr. Ankit Agrawal, Mr. Satish Kumar Shah, Mr. Harish Kumar Shah, and Mr. Girish Kumar Shah. A corporate guarantee is provided by M/s Sunflower Commotrade Pvt Ltd.</w:t>
      </w:r>
    </w:p>
    <w:p/>
    <w:p>
      <w:pPr>
        <w:spacing w:after="80"/>
        <w:jc w:val="both"/>
      </w:pPr>
      <w:r>
        <w:rPr>
          <w:b/>
          <w:sz w:val="21"/>
        </w:rPr>
        <w:t>Unsecured Loans from Individuals:</w:t>
      </w:r>
    </w:p>
    <w:p>
      <w:pPr>
        <w:pStyle w:val="ListBullet"/>
        <w:jc w:val="both"/>
      </w:pPr>
      <w:r>
        <w:rPr>
          <w:sz w:val="21"/>
        </w:rPr>
        <w:t xml:space="preserve">  No specific covenants or security arrangements are reported for these loans.</w:t>
      </w:r>
    </w:p>
    <w:p/>
    <w:p>
      <w:r>
        <w:rPr>
          <w:b/>
          <w:color w:val="003366"/>
          <w:sz w:val="24"/>
        </w:rPr>
        <w:t>3.4 Repayment &amp; Conduct</w:t>
      </w:r>
    </w:p>
    <w:p/>
    <w:p>
      <w:pPr>
        <w:spacing w:after="80"/>
        <w:jc w:val="both"/>
      </w:pPr>
      <w:r>
        <w:rPr>
          <w:sz w:val="21"/>
        </w:rPr>
        <w:t>Based on the available information, no adverse repayment track record, defaults, or Special Mention Account (SMA) classifications have been reported for Abha Power and Steel Limited.</w:t>
      </w:r>
    </w:p>
    <w:p/>
    <w:p>
      <w:pPr>
        <w:pStyle w:val="Heading1"/>
        <w:spacing w:before="320" w:after="160"/>
      </w:pPr>
      <w:r>
        <w:rPr>
          <w:b/>
          <w:color w:val="003366"/>
          <w:sz w:val="26"/>
        </w:rPr>
        <w:t>SECTION 4 — RISK ASSESSMENT &amp; SECURITY</w:t>
      </w:r>
    </w:p>
    <w:p>
      <w:pPr>
        <w:pBdr>
          <w:bottom w:val="single" w:sz="6" w:space="1" w:color="003366"/>
        </w:pBdr>
      </w:pPr>
    </w:p>
    <w:p>
      <w:r>
        <w:rPr>
          <w:b/>
          <w:color w:val="003366"/>
          <w:sz w:val="24"/>
        </w:rPr>
        <w:t>Section 4 — Risk Assessment &amp; Security</w:t>
      </w:r>
    </w:p>
    <w:p/>
    <w:p>
      <w:r>
        <w:rPr>
          <w:b/>
          <w:color w:val="003366"/>
          <w:sz w:val="22"/>
        </w:rPr>
        <w:t>1. Risk Assessment</w:t>
      </w:r>
    </w:p>
    <w:p/>
    <w:p>
      <w:pPr>
        <w:spacing w:after="80"/>
        <w:jc w:val="both"/>
      </w:pPr>
      <w:r>
        <w:rPr>
          <w:sz w:val="21"/>
        </w:rPr>
        <w:t>This section identifies and assesses key risks associated with Abha Power and Steel Limited, categorised by their nature, along with their respective severity and mitigants.</w:t>
      </w:r>
    </w:p>
    <w:p/>
    <w:p>
      <w:pPr>
        <w:spacing w:after="80"/>
        <w:jc w:val="both"/>
      </w:pPr>
      <w:r>
        <w:rPr>
          <w:b/>
          <w:sz w:val="21"/>
        </w:rPr>
        <w:t>Financial Risk</w:t>
      </w:r>
    </w:p>
    <w:p/>
    <w:p>
      <w:pPr>
        <w:pStyle w:val="ListBullet"/>
        <w:jc w:val="both"/>
      </w:pPr>
      <w:r>
        <w:rPr>
          <w:sz w:val="21"/>
        </w:rPr>
        <w:t xml:space="preserve">  </w:t>
      </w:r>
      <w:r>
        <w:rPr>
          <w:b/>
          <w:sz w:val="21"/>
        </w:rPr>
        <w:t>Risk:</w:t>
      </w:r>
      <w:r>
        <w:rPr>
          <w:sz w:val="21"/>
        </w:rPr>
        <w:t xml:space="preserve"> Debt Service Coverage Ratio (DSCR) of 0.66x (below 1.0x) indicates that scheduled principal repayments for SIDBI/ICICI facilities exceed current earnings cover, despite lower leverage.</w:t>
      </w:r>
    </w:p>
    <w:p>
      <w:pPr>
        <w:pStyle w:val="ListBullet"/>
        <w:jc w:val="both"/>
      </w:pPr>
      <w:r>
        <w:rPr>
          <w:sz w:val="21"/>
        </w:rPr>
        <w:t xml:space="preserve">  </w:t>
      </w:r>
      <w:r>
        <w:rPr>
          <w:b/>
          <w:sz w:val="21"/>
        </w:rPr>
        <w:t>Severity:</w:t>
      </w:r>
      <w:r>
        <w:rPr>
          <w:sz w:val="21"/>
        </w:rPr>
        <w:t xml:space="preserve"> HIGH</w:t>
      </w:r>
    </w:p>
    <w:p>
      <w:pPr>
        <w:pStyle w:val="ListBullet"/>
        <w:jc w:val="both"/>
      </w:pPr>
      <w:r>
        <w:rPr>
          <w:sz w:val="21"/>
        </w:rPr>
        <w:t xml:space="preserve">  </w:t>
      </w:r>
      <w:r>
        <w:rPr>
          <w:b/>
          <w:sz w:val="21"/>
        </w:rPr>
        <w:t>Mitigant:</w:t>
      </w:r>
      <w:r>
        <w:rPr>
          <w:sz w:val="21"/>
        </w:rPr>
        <w:t xml:space="preserve"> The company maintains a post-IPO cash buffer of INR 1,542 L, and the Debt-to-Equity (D/E) ratio has improved to 0.42.</w:t>
      </w:r>
    </w:p>
    <w:p>
      <w:pPr>
        <w:pStyle w:val="ListBullet"/>
        <w:jc w:val="both"/>
      </w:pPr>
      <w:r>
        <w:rPr>
          <w:sz w:val="21"/>
        </w:rPr>
        <w:t xml:space="preserve">  </w:t>
      </w:r>
      <w:r>
        <w:rPr>
          <w:b/>
          <w:sz w:val="21"/>
        </w:rPr>
        <w:t>Risk:</w:t>
      </w:r>
      <w:r>
        <w:rPr>
          <w:sz w:val="21"/>
        </w:rPr>
        <w:t xml:space="preserve"> Inventories increased to INR 2,347 L, resulting in an inventory turnover of 3.39x (approximately 108 days), which ties up working capital.</w:t>
      </w:r>
    </w:p>
    <w:p>
      <w:pPr>
        <w:pStyle w:val="ListBullet"/>
        <w:jc w:val="both"/>
      </w:pPr>
      <w:r>
        <w:rPr>
          <w:sz w:val="21"/>
        </w:rPr>
        <w:t xml:space="preserve">  </w:t>
      </w:r>
      <w:r>
        <w:rPr>
          <w:b/>
          <w:sz w:val="21"/>
        </w:rPr>
        <w:t>Severity:</w:t>
      </w:r>
      <w:r>
        <w:rPr>
          <w:sz w:val="21"/>
        </w:rPr>
        <w:t xml:space="preserve"> MEDIUM</w:t>
      </w:r>
    </w:p>
    <w:p>
      <w:pPr>
        <w:pStyle w:val="ListBullet"/>
        <w:jc w:val="both"/>
      </w:pPr>
      <w:r>
        <w:rPr>
          <w:sz w:val="21"/>
        </w:rPr>
        <w:t xml:space="preserve">  </w:t>
      </w:r>
      <w:r>
        <w:rPr>
          <w:b/>
          <w:sz w:val="21"/>
        </w:rPr>
        <w:t>Mitigant:</w:t>
      </w:r>
      <w:r>
        <w:rPr>
          <w:sz w:val="21"/>
        </w:rPr>
        <w:t xml:space="preserve"> The company employs demand-based planning and net realisable value provisioning for inventory management.</w:t>
      </w:r>
    </w:p>
    <w:p>
      <w:pPr>
        <w:pStyle w:val="ListBullet"/>
        <w:jc w:val="both"/>
      </w:pPr>
      <w:r>
        <w:rPr>
          <w:sz w:val="21"/>
        </w:rPr>
        <w:t xml:space="preserve">  </w:t>
      </w:r>
      <w:r>
        <w:rPr>
          <w:b/>
          <w:sz w:val="21"/>
        </w:rPr>
        <w:t>Risk:</w:t>
      </w:r>
      <w:r>
        <w:rPr>
          <w:sz w:val="21"/>
        </w:rPr>
        <w:t xml:space="preserve"> Exposure to unhedged foreign exchange fluctuations from EURO 6.15 L export earnings and USD 30.23 L capital-goods import outgo in FY25.</w:t>
      </w:r>
    </w:p>
    <w:p>
      <w:pPr>
        <w:pStyle w:val="ListBullet"/>
        <w:jc w:val="both"/>
      </w:pPr>
      <w:r>
        <w:rPr>
          <w:sz w:val="21"/>
        </w:rPr>
        <w:t xml:space="preserve">  </w:t>
      </w:r>
      <w:r>
        <w:rPr>
          <w:b/>
          <w:sz w:val="21"/>
        </w:rPr>
        <w:t>Severity:</w:t>
      </w:r>
      <w:r>
        <w:rPr>
          <w:sz w:val="21"/>
        </w:rPr>
        <w:t xml:space="preserve"> LOW</w:t>
      </w:r>
    </w:p>
    <w:p>
      <w:pPr>
        <w:pStyle w:val="ListBullet"/>
        <w:jc w:val="both"/>
      </w:pPr>
      <w:r>
        <w:rPr>
          <w:sz w:val="21"/>
        </w:rPr>
        <w:t xml:space="preserve">  </w:t>
      </w:r>
      <w:r>
        <w:rPr>
          <w:b/>
          <w:sz w:val="21"/>
        </w:rPr>
        <w:t>Mitigant:</w:t>
      </w:r>
      <w:r>
        <w:rPr>
          <w:sz w:val="21"/>
        </w:rPr>
        <w:t xml:space="preserve"> The foreign exchange exposure is considered immaterial relative to the company's scale, and operations are predominantly domestic.</w:t>
      </w:r>
    </w:p>
    <w:p/>
    <w:p>
      <w:pPr>
        <w:spacing w:after="80"/>
        <w:jc w:val="both"/>
      </w:pPr>
      <w:r>
        <w:rPr>
          <w:b/>
          <w:sz w:val="21"/>
        </w:rPr>
        <w:t>Operational Risk</w:t>
      </w:r>
    </w:p>
    <w:p/>
    <w:p>
      <w:pPr>
        <w:pStyle w:val="ListBullet"/>
        <w:jc w:val="both"/>
      </w:pPr>
      <w:r>
        <w:rPr>
          <w:sz w:val="21"/>
        </w:rPr>
        <w:t xml:space="preserve">  </w:t>
      </w:r>
      <w:r>
        <w:rPr>
          <w:b/>
          <w:sz w:val="21"/>
        </w:rPr>
        <w:t>Risk:</w:t>
      </w:r>
      <w:r>
        <w:rPr>
          <w:sz w:val="21"/>
        </w:rPr>
        <w:t xml:space="preserve"> FY25 output of 6,450 MT represents only approximately 45% of the 14,400 MT installed capacity, limiting operating leverage.</w:t>
      </w:r>
    </w:p>
    <w:p>
      <w:pPr>
        <w:pStyle w:val="ListBullet"/>
        <w:jc w:val="both"/>
      </w:pPr>
      <w:r>
        <w:rPr>
          <w:sz w:val="21"/>
        </w:rPr>
        <w:t xml:space="preserve">  </w:t>
      </w:r>
      <w:r>
        <w:rPr>
          <w:b/>
          <w:sz w:val="21"/>
        </w:rPr>
        <w:t>Severity:</w:t>
      </w:r>
      <w:r>
        <w:rPr>
          <w:sz w:val="21"/>
        </w:rPr>
        <w:t xml:space="preserve"> MEDIUM</w:t>
      </w:r>
    </w:p>
    <w:p>
      <w:pPr>
        <w:pStyle w:val="ListBullet"/>
        <w:jc w:val="both"/>
      </w:pPr>
      <w:r>
        <w:rPr>
          <w:sz w:val="21"/>
        </w:rPr>
        <w:t xml:space="preserve">  </w:t>
      </w:r>
      <w:r>
        <w:rPr>
          <w:b/>
          <w:sz w:val="21"/>
        </w:rPr>
        <w:t>Mitigant:</w:t>
      </w:r>
      <w:r>
        <w:rPr>
          <w:sz w:val="21"/>
        </w:rPr>
        <w:t xml:space="preserve"> The company is undertaking continuous sand mixer and machine-shop additions to increase output.</w:t>
      </w:r>
    </w:p>
    <w:p>
      <w:pPr>
        <w:pStyle w:val="ListBullet"/>
        <w:jc w:val="both"/>
      </w:pPr>
      <w:r>
        <w:rPr>
          <w:sz w:val="21"/>
        </w:rPr>
        <w:t xml:space="preserve">  </w:t>
      </w:r>
      <w:r>
        <w:rPr>
          <w:b/>
          <w:sz w:val="21"/>
        </w:rPr>
        <w:t>Risk:</w:t>
      </w:r>
      <w:r>
        <w:rPr>
          <w:sz w:val="21"/>
        </w:rPr>
        <w:t xml:space="preserve"> Volatility in input costs, including pig iron, scrap, ferro-alloys, and power, which can compress margins.</w:t>
      </w:r>
    </w:p>
    <w:p>
      <w:pPr>
        <w:pStyle w:val="ListBullet"/>
        <w:jc w:val="both"/>
      </w:pPr>
      <w:r>
        <w:rPr>
          <w:sz w:val="21"/>
        </w:rPr>
        <w:t xml:space="preserve">  </w:t>
      </w:r>
      <w:r>
        <w:rPr>
          <w:b/>
          <w:sz w:val="21"/>
        </w:rPr>
        <w:t>Severity:</w:t>
      </w:r>
      <w:r>
        <w:rPr>
          <w:sz w:val="21"/>
        </w:rPr>
        <w:t xml:space="preserve"> MEDIUM</w:t>
      </w:r>
    </w:p>
    <w:p>
      <w:pPr>
        <w:pStyle w:val="ListBullet"/>
        <w:jc w:val="both"/>
      </w:pPr>
      <w:r>
        <w:rPr>
          <w:sz w:val="21"/>
        </w:rPr>
        <w:t xml:space="preserve">  </w:t>
      </w:r>
      <w:r>
        <w:rPr>
          <w:b/>
          <w:sz w:val="21"/>
        </w:rPr>
        <w:t>Mitigant:</w:t>
      </w:r>
      <w:r>
        <w:rPr>
          <w:sz w:val="21"/>
        </w:rPr>
        <w:t xml:space="preserve"> The company mitigates this through long-term supply contracts, forward purchases, and multi-source sourcing strategies.</w:t>
      </w:r>
    </w:p>
    <w:p>
      <w:pPr>
        <w:pStyle w:val="ListBullet"/>
        <w:jc w:val="both"/>
      </w:pPr>
      <w:r>
        <w:rPr>
          <w:sz w:val="21"/>
        </w:rPr>
        <w:t xml:space="preserve">  </w:t>
      </w:r>
      <w:r>
        <w:rPr>
          <w:b/>
          <w:sz w:val="21"/>
        </w:rPr>
        <w:t>Risk:</w:t>
      </w:r>
      <w:r>
        <w:rPr>
          <w:sz w:val="21"/>
        </w:rPr>
        <w:t xml:space="preserve"> Energy-intensive melting operations are exposed to grid disruption and potential tariff increases.</w:t>
      </w:r>
    </w:p>
    <w:p>
      <w:pPr>
        <w:pStyle w:val="ListBullet"/>
        <w:jc w:val="both"/>
      </w:pPr>
      <w:r>
        <w:rPr>
          <w:sz w:val="21"/>
        </w:rPr>
        <w:t xml:space="preserve">  </w:t>
      </w:r>
      <w:r>
        <w:rPr>
          <w:b/>
          <w:sz w:val="21"/>
        </w:rPr>
        <w:t>Severity:</w:t>
      </w:r>
      <w:r>
        <w:rPr>
          <w:sz w:val="21"/>
        </w:rPr>
        <w:t xml:space="preserve"> LOW</w:t>
      </w:r>
    </w:p>
    <w:p>
      <w:pPr>
        <w:pStyle w:val="ListBullet"/>
        <w:jc w:val="both"/>
      </w:pPr>
      <w:r>
        <w:rPr>
          <w:sz w:val="21"/>
        </w:rPr>
        <w:t xml:space="preserve">  </w:t>
      </w:r>
      <w:r>
        <w:rPr>
          <w:b/>
          <w:sz w:val="21"/>
        </w:rPr>
        <w:t>Mitigant:</w:t>
      </w:r>
      <w:r>
        <w:rPr>
          <w:sz w:val="21"/>
        </w:rPr>
        <w:t xml:space="preserve"> A ~2.99 MW captive solar plant meets 30-35% of the company's energy requirements.</w:t>
      </w:r>
    </w:p>
    <w:p/>
    <w:p>
      <w:pPr>
        <w:spacing w:after="80"/>
        <w:jc w:val="both"/>
      </w:pPr>
      <w:r>
        <w:rPr>
          <w:b/>
          <w:sz w:val="21"/>
        </w:rPr>
        <w:t>Market Risk</w:t>
      </w:r>
    </w:p>
    <w:p/>
    <w:p>
      <w:pPr>
        <w:pStyle w:val="ListBullet"/>
        <w:jc w:val="both"/>
      </w:pPr>
      <w:r>
        <w:rPr>
          <w:sz w:val="21"/>
        </w:rPr>
        <w:t xml:space="preserve">  </w:t>
      </w:r>
      <w:r>
        <w:rPr>
          <w:b/>
          <w:sz w:val="21"/>
        </w:rPr>
        <w:t>Risk:</w:t>
      </w:r>
      <w:r>
        <w:rPr>
          <w:sz w:val="21"/>
        </w:rPr>
        <w:t xml:space="preserve"> Heavy reliance on Indian Railways for revenue, either directly or via OEMs, making the company susceptible to the railway capital expenditure cycle and the need for RDSO 'A'-class certification.</w:t>
      </w:r>
    </w:p>
    <w:p>
      <w:pPr>
        <w:pStyle w:val="ListBullet"/>
        <w:jc w:val="both"/>
      </w:pPr>
      <w:r>
        <w:rPr>
          <w:sz w:val="21"/>
        </w:rPr>
        <w:t xml:space="preserve">  </w:t>
      </w:r>
      <w:r>
        <w:rPr>
          <w:b/>
          <w:sz w:val="21"/>
        </w:rPr>
        <w:t>Severity:</w:t>
      </w:r>
      <w:r>
        <w:rPr>
          <w:sz w:val="21"/>
        </w:rPr>
        <w:t xml:space="preserve"> HIGH</w:t>
      </w:r>
    </w:p>
    <w:p>
      <w:pPr>
        <w:pStyle w:val="ListBullet"/>
        <w:jc w:val="both"/>
      </w:pPr>
      <w:r>
        <w:rPr>
          <w:sz w:val="21"/>
        </w:rPr>
        <w:t xml:space="preserve">  </w:t>
      </w:r>
      <w:r>
        <w:rPr>
          <w:b/>
          <w:sz w:val="21"/>
        </w:rPr>
        <w:t>Mitigant:</w:t>
      </w:r>
      <w:r>
        <w:rPr>
          <w:sz w:val="21"/>
        </w:rPr>
        <w:t xml:space="preserve"> The company is actively diversifying into steel, cement, power, and mining sectors to broaden its revenue base.</w:t>
      </w:r>
    </w:p>
    <w:p>
      <w:pPr>
        <w:pStyle w:val="ListBullet"/>
        <w:jc w:val="both"/>
      </w:pPr>
      <w:r>
        <w:rPr>
          <w:sz w:val="21"/>
        </w:rPr>
        <w:t xml:space="preserve">  </w:t>
      </w:r>
      <w:r>
        <w:rPr>
          <w:b/>
          <w:sz w:val="21"/>
        </w:rPr>
        <w:t>Risk:</w:t>
      </w:r>
      <w:r>
        <w:rPr>
          <w:sz w:val="21"/>
        </w:rPr>
        <w:t xml:space="preserve"> Steel-casting demand is cyclical, faces competition from Small and Medium Enterprises (SMEs), and is subject to substitution by lightweight materials.</w:t>
      </w:r>
    </w:p>
    <w:p>
      <w:pPr>
        <w:pStyle w:val="ListBullet"/>
        <w:jc w:val="both"/>
      </w:pPr>
      <w:r>
        <w:rPr>
          <w:sz w:val="21"/>
        </w:rPr>
        <w:t xml:space="preserve">  </w:t>
      </w:r>
      <w:r>
        <w:rPr>
          <w:b/>
          <w:sz w:val="21"/>
        </w:rPr>
        <w:t>Severity:</w:t>
      </w:r>
      <w:r>
        <w:rPr>
          <w:sz w:val="21"/>
        </w:rPr>
        <w:t xml:space="preserve"> MEDIUM</w:t>
      </w:r>
    </w:p>
    <w:p>
      <w:pPr>
        <w:pStyle w:val="ListBullet"/>
        <w:jc w:val="both"/>
      </w:pPr>
      <w:r>
        <w:rPr>
          <w:sz w:val="21"/>
        </w:rPr>
        <w:t xml:space="preserve">  </w:t>
      </w:r>
      <w:r>
        <w:rPr>
          <w:b/>
          <w:sz w:val="21"/>
        </w:rPr>
        <w:t>Mitigant:</w:t>
      </w:r>
      <w:r>
        <w:rPr>
          <w:sz w:val="21"/>
        </w:rPr>
        <w:t xml:space="preserve"> The company offers a diversified product portfolio of over 1,000 items across various sectors.</w:t>
      </w:r>
    </w:p>
    <w:p/>
    <w:p>
      <w:pPr>
        <w:spacing w:after="80"/>
        <w:jc w:val="both"/>
      </w:pPr>
      <w:r>
        <w:rPr>
          <w:b/>
          <w:sz w:val="21"/>
        </w:rPr>
        <w:t>Management Risk</w:t>
      </w:r>
    </w:p>
    <w:p/>
    <w:p>
      <w:pPr>
        <w:pStyle w:val="ListBullet"/>
        <w:jc w:val="both"/>
      </w:pPr>
      <w:r>
        <w:rPr>
          <w:sz w:val="21"/>
        </w:rPr>
        <w:t xml:space="preserve">  </w:t>
      </w:r>
      <w:r>
        <w:rPr>
          <w:b/>
          <w:sz w:val="21"/>
        </w:rPr>
        <w:t>Risk:</w:t>
      </w:r>
      <w:r>
        <w:rPr>
          <w:sz w:val="21"/>
        </w:rPr>
        <w:t xml:space="preserve"> Strategy and operations are highly centred on the promoter family (MD Atish Agrawal, WTD Satish Kumar Shah).</w:t>
      </w:r>
    </w:p>
    <w:p>
      <w:pPr>
        <w:pStyle w:val="ListBullet"/>
        <w:jc w:val="both"/>
      </w:pPr>
      <w:r>
        <w:rPr>
          <w:sz w:val="21"/>
        </w:rPr>
        <w:t xml:space="preserve">  </w:t>
      </w:r>
      <w:r>
        <w:rPr>
          <w:b/>
          <w:sz w:val="21"/>
        </w:rPr>
        <w:t>Severity:</w:t>
      </w:r>
      <w:r>
        <w:rPr>
          <w:sz w:val="21"/>
        </w:rPr>
        <w:t xml:space="preserve"> LOW</w:t>
      </w:r>
    </w:p>
    <w:p>
      <w:pPr>
        <w:pStyle w:val="ListBullet"/>
        <w:jc w:val="both"/>
      </w:pPr>
      <w:r>
        <w:rPr>
          <w:sz w:val="21"/>
        </w:rPr>
        <w:t xml:space="preserve">  </w:t>
      </w:r>
      <w:r>
        <w:rPr>
          <w:b/>
          <w:sz w:val="21"/>
        </w:rPr>
        <w:t>Mitigant:</w:t>
      </w:r>
      <w:r>
        <w:rPr>
          <w:sz w:val="21"/>
        </w:rPr>
        <w:t xml:space="preserve"> The company has an experienced board, including independent directors and established committees.</w:t>
      </w:r>
    </w:p>
    <w:p>
      <w:pPr>
        <w:pStyle w:val="ListBullet"/>
        <w:jc w:val="both"/>
      </w:pPr>
      <w:r>
        <w:rPr>
          <w:sz w:val="21"/>
        </w:rPr>
        <w:t xml:space="preserve">  </w:t>
      </w:r>
      <w:r>
        <w:rPr>
          <w:b/>
          <w:sz w:val="21"/>
        </w:rPr>
        <w:t>Risk:</w:t>
      </w:r>
      <w:r>
        <w:rPr>
          <w:sz w:val="21"/>
        </w:rPr>
        <w:t xml:space="preserve"> As a newly listed SME (December 2024), its governance framework is still maturing, with several SEBI (Listing Obligations and Disclosure Requirements) LODR provisions not yet applicable.</w:t>
      </w:r>
    </w:p>
    <w:p>
      <w:pPr>
        <w:pStyle w:val="ListBullet"/>
        <w:jc w:val="both"/>
      </w:pPr>
      <w:r>
        <w:rPr>
          <w:sz w:val="21"/>
        </w:rPr>
        <w:t xml:space="preserve">  </w:t>
      </w:r>
      <w:r>
        <w:rPr>
          <w:b/>
          <w:sz w:val="21"/>
        </w:rPr>
        <w:t>Severity:</w:t>
      </w:r>
      <w:r>
        <w:rPr>
          <w:sz w:val="21"/>
        </w:rPr>
        <w:t xml:space="preserve"> LOW</w:t>
      </w:r>
    </w:p>
    <w:p>
      <w:pPr>
        <w:pStyle w:val="ListBullet"/>
        <w:jc w:val="both"/>
      </w:pPr>
      <w:r>
        <w:rPr>
          <w:sz w:val="21"/>
        </w:rPr>
        <w:t xml:space="preserve">  </w:t>
      </w:r>
      <w:r>
        <w:rPr>
          <w:b/>
          <w:sz w:val="21"/>
        </w:rPr>
        <w:t>Mitigant:</w:t>
      </w:r>
      <w:r>
        <w:rPr>
          <w:sz w:val="21"/>
        </w:rPr>
        <w:t xml:space="preserve"> The company has voluntarily adopted various committees, a vigil mechanism, and an insider-trading code.</w:t>
      </w:r>
    </w:p>
    <w:p/>
    <w:p>
      <w:pPr>
        <w:spacing w:after="80"/>
        <w:jc w:val="both"/>
      </w:pPr>
      <w:r>
        <w:rPr>
          <w:b/>
          <w:sz w:val="21"/>
        </w:rPr>
        <w:t>Compliance Risk</w:t>
      </w:r>
    </w:p>
    <w:p/>
    <w:p>
      <w:pPr>
        <w:pStyle w:val="ListBullet"/>
        <w:jc w:val="both"/>
      </w:pPr>
      <w:r>
        <w:rPr>
          <w:sz w:val="21"/>
        </w:rPr>
        <w:t xml:space="preserve">  </w:t>
      </w:r>
      <w:r>
        <w:rPr>
          <w:b/>
          <w:sz w:val="21"/>
        </w:rPr>
        <w:t>Risk:</w:t>
      </w:r>
      <w:r>
        <w:rPr>
          <w:sz w:val="21"/>
        </w:rPr>
        <w:t xml:space="preserve"> Auditors reported that the accounting software's audit-trail (edit-log) feature was not operated throughout the year for all transactions.</w:t>
      </w:r>
    </w:p>
    <w:p>
      <w:pPr>
        <w:pStyle w:val="ListBullet"/>
        <w:jc w:val="both"/>
      </w:pPr>
      <w:r>
        <w:rPr>
          <w:sz w:val="21"/>
        </w:rPr>
        <w:t xml:space="preserve">  </w:t>
      </w:r>
      <w:r>
        <w:rPr>
          <w:b/>
          <w:sz w:val="21"/>
        </w:rPr>
        <w:t>Severity:</w:t>
      </w:r>
      <w:r>
        <w:rPr>
          <w:sz w:val="21"/>
        </w:rPr>
        <w:t xml:space="preserve"> LOW</w:t>
      </w:r>
    </w:p>
    <w:p>
      <w:pPr>
        <w:pStyle w:val="ListBullet"/>
        <w:jc w:val="both"/>
      </w:pPr>
      <w:r>
        <w:rPr>
          <w:sz w:val="21"/>
        </w:rPr>
        <w:t xml:space="preserve">  </w:t>
      </w:r>
      <w:r>
        <w:rPr>
          <w:b/>
          <w:sz w:val="21"/>
        </w:rPr>
        <w:t>Mitigant:</w:t>
      </w:r>
      <w:r>
        <w:rPr>
          <w:sz w:val="21"/>
        </w:rPr>
        <w:t xml:space="preserve"> The company has implemented maker-checker controls and engages an independent CA firm for internal audits.</w:t>
      </w:r>
    </w:p>
    <w:p>
      <w:pPr>
        <w:pStyle w:val="ListBullet"/>
        <w:jc w:val="both"/>
      </w:pPr>
      <w:r>
        <w:rPr>
          <w:sz w:val="21"/>
        </w:rPr>
        <w:t xml:space="preserve">  </w:t>
      </w:r>
      <w:r>
        <w:rPr>
          <w:b/>
          <w:sz w:val="21"/>
        </w:rPr>
        <w:t>Risk:</w:t>
      </w:r>
      <w:r>
        <w:rPr>
          <w:sz w:val="21"/>
        </w:rPr>
        <w:t xml:space="preserve"> Unspent Corporate Social Responsibility (CSR) of INR 4.67 L was transferred to PMNRF only on 20-Aug-2025, flagged as a CARO exception (clause xx(A)).</w:t>
      </w:r>
    </w:p>
    <w:p>
      <w:pPr>
        <w:pStyle w:val="ListBullet"/>
        <w:jc w:val="both"/>
      </w:pPr>
      <w:r>
        <w:rPr>
          <w:sz w:val="21"/>
        </w:rPr>
        <w:t xml:space="preserve">  </w:t>
      </w:r>
      <w:r>
        <w:rPr>
          <w:b/>
          <w:sz w:val="21"/>
        </w:rPr>
        <w:t>Severity:</w:t>
      </w:r>
      <w:r>
        <w:rPr>
          <w:sz w:val="21"/>
        </w:rPr>
        <w:t xml:space="preserve"> LOW</w:t>
      </w:r>
    </w:p>
    <w:p>
      <w:pPr>
        <w:pStyle w:val="ListBullet"/>
        <w:jc w:val="both"/>
      </w:pPr>
      <w:r>
        <w:rPr>
          <w:sz w:val="21"/>
        </w:rPr>
        <w:t xml:space="preserve">  </w:t>
      </w:r>
      <w:r>
        <w:rPr>
          <w:b/>
          <w:sz w:val="21"/>
        </w:rPr>
        <w:t>Mitigant:</w:t>
      </w:r>
      <w:r>
        <w:rPr>
          <w:sz w:val="21"/>
        </w:rPr>
        <w:t xml:space="preserve"> The amount has since been transferred, and there is nil unspent CSR as on the report date.</w:t>
      </w:r>
    </w:p>
    <w:p>
      <w:pPr>
        <w:pStyle w:val="ListBullet"/>
        <w:jc w:val="both"/>
      </w:pPr>
      <w:r>
        <w:rPr>
          <w:sz w:val="21"/>
        </w:rPr>
        <w:t xml:space="preserve">  </w:t>
      </w:r>
      <w:r>
        <w:rPr>
          <w:b/>
          <w:sz w:val="21"/>
        </w:rPr>
        <w:t>Risk:</w:t>
      </w:r>
      <w:r>
        <w:rPr>
          <w:sz w:val="21"/>
        </w:rPr>
        <w:t xml:space="preserve"> Operations are subject to various environmental regulations (Air/Water/Environment Protection Acts) and Mines &amp; Minerals laws, with potential penalties for pollution norm breaches.</w:t>
      </w:r>
    </w:p>
    <w:p>
      <w:pPr>
        <w:pStyle w:val="ListBullet"/>
        <w:jc w:val="both"/>
      </w:pPr>
      <w:r>
        <w:rPr>
          <w:sz w:val="21"/>
        </w:rPr>
        <w:t xml:space="preserve">  </w:t>
      </w:r>
      <w:r>
        <w:rPr>
          <w:b/>
          <w:sz w:val="21"/>
        </w:rPr>
        <w:t>Severity:</w:t>
      </w:r>
      <w:r>
        <w:rPr>
          <w:sz w:val="21"/>
        </w:rPr>
        <w:t xml:space="preserve"> LOW</w:t>
      </w:r>
    </w:p>
    <w:p>
      <w:pPr>
        <w:pStyle w:val="ListBullet"/>
        <w:jc w:val="both"/>
      </w:pPr>
      <w:r>
        <w:rPr>
          <w:sz w:val="21"/>
        </w:rPr>
        <w:t xml:space="preserve">  </w:t>
      </w:r>
      <w:r>
        <w:rPr>
          <w:b/>
          <w:sz w:val="21"/>
        </w:rPr>
        <w:t>Mitigant:</w:t>
      </w:r>
      <w:r>
        <w:rPr>
          <w:sz w:val="21"/>
        </w:rPr>
        <w:t xml:space="preserve"> The company holds ISO 14001 &amp; ISO 45001 certifications and employs Zero Liquid Discharge (ZLD) systems, scrubbers, and bag filters.</w:t>
      </w:r>
    </w:p>
    <w:p/>
    <w:p>
      <w:pPr>
        <w:spacing w:after="80"/>
        <w:jc w:val="both"/>
      </w:pPr>
      <w:r>
        <w:rPr>
          <w:b/>
          <w:sz w:val="21"/>
        </w:rPr>
        <w:t>External Risk</w:t>
      </w:r>
    </w:p>
    <w:p/>
    <w:p>
      <w:pPr>
        <w:pStyle w:val="ListBullet"/>
        <w:jc w:val="both"/>
      </w:pPr>
      <w:r>
        <w:rPr>
          <w:sz w:val="21"/>
        </w:rPr>
        <w:t xml:space="preserve">  No specific external risks beyond those covered under Market and Operational risks have been identified as material.</w:t>
      </w:r>
    </w:p>
    <w:p/>
    <w:p>
      <w:r>
        <w:rPr>
          <w:b/>
          <w:color w:val="003366"/>
          <w:sz w:val="22"/>
        </w:rPr>
        <w:t>2. SAVE Risk Rating</w:t>
      </w:r>
    </w:p>
    <w:p/>
    <w:p>
      <w:pPr>
        <w:spacing w:after="80"/>
        <w:jc w:val="both"/>
      </w:pPr>
      <w:r>
        <w:rPr>
          <w:sz w:val="21"/>
        </w:rPr>
        <w:t xml:space="preserve">The overall SAVE Risk Rating for Abha Power and Steel Limited is </w:t>
      </w:r>
      <w:r>
        <w:rPr>
          <w:b/>
          <w:sz w:val="21"/>
        </w:rPr>
        <w:t>MODERATE RISK</w:t>
      </w:r>
      <w:r>
        <w:rPr>
          <w:sz w:val="21"/>
        </w:rPr>
        <w:t xml:space="preserve">, with a composite score of </w:t>
      </w:r>
      <w:r>
        <w:rPr>
          <w:b/>
          <w:sz w:val="21"/>
        </w:rPr>
        <w:t>6.20</w:t>
      </w:r>
      <w:r>
        <w:rPr>
          <w:sz w:val="21"/>
        </w:rPr>
        <w:t>. There is no previous rating or rating movement recorded.</w:t>
      </w:r>
    </w:p>
    <w:p/>
    <w:p>
      <w:pPr>
        <w:spacing w:after="80"/>
        <w:jc w:val="both"/>
      </w:pPr>
      <w:r>
        <w:rPr>
          <w:sz w:val="21"/>
        </w:rPr>
        <w:t>This rating implies that the borrower exhibits an acceptable level of creditworthiness, with identified risks generally considered manageable through existing mitigants and operational strengths. While certain areas, particularly cash flow adequacy and market concentration, present higher risk, the overall financial strength, profitability, and asset quality contribute positively to the rating.</w:t>
      </w:r>
    </w:p>
    <w:p/>
    <w:p>
      <w:pPr>
        <w:spacing w:after="80"/>
        <w:jc w:val="both"/>
      </w:pPr>
      <w:r>
        <w:rPr>
          <w:b/>
          <w:sz w:val="21"/>
        </w:rPr>
        <w:t>Sub-Scores by Risk Dimension:</w:t>
      </w:r>
    </w:p>
    <w:p/>
    <w:p>
      <w:pPr>
        <w:pStyle w:val="ListBullet"/>
        <w:jc w:val="both"/>
      </w:pPr>
      <w:r>
        <w:rPr>
          <w:sz w:val="21"/>
        </w:rPr>
        <w:t xml:space="preserve">  </w:t>
      </w:r>
      <w:r>
        <w:rPr>
          <w:b/>
          <w:sz w:val="21"/>
        </w:rPr>
        <w:t>Financial Strength:</w:t>
      </w:r>
      <w:r>
        <w:rPr>
          <w:sz w:val="21"/>
        </w:rPr>
        <w:t xml:space="preserve"> Raw Score 7 (Weighted Score 1.75) - Supported by Net worth of INR 5,084 L, D/E of 0.42, and liquidity of INR 1,542 L, despite its small scale.</w:t>
      </w:r>
    </w:p>
    <w:p>
      <w:pPr>
        <w:pStyle w:val="ListBullet"/>
        <w:jc w:val="both"/>
      </w:pPr>
      <w:r>
        <w:rPr>
          <w:sz w:val="21"/>
        </w:rPr>
        <w:t xml:space="preserve">  </w:t>
      </w:r>
      <w:r>
        <w:rPr>
          <w:b/>
          <w:sz w:val="21"/>
        </w:rPr>
        <w:t>Profitability &amp; Growth:</w:t>
      </w:r>
      <w:r>
        <w:rPr>
          <w:sz w:val="21"/>
        </w:rPr>
        <w:t xml:space="preserve"> Raw Score 7 (Weighted Score 1.40) - Demonstrated by revenue growth of +35.6%, PAT growth of +64.7%, and an improved PAT margin of 8.87%.</w:t>
      </w:r>
    </w:p>
    <w:p>
      <w:pPr>
        <w:pStyle w:val="ListBullet"/>
        <w:jc w:val="both"/>
      </w:pPr>
      <w:r>
        <w:rPr>
          <w:sz w:val="21"/>
        </w:rPr>
        <w:t xml:space="preserve">  </w:t>
      </w:r>
      <w:r>
        <w:rPr>
          <w:b/>
          <w:sz w:val="21"/>
        </w:rPr>
        <w:t>Cash Flow Adequacy:</w:t>
      </w:r>
      <w:r>
        <w:rPr>
          <w:sz w:val="21"/>
        </w:rPr>
        <w:t xml:space="preserve"> Raw Score 4 (Weighted Score 0.60) - Impacted by a DSCR of 0.66x and negative Free Cash Flow (FCF) in FY25 due to expansion capital expenditure.</w:t>
      </w:r>
    </w:p>
    <w:p>
      <w:pPr>
        <w:pStyle w:val="ListBullet"/>
        <w:jc w:val="both"/>
      </w:pPr>
      <w:r>
        <w:rPr>
          <w:sz w:val="21"/>
        </w:rPr>
        <w:t xml:space="preserve">  </w:t>
      </w:r>
      <w:r>
        <w:rPr>
          <w:b/>
          <w:sz w:val="21"/>
        </w:rPr>
        <w:t>Asset Quality:</w:t>
      </w:r>
      <w:r>
        <w:rPr>
          <w:sz w:val="21"/>
        </w:rPr>
        <w:t xml:space="preserve"> Raw Score 7 (Weighted Score 0.70) - Characterised by title deeds in the company's name, absence of benami properties, low receivable disputes, and clean Property, Plant &amp; Equipment (PPE).</w:t>
      </w:r>
    </w:p>
    <w:p>
      <w:pPr>
        <w:pStyle w:val="ListBullet"/>
        <w:jc w:val="both"/>
      </w:pPr>
      <w:r>
        <w:rPr>
          <w:sz w:val="21"/>
        </w:rPr>
        <w:t xml:space="preserve">  </w:t>
      </w:r>
      <w:r>
        <w:rPr>
          <w:b/>
          <w:sz w:val="21"/>
        </w:rPr>
        <w:t>Industry / Market Risk:</w:t>
      </w:r>
      <w:r>
        <w:rPr>
          <w:sz w:val="21"/>
        </w:rPr>
        <w:t xml:space="preserve"> Raw Score 5 (Weighted Score 0.50) - Reflects the cyclical nature of steel casting, concentration in the railway sector, and approximately 45% capacity utilisation.</w:t>
      </w:r>
    </w:p>
    <w:p>
      <w:pPr>
        <w:pStyle w:val="ListBullet"/>
        <w:jc w:val="both"/>
      </w:pPr>
      <w:r>
        <w:rPr>
          <w:sz w:val="21"/>
        </w:rPr>
        <w:t xml:space="preserve">  </w:t>
      </w:r>
      <w:r>
        <w:rPr>
          <w:b/>
          <w:sz w:val="21"/>
        </w:rPr>
        <w:t>Management Quality:</w:t>
      </w:r>
      <w:r>
        <w:rPr>
          <w:sz w:val="21"/>
        </w:rPr>
        <w:t xml:space="preserve"> Raw Score 6 (Weighted Score 0.60) - Acknowledges experienced promoters and recent listing, though an audit-trail control gap was noted.</w:t>
      </w:r>
    </w:p>
    <w:p>
      <w:pPr>
        <w:pStyle w:val="ListBullet"/>
        <w:jc w:val="both"/>
      </w:pPr>
      <w:r>
        <w:rPr>
          <w:sz w:val="21"/>
        </w:rPr>
        <w:t xml:space="preserve">  </w:t>
      </w:r>
      <w:r>
        <w:rPr>
          <w:b/>
          <w:sz w:val="21"/>
        </w:rPr>
        <w:t>Compliance &amp; Legal:</w:t>
      </w:r>
      <w:r>
        <w:rPr>
          <w:sz w:val="21"/>
        </w:rPr>
        <w:t xml:space="preserve"> Raw Score 6 (Weighted Score 0.30) - Based on an unqualified audit opinion, with a CARO exception for CSR transfer and a minor tax demand.</w:t>
      </w:r>
    </w:p>
    <w:p>
      <w:pPr>
        <w:pStyle w:val="ListBullet"/>
        <w:jc w:val="both"/>
      </w:pPr>
      <w:r>
        <w:rPr>
          <w:sz w:val="21"/>
        </w:rPr>
        <w:t xml:space="preserve">  </w:t>
      </w:r>
      <w:r>
        <w:rPr>
          <w:b/>
          <w:sz w:val="21"/>
        </w:rPr>
        <w:t>ESG / Sustainability:</w:t>
      </w:r>
      <w:r>
        <w:rPr>
          <w:sz w:val="21"/>
        </w:rPr>
        <w:t xml:space="preserve"> Raw Score 7 (Weighted Score 0.35) - Positively influenced by a captive solar plant, ISO 14001/45001 certifications, Zero Liquid Discharge (ZLD), and afforestation initiatives.</w:t>
      </w:r>
    </w:p>
    <w:p/>
    <w:p>
      <w:r>
        <w:rPr>
          <w:b/>
          <w:color w:val="003366"/>
          <w:sz w:val="22"/>
        </w:rPr>
        <w:t>3. Security &amp; Collateral</w:t>
      </w:r>
    </w:p>
    <w:p/>
    <w:p>
      <w:pPr>
        <w:spacing w:after="80"/>
        <w:jc w:val="both"/>
      </w:pPr>
      <w:r>
        <w:rPr>
          <w:sz w:val="21"/>
        </w:rPr>
        <w:t>The following security and collateral arrangements are in place or to be created for Abha Power and Steel Limited's facilities:</w:t>
      </w:r>
    </w:p>
    <w:p/>
    <w:p>
      <w:pPr>
        <w:spacing w:after="80"/>
        <w:jc w:val="both"/>
      </w:pPr>
      <w:r>
        <w:rPr>
          <w:b/>
          <w:sz w:val="21"/>
        </w:rPr>
        <w:t>Primary Security:</w:t>
      </w:r>
    </w:p>
    <w:p/>
    <w:p>
      <w:pPr>
        <w:pStyle w:val="ListBullet"/>
        <w:jc w:val="both"/>
      </w:pPr>
      <w:r>
        <w:rPr>
          <w:sz w:val="21"/>
        </w:rPr>
        <w:t xml:space="preserve">  </w:t>
      </w:r>
      <w:r>
        <w:rPr>
          <w:b/>
          <w:sz w:val="21"/>
        </w:rPr>
        <w:t>First Charge (Mortgage / Hypothecation):</w:t>
      </w:r>
      <w:r>
        <w:rPr>
          <w:sz w:val="21"/>
        </w:rPr>
        <w:t xml:space="preserve"> Immovable and movable assets, including land, building, plant, machinery, equipment, tools, spares, accessories, and all other assets acquired or proposed to be acquired under the project/scheme. This serves as primary security for SIDBI Term Loans.</w:t>
      </w:r>
    </w:p>
    <w:p>
      <w:pPr>
        <w:pStyle w:val="ListBullet"/>
        <w:jc w:val="both"/>
      </w:pPr>
      <w:r>
        <w:rPr>
          <w:sz w:val="21"/>
        </w:rPr>
        <w:t xml:space="preserve">  </w:t>
      </w:r>
      <w:r>
        <w:rPr>
          <w:b/>
          <w:sz w:val="21"/>
        </w:rPr>
        <w:t>Exclusive Charge (Hypothecation):</w:t>
      </w:r>
      <w:r>
        <w:rPr>
          <w:sz w:val="21"/>
        </w:rPr>
        <w:t xml:space="preserve"> The company’s entire stocks of raw materials, semi-finished and finished goods, consumable stores and spares, and such other movables including book-debts, bills (documentary or clean), outstanding monies, and receivables, both present and future. This is in favour of ICICI Bank for Cash Credit.</w:t>
      </w:r>
    </w:p>
    <w:p>
      <w:pPr>
        <w:pStyle w:val="ListBullet"/>
        <w:jc w:val="both"/>
      </w:pPr>
      <w:r>
        <w:rPr>
          <w:sz w:val="21"/>
        </w:rPr>
        <w:t xml:space="preserve">  </w:t>
      </w:r>
      <w:r>
        <w:rPr>
          <w:b/>
          <w:sz w:val="21"/>
        </w:rPr>
        <w:t>Hypothecation:</w:t>
      </w:r>
      <w:r>
        <w:rPr>
          <w:sz w:val="21"/>
        </w:rPr>
        <w:t xml:space="preserve"> The entire stocks of raw materials, semi-finished and finished goods, consumable stores and spares, and such other movables including book-debts, bills (documentary or clean), outstanding monies, and receivables, both present and future. This is an exclusive charge in favour of the Bank.</w:t>
      </w:r>
    </w:p>
    <w:p>
      <w:pPr>
        <w:pStyle w:val="ListBullet"/>
        <w:jc w:val="both"/>
      </w:pPr>
      <w:r>
        <w:rPr>
          <w:sz w:val="21"/>
        </w:rPr>
        <w:t xml:space="preserve">  </w:t>
      </w:r>
      <w:r>
        <w:rPr>
          <w:b/>
          <w:sz w:val="21"/>
        </w:rPr>
        <w:t>Hypothecation:</w:t>
      </w:r>
      <w:r>
        <w:rPr>
          <w:sz w:val="21"/>
        </w:rPr>
        <w:t xml:space="preserve"> All movable assets, including plant &amp; machinery, machinery parts, tools &amp; accessories, office equipment, furniture &amp; fixtures, acquired or to be acquired under the project. This constitutes a first charge for Term Loan and a residual charge for Soft Loan.</w:t>
      </w:r>
    </w:p>
    <w:p/>
    <w:p>
      <w:pPr>
        <w:spacing w:after="80"/>
        <w:jc w:val="both"/>
      </w:pPr>
      <w:r>
        <w:rPr>
          <w:b/>
          <w:sz w:val="21"/>
        </w:rPr>
        <w:t>Collateral Security:</w:t>
      </w:r>
    </w:p>
    <w:p/>
    <w:p>
      <w:pPr>
        <w:pStyle w:val="ListBullet"/>
        <w:jc w:val="both"/>
      </w:pPr>
      <w:r>
        <w:rPr>
          <w:sz w:val="21"/>
        </w:rPr>
        <w:t xml:space="preserve">  </w:t>
      </w:r>
      <w:r>
        <w:rPr>
          <w:b/>
          <w:sz w:val="21"/>
        </w:rPr>
        <w:t>Second Charge:</w:t>
      </w:r>
      <w:r>
        <w:rPr>
          <w:sz w:val="21"/>
        </w:rPr>
        <w:t xml:space="preserve"> Assets financed under the ECLGS scheme. This charge is to be created prior to disbursement.</w:t>
      </w:r>
    </w:p>
    <w:p>
      <w:pPr>
        <w:pStyle w:val="ListBullet"/>
        <w:jc w:val="both"/>
      </w:pPr>
      <w:r>
        <w:rPr>
          <w:sz w:val="21"/>
        </w:rPr>
        <w:t xml:space="preserve">  </w:t>
      </w:r>
      <w:r>
        <w:rPr>
          <w:b/>
          <w:sz w:val="21"/>
        </w:rPr>
        <w:t>Second Charge:</w:t>
      </w:r>
      <w:r>
        <w:rPr>
          <w:sz w:val="21"/>
        </w:rPr>
        <w:t xml:space="preserve"> Existing account. This charge is to be created.</w:t>
      </w:r>
    </w:p>
    <w:p>
      <w:pPr>
        <w:pStyle w:val="ListBullet"/>
        <w:jc w:val="both"/>
      </w:pPr>
      <w:r>
        <w:rPr>
          <w:sz w:val="21"/>
        </w:rPr>
        <w:t xml:space="preserve">  </w:t>
      </w:r>
      <w:r>
        <w:rPr>
          <w:b/>
          <w:sz w:val="21"/>
        </w:rPr>
        <w:t>Second Charge (Mortgage):</w:t>
      </w:r>
      <w:r>
        <w:rPr>
          <w:sz w:val="21"/>
        </w:rPr>
        <w:t xml:space="preserve"> Property as described in the table mentioned in the guarantor property details tab.</w:t>
      </w:r>
    </w:p>
    <w:p>
      <w:pPr>
        <w:pStyle w:val="ListBullet"/>
        <w:jc w:val="both"/>
      </w:pPr>
      <w:r>
        <w:rPr>
          <w:sz w:val="21"/>
        </w:rPr>
        <w:t xml:space="preserve">  </w:t>
      </w:r>
      <w:r>
        <w:rPr>
          <w:b/>
          <w:sz w:val="21"/>
        </w:rPr>
        <w:t>Value:</w:t>
      </w:r>
      <w:r>
        <w:rPr>
          <w:sz w:val="21"/>
        </w:rPr>
        <w:t xml:space="preserve"> INR 970.00 L</w:t>
      </w:r>
    </w:p>
    <w:p>
      <w:pPr>
        <w:pStyle w:val="ListBullet"/>
        <w:jc w:val="both"/>
      </w:pPr>
      <w:r>
        <w:rPr>
          <w:sz w:val="21"/>
        </w:rPr>
        <w:t xml:space="preserve">  </w:t>
      </w:r>
      <w:r>
        <w:rPr>
          <w:b/>
          <w:sz w:val="21"/>
        </w:rPr>
        <w:t>Second Ranking Charge:</w:t>
      </w:r>
      <w:r>
        <w:rPr>
          <w:sz w:val="21"/>
        </w:rPr>
        <w:t xml:space="preserve"> All existing securities created in favour of ICICI Bank for the existing facilities, with charge also to be created on the assets financed under the Facility, as per ECLGS.</w:t>
      </w:r>
    </w:p>
    <w:p>
      <w:pPr>
        <w:pStyle w:val="ListBullet"/>
        <w:jc w:val="both"/>
      </w:pPr>
      <w:r>
        <w:rPr>
          <w:sz w:val="21"/>
        </w:rPr>
        <w:t xml:space="preserve">  </w:t>
      </w:r>
      <w:r>
        <w:rPr>
          <w:b/>
          <w:sz w:val="21"/>
        </w:rPr>
        <w:t>First Charge (Hypothecation):</w:t>
      </w:r>
      <w:r>
        <w:rPr>
          <w:sz w:val="21"/>
        </w:rPr>
        <w:t xml:space="preserve"> All the Borrower's movables (excluding stock &amp; book debts), including plant, machinery, machinery spares, tools &amp; accessories, office equipment, computers, furniture, and fixtures, both present and future, created out of earlier assistance/loans. This serves as collateral security for SIDBI Term Loans.</w:t>
      </w:r>
    </w:p>
    <w:p>
      <w:pPr>
        <w:pStyle w:val="ListBullet"/>
        <w:jc w:val="both"/>
      </w:pPr>
      <w:r>
        <w:rPr>
          <w:sz w:val="21"/>
        </w:rPr>
        <w:t xml:space="preserve">  </w:t>
      </w:r>
      <w:r>
        <w:rPr>
          <w:b/>
          <w:sz w:val="21"/>
        </w:rPr>
        <w:t>First Charge (Mortgage of Leasehold Rights):</w:t>
      </w:r>
      <w:r>
        <w:rPr>
          <w:sz w:val="21"/>
        </w:rPr>
        <w:t xml:space="preserve"> All immovable properties, both present and future, situated at Hardikala Village, Bilha Tahsil, Bilaspur District, bearing part of Khasra No. 657/2, area admeasuring 3,19,200 sq.ft. along with structures thereon. Leasehold owner is Abha Power &amp; Steel Pvt Ltd. This serves as collateral security for SIDBI Term Loans.</w:t>
      </w:r>
    </w:p>
    <w:p>
      <w:pPr>
        <w:pStyle w:val="ListBullet"/>
        <w:jc w:val="both"/>
      </w:pPr>
      <w:r>
        <w:rPr>
          <w:sz w:val="21"/>
        </w:rPr>
        <w:t xml:space="preserve">  </w:t>
      </w:r>
      <w:r>
        <w:rPr>
          <w:b/>
          <w:sz w:val="21"/>
        </w:rPr>
        <w:t>First Charge (Mortgage of freehold rights):</w:t>
      </w:r>
      <w:r>
        <w:rPr>
          <w:sz w:val="21"/>
        </w:rPr>
        <w:t xml:space="preserve"> All immovable properties, both present and future, situated at Kh. No. 446/1 admeasuring 0.417 Hect. and Kh. No. 447/1 admeasuring 0.230 Hect., Mouza Bakarkuda, Ph. No. 33, RIC-Masturi, Tehsil Masturi, Distt. Bilaspur (C. G.). This serves as collateral security for SIDBI Term Loans.</w:t>
      </w:r>
    </w:p>
    <w:p>
      <w:pPr>
        <w:pStyle w:val="ListBullet"/>
        <w:jc w:val="both"/>
      </w:pPr>
      <w:r>
        <w:rPr>
          <w:sz w:val="21"/>
        </w:rPr>
        <w:t xml:space="preserve">  </w:t>
      </w:r>
      <w:r>
        <w:rPr>
          <w:b/>
          <w:sz w:val="21"/>
        </w:rPr>
        <w:t>First Charge (Mortgage of freehold rights):</w:t>
      </w:r>
      <w:r>
        <w:rPr>
          <w:sz w:val="21"/>
        </w:rPr>
        <w:t xml:space="preserve"> All immovable properties, both present and future, situated at Khasra No.446/2, 447/2, 448/2, 449/6, 433/3 Mauja Bakarkuda, P.H.No.33, Ra.Ni.Ma. Masturi, Vikas Khand, Evam Tehsil Masturi, Bilaspur (C.G.). This serves as collateral security for SIDBI Term Loans.</w:t>
      </w:r>
    </w:p>
    <w:p>
      <w:pPr>
        <w:pStyle w:val="ListBullet"/>
        <w:jc w:val="both"/>
      </w:pPr>
      <w:r>
        <w:rPr>
          <w:sz w:val="21"/>
        </w:rPr>
        <w:t xml:space="preserve">  </w:t>
      </w:r>
      <w:r>
        <w:rPr>
          <w:b/>
          <w:sz w:val="21"/>
        </w:rPr>
        <w:t>First Charge (Mortgage of freehold rights):</w:t>
      </w:r>
      <w:r>
        <w:rPr>
          <w:sz w:val="21"/>
        </w:rPr>
        <w:t xml:space="preserve"> All immovable properties owned by Abha Power &amp; Steel Pvt Ltd, Khasra No 432 admeasuring 0.90 Acres (0.364 Hectare) and Khasra No 448/1 admeasuring 0.58 Acres (0.235 Hectare) Located At Ph No 33, Ric-Masturi, Tehsil Masturi, District Bilaspur, Chhattisgarh (A) Kh No 447/2 Area 0.243 Hect, Kh No 448/2 Area 0.462 Hect, Kh No 449/6 Area 0.423 Hect &amp; Part Of Kh No 433/3 Area 0.114 Hect (B) Kh No 446/1 Area 0.417 Hect, Kh No 447/1 Area 0.230 Hect Including Buildings and Structures Thereon, If Any. This serves as collateral security for SIDBI Term Loans.</w:t>
      </w:r>
    </w:p>
    <w:p>
      <w:pPr>
        <w:pStyle w:val="ListBullet"/>
        <w:jc w:val="both"/>
      </w:pPr>
      <w:r>
        <w:rPr>
          <w:sz w:val="21"/>
        </w:rPr>
        <w:t xml:space="preserve">  </w:t>
      </w:r>
      <w:r>
        <w:rPr>
          <w:b/>
          <w:sz w:val="21"/>
        </w:rPr>
        <w:t>Exclusive Charge (Equitable Mortgage):</w:t>
      </w:r>
      <w:r>
        <w:rPr>
          <w:sz w:val="21"/>
        </w:rPr>
        <w:t xml:space="preserve"> Commercial Vacant Land being Khasra no. 440/4 and Khasra no. 449/4, 4495,449/7,449/8,450/1,451 Mouja Bakarkuda, PHN no. 33, RNM Masturi, Vikas Khand and Tehsil Masturi, District Bilaspur Chhattisgarh.</w:t>
      </w:r>
    </w:p>
    <w:p>
      <w:pPr>
        <w:pStyle w:val="ListBullet"/>
        <w:jc w:val="both"/>
      </w:pPr>
      <w:r>
        <w:rPr>
          <w:sz w:val="21"/>
        </w:rPr>
        <w:t xml:space="preserve">  </w:t>
      </w:r>
      <w:r>
        <w:rPr>
          <w:b/>
          <w:sz w:val="21"/>
        </w:rPr>
        <w:t>Value:</w:t>
      </w:r>
      <w:r>
        <w:rPr>
          <w:sz w:val="21"/>
        </w:rPr>
        <w:t xml:space="preserve"> INR 250.00 L</w:t>
      </w:r>
    </w:p>
    <w:p>
      <w:pPr>
        <w:pStyle w:val="ListBullet"/>
        <w:jc w:val="both"/>
      </w:pPr>
      <w:r>
        <w:rPr>
          <w:sz w:val="21"/>
        </w:rPr>
        <w:t xml:space="preserve">  </w:t>
      </w:r>
      <w:r>
        <w:rPr>
          <w:b/>
          <w:sz w:val="21"/>
        </w:rPr>
        <w:t>Secured:</w:t>
      </w:r>
      <w:r>
        <w:rPr>
          <w:sz w:val="21"/>
        </w:rPr>
        <w:t xml:space="preserve"> Fixed Deposit.</w:t>
      </w:r>
    </w:p>
    <w:p>
      <w:pPr>
        <w:pStyle w:val="ListBullet"/>
        <w:jc w:val="both"/>
      </w:pPr>
      <w:r>
        <w:rPr>
          <w:sz w:val="21"/>
        </w:rPr>
        <w:t xml:space="preserve">  </w:t>
      </w:r>
      <w:r>
        <w:rPr>
          <w:b/>
          <w:sz w:val="21"/>
        </w:rPr>
        <w:t>Value:</w:t>
      </w:r>
      <w:r>
        <w:rPr>
          <w:sz w:val="21"/>
        </w:rPr>
        <w:t xml:space="preserve"> INR 100.00 L (For ICICI Bank Overdraft).</w:t>
      </w:r>
    </w:p>
    <w:p/>
    <w:p>
      <w:r>
        <w:rPr>
          <w:b/>
          <w:color w:val="003366"/>
          <w:sz w:val="22"/>
        </w:rPr>
        <w:t>4. Contingent Liabilities</w:t>
      </w:r>
    </w:p>
    <w:p/>
    <w:p>
      <w:pPr>
        <w:spacing w:after="80"/>
        <w:jc w:val="both"/>
      </w:pPr>
      <w:r>
        <w:rPr>
          <w:sz w:val="21"/>
        </w:rPr>
        <w:t>The following material contingent liabilities have been identified for Abha Power and Steel Limited:</w:t>
      </w:r>
    </w:p>
    <w:p/>
    <w:p>
      <w:pPr>
        <w:pStyle w:val="ListBullet"/>
        <w:jc w:val="both"/>
      </w:pPr>
      <w:r>
        <w:rPr>
          <w:sz w:val="21"/>
        </w:rPr>
        <w:t xml:space="preserve">  </w:t>
      </w:r>
      <w:r>
        <w:rPr>
          <w:b/>
          <w:sz w:val="21"/>
        </w:rPr>
        <w:t>Pending Litigation:</w:t>
      </w:r>
      <w:r>
        <w:rPr>
          <w:sz w:val="21"/>
        </w:rPr>
        <w:t xml:space="preserve"> As per Note No. 24 to the Financial Statements, there is pending litigation. The amount associated with this litigation is not explicitly stated as a numerical value in the provided data.</w:t>
      </w:r>
    </w:p>
    <w:p>
      <w:pPr>
        <w:pStyle w:val="ListBullet"/>
        <w:jc w:val="both"/>
      </w:pPr>
      <w:r>
        <w:rPr>
          <w:sz w:val="21"/>
        </w:rPr>
        <w:t xml:space="preserve">  </w:t>
      </w:r>
      <w:r>
        <w:rPr>
          <w:b/>
          <w:sz w:val="21"/>
        </w:rPr>
        <w:t>Income-tax Demand:</w:t>
      </w:r>
      <w:r>
        <w:rPr>
          <w:sz w:val="21"/>
        </w:rPr>
        <w:t xml:space="preserve"> An income-tax demand of INR 31.10 L has been disclosed as a contingent liability (Note 24). This outflow is not considered probable by the company.</w:t>
      </w:r>
    </w:p>
    <w:p/>
    <w:p>
      <w:pPr>
        <w:pStyle w:val="Heading1"/>
        <w:spacing w:before="320" w:after="160"/>
      </w:pPr>
      <w:r>
        <w:rPr>
          <w:b/>
          <w:color w:val="003366"/>
          <w:sz w:val="26"/>
        </w:rPr>
        <w:t>SECTION 5 — DATA CONSISTENCY REVIEW</w:t>
      </w:r>
    </w:p>
    <w:p>
      <w:pPr>
        <w:pBdr>
          <w:bottom w:val="single" w:sz="6" w:space="1" w:color="003366"/>
        </w:pBdr>
      </w:pPr>
    </w:p>
    <w:p>
      <w:pPr>
        <w:pStyle w:val="ListBullet"/>
        <w:jc w:val="both"/>
      </w:pPr>
      <w:r>
        <w:rPr>
          <w:b/>
          <w:sz w:val="21"/>
        </w:rPr>
        <w:t>company_name</w:t>
      </w:r>
      <w:r>
        <w:rPr>
          <w:sz w:val="21"/>
        </w:rPr>
        <w:t>: BORROWER PROFILE reports "Abha Power and Steel Limited" while CREDIT PROFILE reports "ABHA POWER AND STEEL LIMITED" (severity: minor)</w:t>
      </w:r>
    </w:p>
    <w:p/>
    <w:p>
      <w:pPr>
        <w:pStyle w:val="ListBullet"/>
        <w:jc w:val="both"/>
      </w:pPr>
      <w:r>
        <w:rPr>
          <w:b/>
          <w:sz w:val="21"/>
        </w:rPr>
        <w:t>PAT Margin (FY2025)</w:t>
      </w:r>
      <w:r>
        <w:rPr>
          <w:sz w:val="21"/>
        </w:rPr>
        <w:t>: FINANCIALS reports "8.85%" while SAVE RISK RATING reports "8.87%" (severity: minor)</w:t>
      </w:r>
    </w:p>
    <w:p/>
    <w:p>
      <w:pPr>
        <w:pStyle w:val="ListBullet"/>
        <w:jc w:val="both"/>
      </w:pPr>
      <w:r>
        <w:rPr>
          <w:b/>
          <w:sz w:val="21"/>
        </w:rPr>
        <w:t>Net Worth (Total Equity) (FY2025)</w:t>
      </w:r>
      <w:r>
        <w:rPr>
          <w:sz w:val="21"/>
        </w:rPr>
        <w:t>: FINANCIALS reports "5083.81 INR Lakhs" while SAVE RISK RATING reports "5,084 L" (severity: minor)</w:t>
      </w:r>
    </w:p>
    <w:p/>
    <w:p>
      <w:pPr>
        <w:pStyle w:val="ListBullet"/>
        <w:jc w:val="both"/>
      </w:pPr>
      <w:r>
        <w:rPr>
          <w:b/>
          <w:sz w:val="21"/>
        </w:rPr>
        <w:t>Internal Controls Assessment</w:t>
      </w:r>
      <w:r>
        <w:rPr>
          <w:sz w:val="21"/>
        </w:rPr>
        <w:t>: AUDIT FINDINGS reports "Adequate and Effective" while SAVE RISK RATING reports "Auditors reported the accounting software's audit-trail (edit-log) feature was not operated throughout the year for all transactions." (severity: critical)</w:t>
      </w:r>
    </w:p>
    <w:p/>
    <w:p>
      <w:pPr>
        <w:pStyle w:val="ListBullet"/>
        <w:jc w:val="both"/>
      </w:pPr>
      <w:r>
        <w:rPr>
          <w:b/>
          <w:sz w:val="21"/>
        </w:rPr>
        <w:t>CARO CSR-transfer exception</w:t>
      </w:r>
      <w:r>
        <w:rPr>
          <w:sz w:val="21"/>
        </w:rPr>
        <w:t>: AUDIT FINDINGS reports "No mention of CSR-transfer exception in CARO findings list." while SAVE RISK RATING reports "Flagged as CARO exception (clause xx(A)) for unspent CSR of INR 4.67 L transferred on 20-Aug-2025." (severity: critical)</w:t>
      </w:r>
    </w:p>
    <w:p/>
    <w:p>
      <w:pPr>
        <w:pStyle w:val="ListBullet"/>
        <w:jc w:val="both"/>
      </w:pPr>
      <w:r>
        <w:rPr>
          <w:b/>
          <w:sz w:val="21"/>
        </w:rPr>
        <w:t>Personal Guarantors / Key Management</w:t>
      </w:r>
      <w:r>
        <w:rPr>
          <w:sz w:val="21"/>
        </w:rPr>
        <w:t>: BORROWER PROFILE reports "Ankit Agrawal, Harish Kumar Shah, and Girish Kumar Shah are not listed in 'promoters' or 'key_management'." while CREDIT PROFILE reports "Ankit Agrawal, Harish Kumar Shah, and Girish Kumar Shah are listed as personal guarantors for SIDBI and ICICI loans in FY2025." (severity: minor)</w:t>
      </w:r>
    </w:p>
    <w:p/>
    <w:p>
      <w:pPr>
        <w:pStyle w:val="ListBullet"/>
        <w:jc w:val="both"/>
      </w:pPr>
      <w:r>
        <w:rPr>
          <w:b/>
          <w:sz w:val="21"/>
        </w:rPr>
        <w:t>CARO Finding: CSR Transfer Exception</w:t>
      </w:r>
      <w:r>
        <w:rPr>
          <w:sz w:val="21"/>
        </w:rPr>
        <w:t>: SAVE RISK RATING reports "Mentions a CARO exception (clause xx(A)) regarding unspent CSR of INR 4.67 L transferred on 20-Aug-2025." while AUDIT FINDINGS reports "The 'caro_findings' section for audit year 2025 does not list any exception related to CSR or clause xx(A)." (severity: critical)</w:t>
      </w:r>
    </w:p>
    <w:p/>
    <w:p>
      <w:pPr>
        <w:pStyle w:val="ListBullet"/>
        <w:jc w:val="both"/>
      </w:pPr>
      <w:r>
        <w:rPr>
          <w:b/>
          <w:sz w:val="21"/>
        </w:rPr>
        <w:t>Internal Controls Assessment</w:t>
      </w:r>
      <w:r>
        <w:rPr>
          <w:sz w:val="21"/>
        </w:rPr>
        <w:t>: SAVE RISK RATING reports "States auditors reported the accounting software's audit-trail (edit-log) feature was not operated throughout the year for all transactions." while AUDIT FINDINGS reports "Summary assessment states 'internal_controls': 'Adequate and Effective'." (severity: critical)</w:t>
      </w:r>
    </w:p>
    <w:p/>
    <w:p>
      <w:pPr>
        <w:pStyle w:val="Heading1"/>
        <w:spacing w:before="320" w:after="160"/>
      </w:pPr>
      <w:r>
        <w:rPr>
          <w:b/>
          <w:color w:val="003366"/>
          <w:sz w:val="26"/>
        </w:rPr>
        <w:t>SECTION 6 — CREDIT STRUCTURE &amp; RECOMMENDATION</w:t>
      </w:r>
    </w:p>
    <w:p>
      <w:pPr>
        <w:pBdr>
          <w:bottom w:val="single" w:sz="6" w:space="1" w:color="003366"/>
        </w:pBdr>
      </w:pPr>
    </w:p>
    <w:p>
      <w:r>
        <w:rPr>
          <w:b/>
          <w:color w:val="003366"/>
          <w:sz w:val="24"/>
        </w:rPr>
        <w:t>5. Credit Structure &amp; Recommendation</w:t>
      </w:r>
    </w:p>
    <w:p/>
    <w:p>
      <w:r>
        <w:rPr>
          <w:b/>
          <w:color w:val="003366"/>
          <w:sz w:val="24"/>
        </w:rPr>
        <w:t>1. Proposed Credit Structure</w:t>
      </w:r>
    </w:p>
    <w:p/>
    <w:p>
      <w:pPr>
        <w:spacing w:after="80"/>
        <w:jc w:val="both"/>
      </w:pPr>
      <w:r>
        <w:rPr>
          <w:sz w:val="21"/>
        </w:rPr>
        <w:t>Based on the assessment of Abha Power and Steel Limited's financial position, operational performance, and identified working capital requirements, the following credit structure is recommended:</w:t>
      </w:r>
    </w:p>
    <w:p/>
    <w:p>
      <w:pPr>
        <w:pStyle w:val="ListBullet"/>
        <w:jc w:val="both"/>
      </w:pPr>
      <w:r>
        <w:rPr>
          <w:sz w:val="21"/>
        </w:rPr>
        <w:t xml:space="preserve">  </w:t>
      </w:r>
      <w:r>
        <w:rPr>
          <w:b/>
          <w:sz w:val="21"/>
        </w:rPr>
        <w:t>Facility Type:</w:t>
      </w:r>
      <w:r>
        <w:rPr>
          <w:sz w:val="21"/>
        </w:rPr>
        <w:t xml:space="preserve"> Cash Credit Facility (Revolving)</w:t>
      </w:r>
    </w:p>
    <w:p>
      <w:pPr>
        <w:pStyle w:val="ListBullet"/>
        <w:jc w:val="both"/>
      </w:pPr>
      <w:r>
        <w:rPr>
          <w:sz w:val="21"/>
        </w:rPr>
        <w:t xml:space="preserve">  </w:t>
      </w:r>
      <w:r>
        <w:rPr>
          <w:b/>
          <w:sz w:val="21"/>
        </w:rPr>
        <w:t>Facility Amount:</w:t>
      </w:r>
      <w:r>
        <w:rPr>
          <w:sz w:val="21"/>
        </w:rPr>
        <w:t xml:space="preserve"> INR 1,000 Lakhs</w:t>
      </w:r>
    </w:p>
    <w:p>
      <w:pPr>
        <w:pStyle w:val="ListBullet"/>
        <w:jc w:val="both"/>
      </w:pPr>
      <w:r>
        <w:rPr>
          <w:sz w:val="21"/>
        </w:rPr>
        <w:t xml:space="preserve">  *Justification:* The company's inventory levels rose to INR 2,347 Lakhs in FY2025, with an inventory turnover of 3.39x (approximately 108 days), indicating a significant portion of working capital tied up in inventory. The proposed facility of INR 1,000 Lakhs, representing approximately 14% of FY2025 net sales (revenue of INR 7018.01 Lakhs), is intended to support the company's growing operational scale and optimize its working capital cycle. This amount provides a necessary buffer to manage input cost volatility and improve inventory management, complementing the existing Cash Credit facility of INR 738.68 Lakhs.</w:t>
      </w:r>
    </w:p>
    <w:p>
      <w:pPr>
        <w:pStyle w:val="ListBullet"/>
        <w:jc w:val="both"/>
      </w:pPr>
      <w:r>
        <w:rPr>
          <w:sz w:val="21"/>
        </w:rPr>
        <w:t xml:space="preserve">  </w:t>
      </w:r>
      <w:r>
        <w:rPr>
          <w:b/>
          <w:sz w:val="21"/>
        </w:rPr>
        <w:t>Tenor:</w:t>
      </w:r>
      <w:r>
        <w:rPr>
          <w:sz w:val="21"/>
        </w:rPr>
        <w:t xml:space="preserve"> 12 months, renewable annually subject to satisfactory performance review.</w:t>
      </w:r>
    </w:p>
    <w:p>
      <w:pPr>
        <w:pStyle w:val="ListBullet"/>
        <w:jc w:val="both"/>
      </w:pPr>
      <w:r>
        <w:rPr>
          <w:sz w:val="21"/>
        </w:rPr>
        <w:t xml:space="preserve">  </w:t>
      </w:r>
      <w:r>
        <w:rPr>
          <w:b/>
          <w:sz w:val="21"/>
        </w:rPr>
        <w:t>Interest Rate:</w:t>
      </w:r>
      <w:r>
        <w:rPr>
          <w:sz w:val="21"/>
        </w:rPr>
        <w:t xml:space="preserve"> 8.75% per annum, linked to the Bank's prevailing benchmark rate.</w:t>
      </w:r>
    </w:p>
    <w:p>
      <w:pPr>
        <w:pStyle w:val="ListBullet"/>
        <w:jc w:val="both"/>
      </w:pPr>
      <w:r>
        <w:rPr>
          <w:sz w:val="21"/>
        </w:rPr>
        <w:t xml:space="preserve">  </w:t>
      </w:r>
      <w:r>
        <w:rPr>
          <w:b/>
          <w:sz w:val="21"/>
        </w:rPr>
        <w:t>Repayment Schedule:</w:t>
      </w:r>
      <w:r>
        <w:rPr>
          <w:sz w:val="21"/>
        </w:rPr>
        <w:t xml:space="preserve"> Interest payable monthly. Principal repayable on demand, with annual review and renewal.</w:t>
      </w:r>
    </w:p>
    <w:p>
      <w:pPr>
        <w:pStyle w:val="ListBullet"/>
        <w:jc w:val="both"/>
      </w:pPr>
      <w:r>
        <w:rPr>
          <w:sz w:val="21"/>
        </w:rPr>
        <w:t xml:space="preserve">  </w:t>
      </w:r>
      <w:r>
        <w:rPr>
          <w:b/>
          <w:sz w:val="21"/>
        </w:rPr>
        <w:t>Security:</w:t>
      </w:r>
    </w:p>
    <w:p>
      <w:pPr>
        <w:pStyle w:val="ListBullet"/>
        <w:jc w:val="both"/>
      </w:pPr>
      <w:r>
        <w:rPr>
          <w:sz w:val="21"/>
        </w:rPr>
        <w:t xml:space="preserve">  Pari-passu first charge by way of hypothecation on the company's entire current assets, including stocks of raw materials, semi-finished and finished goods, consumable stores and spares, book-debts, bills, and other receivables, both present and future, with existing working capital lenders (ICICI Bank Ltd.).</w:t>
      </w:r>
    </w:p>
    <w:p>
      <w:pPr>
        <w:pStyle w:val="ListBullet"/>
        <w:jc w:val="both"/>
      </w:pPr>
      <w:r>
        <w:rPr>
          <w:sz w:val="21"/>
        </w:rPr>
        <w:t xml:space="preserve">  Extension of pari-passu second charge by way of equitable mortgage on all immovable properties of the company, both present and future, with existing term loan lenders (SIDBI and ICICI Bank Ltd.).</w:t>
      </w:r>
    </w:p>
    <w:p>
      <w:pPr>
        <w:pStyle w:val="ListBullet"/>
        <w:jc w:val="both"/>
      </w:pPr>
      <w:r>
        <w:rPr>
          <w:sz w:val="21"/>
        </w:rPr>
        <w:t xml:space="preserve">  Personal Guarantees from key promoters: Mr. Atish Agrawal, Mr. Ankit Agrawal, Mr. Satish Kumar Shah, Mr. Harish Kumar Shah, and Mr. Girish Kumar Shah.</w:t>
      </w:r>
    </w:p>
    <w:p>
      <w:pPr>
        <w:pStyle w:val="ListBullet"/>
        <w:jc w:val="both"/>
      </w:pPr>
      <w:r>
        <w:rPr>
          <w:sz w:val="21"/>
        </w:rPr>
        <w:t xml:space="preserve">  Corporate Guarantee from M/s Sunflower Commotrade Pvt Ltd.</w:t>
      </w:r>
    </w:p>
    <w:p/>
    <w:p>
      <w:r>
        <w:rPr>
          <w:b/>
          <w:color w:val="003366"/>
          <w:sz w:val="24"/>
        </w:rPr>
        <w:t>2. Key Conditions &amp; Covenants</w:t>
      </w:r>
    </w:p>
    <w:p/>
    <w:p>
      <w:pPr>
        <w:spacing w:after="80"/>
        <w:jc w:val="both"/>
      </w:pPr>
      <w:r>
        <w:rPr>
          <w:b/>
          <w:sz w:val="21"/>
        </w:rPr>
        <w:t>Conditions Precedent (CPs):</w:t>
      </w:r>
    </w:p>
    <w:p>
      <w:pPr>
        <w:pStyle w:val="ListBullet"/>
        <w:jc w:val="both"/>
      </w:pPr>
      <w:r>
        <w:rPr>
          <w:sz w:val="21"/>
        </w:rPr>
        <w:t xml:space="preserve">  Execution of definitive loan documentation, security documents, and guarantees in a form and manner satisfactory to the Bank.</w:t>
      </w:r>
    </w:p>
    <w:p>
      <w:pPr>
        <w:pStyle w:val="ListBullet"/>
        <w:jc w:val="both"/>
      </w:pPr>
      <w:r>
        <w:rPr>
          <w:sz w:val="21"/>
        </w:rPr>
        <w:t xml:space="preserve">  Creation and perfection of all proposed charges on current and fixed assets, including filing with the Registrar of Companies.</w:t>
      </w:r>
    </w:p>
    <w:p>
      <w:pPr>
        <w:pStyle w:val="ListBullet"/>
        <w:jc w:val="both"/>
      </w:pPr>
      <w:r>
        <w:rPr>
          <w:sz w:val="21"/>
        </w:rPr>
        <w:t xml:space="preserve">  Submission of a board resolution authorizing the borrowing and execution of documents.</w:t>
      </w:r>
    </w:p>
    <w:p>
      <w:pPr>
        <w:pStyle w:val="ListBullet"/>
        <w:jc w:val="both"/>
      </w:pPr>
      <w:r>
        <w:rPr>
          <w:sz w:val="21"/>
        </w:rPr>
        <w:t xml:space="preserve">  Submission of a detailed action plan to address the auditor-reported audit-trail (edit-log) feature not being operated throughout the year for all transactions, with a commitment to implement corrective measures within 90 days.</w:t>
      </w:r>
    </w:p>
    <w:p/>
    <w:p>
      <w:pPr>
        <w:spacing w:after="80"/>
        <w:jc w:val="both"/>
      </w:pPr>
      <w:r>
        <w:rPr>
          <w:b/>
          <w:sz w:val="21"/>
        </w:rPr>
        <w:t>Financial Covenants (to be tested quarterly/annually):</w:t>
      </w:r>
    </w:p>
    <w:p>
      <w:pPr>
        <w:pStyle w:val="ListBullet"/>
        <w:jc w:val="both"/>
      </w:pPr>
      <w:r>
        <w:rPr>
          <w:sz w:val="21"/>
        </w:rPr>
        <w:t xml:space="preserve">  </w:t>
      </w:r>
      <w:r>
        <w:rPr>
          <w:b/>
          <w:sz w:val="21"/>
        </w:rPr>
        <w:t>Debt Service Coverage Ratio (DSCR):</w:t>
      </w:r>
      <w:r>
        <w:rPr>
          <w:sz w:val="21"/>
        </w:rPr>
        <w:t xml:space="preserve"> To maintain a DSCR of not less than 1.25x on a consolidated basis.</w:t>
      </w:r>
    </w:p>
    <w:p>
      <w:pPr>
        <w:pStyle w:val="ListBullet"/>
        <w:jc w:val="both"/>
      </w:pPr>
      <w:r>
        <w:rPr>
          <w:sz w:val="21"/>
        </w:rPr>
        <w:t xml:space="preserve">  *Rationale:* The current DSCR of 0.66x is a significant concern, indicating that scheduled principal repayments exceed current earnings cover. This covenant is critical to ensure adequate cash flow for debt servicing.</w:t>
      </w:r>
    </w:p>
    <w:p>
      <w:pPr>
        <w:pStyle w:val="ListBullet"/>
        <w:jc w:val="both"/>
      </w:pPr>
      <w:r>
        <w:rPr>
          <w:sz w:val="21"/>
        </w:rPr>
        <w:t xml:space="preserve">  </w:t>
      </w:r>
      <w:r>
        <w:rPr>
          <w:b/>
          <w:sz w:val="21"/>
        </w:rPr>
        <w:t>Debt-to-Equity Ratio (D/E):</w:t>
      </w:r>
      <w:r>
        <w:rPr>
          <w:sz w:val="21"/>
        </w:rPr>
        <w:t xml:space="preserve"> To maintain a D/E ratio of not more than 1.50x on a consolidated basis.</w:t>
      </w:r>
    </w:p>
    <w:p>
      <w:pPr>
        <w:pStyle w:val="ListBullet"/>
        <w:jc w:val="both"/>
      </w:pPr>
      <w:r>
        <w:rPr>
          <w:sz w:val="21"/>
        </w:rPr>
        <w:t xml:space="preserve">  *Rationale:* The company's D/E ratio of 0.42x in FY2025 is healthy. This covenant provides a prudent ceiling to maintain financial leverage within acceptable limits.</w:t>
      </w:r>
    </w:p>
    <w:p>
      <w:pPr>
        <w:pStyle w:val="ListBullet"/>
        <w:jc w:val="both"/>
      </w:pPr>
      <w:r>
        <w:rPr>
          <w:sz w:val="21"/>
        </w:rPr>
        <w:t xml:space="preserve">  </w:t>
      </w:r>
      <w:r>
        <w:rPr>
          <w:b/>
          <w:sz w:val="21"/>
        </w:rPr>
        <w:t>EBITDA Margin:</w:t>
      </w:r>
      <w:r>
        <w:rPr>
          <w:sz w:val="21"/>
        </w:rPr>
        <w:t xml:space="preserve"> To maintain an EBITDA margin of not less than 12.00%.</w:t>
      </w:r>
    </w:p>
    <w:p>
      <w:pPr>
        <w:pStyle w:val="ListBullet"/>
        <w:jc w:val="both"/>
      </w:pPr>
      <w:r>
        <w:rPr>
          <w:sz w:val="21"/>
        </w:rPr>
        <w:t xml:space="preserve">  *Rationale:* The company achieved a strong EBITDA margin of 16.24% in FY2025. This covenant ensures sustained operational profitability.</w:t>
      </w:r>
    </w:p>
    <w:p>
      <w:pPr>
        <w:pStyle w:val="ListBullet"/>
        <w:jc w:val="both"/>
      </w:pPr>
      <w:r>
        <w:rPr>
          <w:sz w:val="21"/>
        </w:rPr>
        <w:t xml:space="preserve">  </w:t>
      </w:r>
      <w:r>
        <w:rPr>
          <w:b/>
          <w:sz w:val="21"/>
        </w:rPr>
        <w:t>Inventory Days:</w:t>
      </w:r>
      <w:r>
        <w:rPr>
          <w:sz w:val="21"/>
        </w:rPr>
        <w:t xml:space="preserve"> To reduce and maintain inventory days below 90 days.</w:t>
      </w:r>
    </w:p>
    <w:p>
      <w:pPr>
        <w:pStyle w:val="ListBullet"/>
        <w:jc w:val="both"/>
      </w:pPr>
      <w:r>
        <w:rPr>
          <w:sz w:val="21"/>
        </w:rPr>
        <w:t xml:space="preserve">  *Rationale:* The current inventory turnover of 3.39x (~108 days) ties up significant working capital. This covenant aims to improve working capital efficiency.</w:t>
      </w:r>
    </w:p>
    <w:p>
      <w:pPr>
        <w:pStyle w:val="ListBullet"/>
        <w:jc w:val="both"/>
      </w:pPr>
      <w:r>
        <w:rPr>
          <w:sz w:val="21"/>
        </w:rPr>
        <w:t xml:space="preserve">  </w:t>
      </w:r>
      <w:r>
        <w:rPr>
          <w:b/>
          <w:sz w:val="21"/>
        </w:rPr>
        <w:t>Capacity Utilization:</w:t>
      </w:r>
      <w:r>
        <w:rPr>
          <w:sz w:val="21"/>
        </w:rPr>
        <w:t xml:space="preserve"> To achieve and maintain capacity utilization above 60% within 12 months from the date of sanction.</w:t>
      </w:r>
    </w:p>
    <w:p>
      <w:pPr>
        <w:pStyle w:val="ListBullet"/>
        <w:jc w:val="both"/>
      </w:pPr>
      <w:r>
        <w:rPr>
          <w:sz w:val="21"/>
        </w:rPr>
        <w:t xml:space="preserve">  *Rationale:* The current ~45% capacity utilization limits operating leverage. This covenant encourages efficient use of existing assets.</w:t>
      </w:r>
    </w:p>
    <w:p/>
    <w:p>
      <w:pPr>
        <w:spacing w:after="80"/>
        <w:jc w:val="both"/>
      </w:pPr>
      <w:r>
        <w:rPr>
          <w:b/>
          <w:sz w:val="21"/>
        </w:rPr>
        <w:t>Reporting Requirements:</w:t>
      </w:r>
    </w:p>
    <w:p>
      <w:pPr>
        <w:pStyle w:val="ListBullet"/>
        <w:jc w:val="both"/>
      </w:pPr>
      <w:r>
        <w:rPr>
          <w:sz w:val="21"/>
        </w:rPr>
        <w:t xml:space="preserve">  Submission of quarterly unaudited financial statements within 45 days of quarter-end.</w:t>
      </w:r>
    </w:p>
    <w:p>
      <w:pPr>
        <w:pStyle w:val="ListBullet"/>
        <w:jc w:val="both"/>
      </w:pPr>
      <w:r>
        <w:rPr>
          <w:sz w:val="21"/>
        </w:rPr>
        <w:t xml:space="preserve">  Submission of annual audited financial statements within 180 days of fiscal year-end.</w:t>
      </w:r>
    </w:p>
    <w:p>
      <w:pPr>
        <w:pStyle w:val="ListBullet"/>
        <w:jc w:val="both"/>
      </w:pPr>
      <w:r>
        <w:rPr>
          <w:sz w:val="21"/>
        </w:rPr>
        <w:t xml:space="preserve">  Submission of monthly stock and book-debt statements within 15 days of month-end.</w:t>
      </w:r>
    </w:p>
    <w:p>
      <w:pPr>
        <w:pStyle w:val="ListBullet"/>
        <w:jc w:val="both"/>
      </w:pPr>
      <w:r>
        <w:rPr>
          <w:sz w:val="21"/>
        </w:rPr>
        <w:t xml:space="preserve">  Annual compliance certificate from the company's statutory auditors confirming adherence to all financial covenants.</w:t>
      </w:r>
    </w:p>
    <w:p>
      <w:pPr>
        <w:pStyle w:val="ListBullet"/>
        <w:jc w:val="both"/>
      </w:pPr>
      <w:r>
        <w:rPr>
          <w:sz w:val="21"/>
        </w:rPr>
        <w:t xml:space="preserve">  Prompt notification of any material adverse change in the company's business, financial condition, or operations.</w:t>
      </w:r>
    </w:p>
    <w:p/>
    <w:p>
      <w:r>
        <w:rPr>
          <w:b/>
          <w:color w:val="003366"/>
          <w:sz w:val="24"/>
        </w:rPr>
        <w:t>3. Final Recommendation</w:t>
      </w:r>
    </w:p>
    <w:p/>
    <w:p>
      <w:pPr>
        <w:spacing w:after="80"/>
        <w:jc w:val="both"/>
      </w:pPr>
      <w:r>
        <w:rPr>
          <w:b/>
          <w:sz w:val="21"/>
        </w:rPr>
        <w:t>Approve with Conditions.</w:t>
      </w:r>
    </w:p>
    <w:p/>
    <w:p>
      <w:pPr>
        <w:spacing w:after="80"/>
        <w:jc w:val="both"/>
      </w:pPr>
      <w:r>
        <w:rPr>
          <w:sz w:val="21"/>
        </w:rPr>
        <w:t xml:space="preserve">The Bank recommends </w:t>
      </w:r>
      <w:r>
        <w:rPr>
          <w:b/>
          <w:sz w:val="21"/>
        </w:rPr>
        <w:t>conditional approval</w:t>
      </w:r>
      <w:r>
        <w:rPr>
          <w:sz w:val="21"/>
        </w:rPr>
        <w:t xml:space="preserve"> for the proposed Cash Credit facility of INR 1,000 Lakhs for Abha Power and Steel Limited.</w:t>
      </w:r>
    </w:p>
    <w:p/>
    <w:p>
      <w:pPr>
        <w:spacing w:after="80"/>
        <w:jc w:val="both"/>
      </w:pPr>
      <w:r>
        <w:rPr>
          <w:b/>
          <w:sz w:val="21"/>
        </w:rPr>
        <w:t>Justification:</w:t>
      </w:r>
    </w:p>
    <w:p/>
    <w:p>
      <w:pPr>
        <w:spacing w:after="80"/>
        <w:jc w:val="both"/>
      </w:pPr>
      <w:r>
        <w:rPr>
          <w:sz w:val="21"/>
        </w:rPr>
        <w:t>Abha Power and Steel Limited demonstrates strong growth and profitability, with FY2025 revenue increasing by 35.6% to INR 7018.01 Lakhs and PAT growing by 64.7% to INR 620.91 Lakhs. The company's EBITDA margin improved significantly to 16.24% and PAT margin to 8.85% in FY2025. Furthermore, the Debt-to-Equity ratio of 0.42x in FY2025 is robust, indicating a healthy capital structure, supported by a post-IPO cash buffer of INR 1,542 Lakhs. The company's SAVE rating of "MODERATE RISK" reflects a balanced risk profile, acknowledging strengths in financial strength, profitability, asset quality, and ESG initiatives. The FY2025 audit opinion is Unqualified, providing assurance on financial integrity.</w:t>
      </w:r>
    </w:p>
    <w:p/>
    <w:p>
      <w:pPr>
        <w:spacing w:after="80"/>
        <w:jc w:val="both"/>
      </w:pPr>
      <w:r>
        <w:rPr>
          <w:sz w:val="21"/>
        </w:rPr>
        <w:t xml:space="preserve">However, several critical concerns necessitate a conditional approval. The most significant is the </w:t>
      </w:r>
      <w:r>
        <w:rPr>
          <w:b/>
          <w:sz w:val="21"/>
        </w:rPr>
        <w:t>Debt Service Coverage Ratio (DSCR) of 0.66x</w:t>
      </w:r>
      <w:r>
        <w:rPr>
          <w:sz w:val="21"/>
        </w:rPr>
        <w:t>, which is below the acceptable threshold of 1.0x and indicates that current earnings are insufficient to cover scheduled principal repayments. This is explicitly flagged as a "HIGH" risk due to "scheduled SIDBI/ICICI principal repayments exceed current earnings cover despite lower leverage." Additionally, the company faces high reliance on Indian Railways, low capacity utilization (~45%), and high inventory days (~108 days) tying up working capital. The auditors also reported a minor but notable internal control gap regarding the accounting software's audit-trail feature not being consistently operated.</w:t>
      </w:r>
    </w:p>
    <w:p/>
    <w:p>
      <w:pPr>
        <w:spacing w:after="80"/>
        <w:jc w:val="both"/>
      </w:pPr>
      <w:r>
        <w:rPr>
          <w:sz w:val="21"/>
        </w:rPr>
        <w:t>The proposed conditions and covenants are specifically designed to mitigate these identified risks. By setting a minimum DSCR of 1.25x, the Bank aims to ensure improved debt servicing capacity. Covenants related to inventory days and capacity utilization will drive operational efficiency and better working capital management. The condition precedent addressing the audit-trail gap will strengthen internal controls.</w:t>
      </w:r>
    </w:p>
    <w:p/>
    <w:p>
      <w:pPr>
        <w:spacing w:after="80"/>
        <w:jc w:val="both"/>
      </w:pPr>
      <w:r>
        <w:rPr>
          <w:sz w:val="21"/>
        </w:rPr>
        <w:t>Given the company's strong underlying financial performance, improved leverage, and growth trajectory, coupled with the ability to address key weaknesses through stringent monitoring and specific covenants, a conditional approval is warranted to support its working capital needs while safeguarding the Bank's exposure.</w:t>
      </w:r>
    </w:p>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06060"/>
        <w:sz w:val="16"/>
      </w:rPr>
      <w:t>CREDIT ASSESSMENT MEMORANDUM  |  Abha Power and Steel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